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0" w:beforeLines="0" w:after="0" w:afterLines="0" w:line="360" w:lineRule="auto"/>
        <w:jc w:val="center"/>
        <w:rPr>
          <w:rFonts w:hint="eastAsia" w:ascii="宋体" w:hAnsi="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潢川县人民医院医疗器械采购项目</w:t>
      </w:r>
      <w:r>
        <w:rPr>
          <w:rFonts w:hint="eastAsia" w:ascii="宋体" w:hAnsi="宋体" w:cs="宋体"/>
          <w:b/>
          <w:bCs/>
          <w:kern w:val="2"/>
          <w:sz w:val="32"/>
          <w:szCs w:val="32"/>
          <w:lang w:val="en-US" w:eastAsia="zh-CN" w:bidi="ar-SA"/>
        </w:rPr>
        <w:t>招标公告</w:t>
      </w:r>
    </w:p>
    <w:p>
      <w:pPr>
        <w:rPr>
          <w:rFonts w:hint="eastAsia"/>
          <w:lang w:val="zh-CN"/>
        </w:rPr>
      </w:pPr>
      <w:bookmarkStart w:id="2" w:name="_GoBack"/>
      <w:bookmarkEnd w:id="2"/>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u w:val="single"/>
          <w:lang w:val="en-US" w:eastAsia="zh-CN"/>
        </w:rPr>
        <w:t>潢川县人民医院医疗器械采购</w:t>
      </w:r>
      <w:r>
        <w:rPr>
          <w:rFonts w:hint="eastAsia" w:ascii="宋体" w:hAnsi="宋体" w:eastAsia="宋体" w:cs="宋体"/>
          <w:i w:val="0"/>
          <w:iCs w:val="0"/>
          <w:sz w:val="21"/>
          <w:szCs w:val="21"/>
        </w:rPr>
        <w:t>招标项目的潜在投标人应在</w:t>
      </w:r>
      <w:r>
        <w:rPr>
          <w:rFonts w:hint="eastAsia" w:ascii="宋体" w:hAnsi="宋体" w:cs="宋体"/>
          <w:color w:val="auto"/>
          <w:szCs w:val="21"/>
          <w:u w:val="single"/>
          <w:lang w:val="en-US" w:eastAsia="zh-CN"/>
        </w:rPr>
        <w:t>信阳市公共资源交易网（</w:t>
      </w:r>
      <w:r>
        <w:rPr>
          <w:rFonts w:hint="eastAsia" w:ascii="宋体" w:hAnsi="宋体" w:cs="宋体"/>
          <w:szCs w:val="21"/>
          <w:u w:val="single"/>
          <w:lang w:val="en-US" w:eastAsia="zh-CN"/>
        </w:rPr>
        <w:t>www.xyggzyjy.cn</w:t>
      </w:r>
      <w:r>
        <w:rPr>
          <w:rFonts w:hint="eastAsia" w:ascii="宋体" w:hAnsi="宋体" w:cs="宋体"/>
          <w:color w:val="auto"/>
          <w:szCs w:val="21"/>
          <w:u w:val="single"/>
          <w:lang w:val="en-US" w:eastAsia="zh-CN"/>
        </w:rPr>
        <w:t>）</w:t>
      </w:r>
      <w:r>
        <w:rPr>
          <w:rFonts w:hint="eastAsia" w:ascii="宋体" w:hAnsi="宋体" w:eastAsia="宋体" w:cs="宋体"/>
          <w:i w:val="0"/>
          <w:iCs w:val="0"/>
          <w:sz w:val="21"/>
          <w:szCs w:val="21"/>
        </w:rPr>
        <w:t>获取招标文件，并于</w:t>
      </w:r>
      <w:r>
        <w:rPr>
          <w:rFonts w:hint="eastAsia" w:ascii="宋体" w:hAnsi="宋体" w:eastAsia="宋体" w:cs="宋体"/>
          <w:i w:val="0"/>
          <w:iCs w:val="0"/>
          <w:sz w:val="21"/>
          <w:szCs w:val="21"/>
          <w:u w:val="single"/>
        </w:rPr>
        <w:t xml:space="preserve"> </w:t>
      </w:r>
      <w:r>
        <w:rPr>
          <w:rFonts w:hint="eastAsia" w:ascii="宋体" w:hAnsi="宋体" w:eastAsia="宋体" w:cs="宋体"/>
          <w:i w:val="0"/>
          <w:iCs w:val="0"/>
          <w:sz w:val="21"/>
          <w:szCs w:val="21"/>
          <w:u w:val="single"/>
          <w:lang w:val="en-US" w:eastAsia="zh-CN"/>
        </w:rPr>
        <w:t>2020</w:t>
      </w:r>
      <w:r>
        <w:rPr>
          <w:rFonts w:hint="eastAsia" w:ascii="宋体" w:hAnsi="宋体" w:eastAsia="宋体" w:cs="宋体"/>
          <w:bCs/>
          <w:i w:val="0"/>
          <w:iCs w:val="0"/>
          <w:sz w:val="21"/>
          <w:szCs w:val="21"/>
          <w:u w:val="single"/>
        </w:rPr>
        <w:t>年</w:t>
      </w:r>
      <w:r>
        <w:rPr>
          <w:rFonts w:hint="eastAsia" w:ascii="宋体" w:hAnsi="宋体" w:eastAsia="宋体" w:cs="宋体"/>
          <w:bCs/>
          <w:i w:val="0"/>
          <w:iCs w:val="0"/>
          <w:sz w:val="21"/>
          <w:szCs w:val="21"/>
          <w:u w:val="single"/>
          <w:lang w:val="en-US" w:eastAsia="zh-CN"/>
        </w:rPr>
        <w:t>11</w:t>
      </w:r>
      <w:r>
        <w:rPr>
          <w:rFonts w:hint="eastAsia" w:ascii="宋体" w:hAnsi="宋体" w:eastAsia="宋体" w:cs="宋体"/>
          <w:bCs/>
          <w:i w:val="0"/>
          <w:iCs w:val="0"/>
          <w:sz w:val="21"/>
          <w:szCs w:val="21"/>
          <w:u w:val="single"/>
        </w:rPr>
        <w:t>月</w:t>
      </w:r>
      <w:r>
        <w:rPr>
          <w:rFonts w:hint="eastAsia" w:ascii="宋体" w:hAnsi="宋体" w:eastAsia="宋体" w:cs="宋体"/>
          <w:bCs/>
          <w:i w:val="0"/>
          <w:iCs w:val="0"/>
          <w:sz w:val="21"/>
          <w:szCs w:val="21"/>
          <w:u w:val="single"/>
          <w:lang w:val="en-US" w:eastAsia="zh-CN"/>
        </w:rPr>
        <w:t>19</w:t>
      </w:r>
      <w:r>
        <w:rPr>
          <w:rFonts w:hint="eastAsia" w:ascii="宋体" w:hAnsi="宋体" w:eastAsia="宋体" w:cs="宋体"/>
          <w:bCs/>
          <w:i w:val="0"/>
          <w:iCs w:val="0"/>
          <w:sz w:val="21"/>
          <w:szCs w:val="21"/>
          <w:u w:val="single"/>
        </w:rPr>
        <w:t>日</w:t>
      </w:r>
      <w:r>
        <w:rPr>
          <w:rFonts w:hint="eastAsia" w:ascii="宋体" w:hAnsi="宋体" w:eastAsia="宋体" w:cs="宋体"/>
          <w:bCs/>
          <w:i w:val="0"/>
          <w:iCs w:val="0"/>
          <w:sz w:val="21"/>
          <w:szCs w:val="21"/>
          <w:u w:val="single"/>
          <w:lang w:val="en-US" w:eastAsia="zh-CN"/>
        </w:rPr>
        <w:t>9</w:t>
      </w:r>
      <w:r>
        <w:rPr>
          <w:rFonts w:hint="eastAsia" w:ascii="宋体" w:hAnsi="宋体" w:eastAsia="宋体" w:cs="宋体"/>
          <w:bCs/>
          <w:i w:val="0"/>
          <w:iCs w:val="0"/>
          <w:sz w:val="21"/>
          <w:szCs w:val="21"/>
          <w:u w:val="single"/>
        </w:rPr>
        <w:t>点</w:t>
      </w:r>
      <w:r>
        <w:rPr>
          <w:rFonts w:hint="eastAsia" w:ascii="宋体" w:hAnsi="宋体" w:eastAsia="宋体" w:cs="宋体"/>
          <w:bCs/>
          <w:i w:val="0"/>
          <w:iCs w:val="0"/>
          <w:sz w:val="21"/>
          <w:szCs w:val="21"/>
          <w:u w:val="single"/>
          <w:lang w:val="en-US" w:eastAsia="zh-CN"/>
        </w:rPr>
        <w:t>30</w:t>
      </w:r>
      <w:r>
        <w:rPr>
          <w:rFonts w:hint="eastAsia" w:ascii="宋体" w:hAnsi="宋体" w:eastAsia="宋体" w:cs="宋体"/>
          <w:bCs/>
          <w:i w:val="0"/>
          <w:iCs w:val="0"/>
          <w:sz w:val="21"/>
          <w:szCs w:val="21"/>
          <w:u w:val="single"/>
        </w:rPr>
        <w:t>分（</w:t>
      </w:r>
      <w:r>
        <w:rPr>
          <w:rFonts w:hint="eastAsia" w:ascii="宋体" w:hAnsi="宋体" w:eastAsia="宋体" w:cs="宋体"/>
          <w:bCs/>
          <w:i w:val="0"/>
          <w:iCs w:val="0"/>
          <w:sz w:val="21"/>
          <w:szCs w:val="21"/>
        </w:rPr>
        <w:t>北京时间）前递交投标文件</w:t>
      </w:r>
      <w:r>
        <w:rPr>
          <w:rFonts w:hint="eastAsia" w:ascii="宋体" w:hAnsi="宋体" w:eastAsia="宋体" w:cs="宋体"/>
          <w:i w:val="0"/>
          <w:iCs w:val="0"/>
          <w:sz w:val="21"/>
          <w:szCs w:val="21"/>
        </w:rPr>
        <w:t>。</w:t>
      </w:r>
    </w:p>
    <w:p>
      <w:pPr>
        <w:rPr>
          <w:rFonts w:hint="eastAsia"/>
          <w:lang w:val="zh-CN"/>
        </w:rPr>
      </w:pPr>
      <w:r>
        <w:rPr>
          <w:rFonts w:hint="eastAsia"/>
          <w:lang w:val="zh-CN"/>
        </w:rPr>
        <w:t>一、项目基本情况</w:t>
      </w:r>
    </w:p>
    <w:p>
      <w:pPr>
        <w:pStyle w:val="4"/>
        <w:pageBreakBefore w:val="0"/>
        <w:numPr>
          <w:ilvl w:val="0"/>
          <w:numId w:val="0"/>
        </w:numPr>
        <w:kinsoku/>
        <w:overflowPunct/>
        <w:topLinePunct w:val="0"/>
        <w:autoSpaceDE/>
        <w:autoSpaceDN/>
        <w:bidi w:val="0"/>
        <w:snapToGrid/>
        <w:spacing w:before="0" w:beforeLines="0" w:after="0" w:afterLines="0" w:line="360" w:lineRule="exact"/>
        <w:ind w:firstLine="211" w:firstLineChars="100"/>
        <w:jc w:val="both"/>
        <w:rPr>
          <w:rFonts w:hint="eastAsia" w:ascii="宋体" w:hAnsi="宋体" w:eastAsia="宋体" w:cs="宋体"/>
          <w:b w:val="0"/>
          <w:kern w:val="2"/>
          <w:sz w:val="21"/>
          <w:szCs w:val="21"/>
          <w:lang w:val="en-US" w:eastAsia="zh-CN" w:bidi="ar-SA"/>
        </w:rPr>
      </w:pPr>
      <w:r>
        <w:rPr>
          <w:rFonts w:hint="eastAsia" w:ascii="宋体" w:hAnsi="宋体" w:eastAsia="宋体" w:cs="宋体"/>
          <w:b/>
          <w:bCs/>
          <w:kern w:val="2"/>
          <w:sz w:val="21"/>
          <w:szCs w:val="21"/>
          <w:lang w:val="en-US" w:eastAsia="zh-CN" w:bidi="ar-SA"/>
        </w:rPr>
        <w:t>项目编号：潢公采【2020】035号</w:t>
      </w:r>
    </w:p>
    <w:p>
      <w:pPr>
        <w:pageBreakBefore w:val="0"/>
        <w:widowControl/>
        <w:kinsoku/>
        <w:overflowPunct/>
        <w:topLinePunct w:val="0"/>
        <w:autoSpaceDE/>
        <w:autoSpaceDN/>
        <w:bidi w:val="0"/>
        <w:snapToGrid/>
        <w:spacing w:line="360" w:lineRule="exact"/>
        <w:ind w:firstLine="211" w:firstLineChars="100"/>
        <w:jc w:val="left"/>
        <w:rPr>
          <w:rFonts w:hint="eastAsia" w:ascii="宋体" w:hAnsi="宋体" w:cs="宋体"/>
          <w:szCs w:val="21"/>
        </w:rPr>
      </w:pPr>
      <w:r>
        <w:rPr>
          <w:rFonts w:hint="eastAsia" w:ascii="宋体" w:hAnsi="宋体" w:eastAsia="宋体" w:cs="宋体"/>
          <w:b/>
          <w:bCs/>
          <w:kern w:val="2"/>
          <w:sz w:val="21"/>
          <w:szCs w:val="21"/>
          <w:lang w:val="en-US" w:eastAsia="zh-CN" w:bidi="ar-SA"/>
        </w:rPr>
        <w:t>项目名称：</w:t>
      </w:r>
      <w:r>
        <w:rPr>
          <w:rFonts w:hint="eastAsia" w:ascii="宋体" w:hAnsi="宋体" w:eastAsia="宋体" w:cs="宋体"/>
          <w:b w:val="0"/>
          <w:bCs w:val="0"/>
          <w:kern w:val="2"/>
          <w:sz w:val="21"/>
          <w:szCs w:val="21"/>
          <w:lang w:val="en-US" w:eastAsia="zh-CN" w:bidi="ar-SA"/>
        </w:rPr>
        <w:t>潢川县人民医院医疗器械采购项目</w:t>
      </w:r>
      <w:r>
        <w:rPr>
          <w:rFonts w:hint="eastAsia" w:ascii="宋体" w:hAnsi="宋体" w:eastAsia="宋体" w:cs="宋体"/>
          <w:b w:val="0"/>
          <w:kern w:val="2"/>
          <w:sz w:val="21"/>
          <w:szCs w:val="21"/>
          <w:lang w:val="en-US" w:eastAsia="zh-CN" w:bidi="ar-SA"/>
        </w:rPr>
        <w:t xml:space="preserve">  </w:t>
      </w:r>
    </w:p>
    <w:p>
      <w:pPr>
        <w:pageBreakBefore w:val="0"/>
        <w:widowControl/>
        <w:kinsoku/>
        <w:overflowPunct/>
        <w:topLinePunct w:val="0"/>
        <w:autoSpaceDE/>
        <w:autoSpaceDN/>
        <w:bidi w:val="0"/>
        <w:snapToGrid/>
        <w:spacing w:line="360" w:lineRule="exact"/>
        <w:ind w:firstLine="211" w:firstLineChars="100"/>
        <w:jc w:val="left"/>
        <w:rPr>
          <w:rFonts w:hint="eastAsia"/>
          <w:b w:val="0"/>
          <w:bCs w:val="0"/>
        </w:rPr>
      </w:pPr>
      <w:r>
        <w:rPr>
          <w:rFonts w:hint="eastAsia" w:ascii="宋体" w:hAnsi="宋体" w:cs="宋体"/>
          <w:b/>
          <w:bCs/>
          <w:szCs w:val="21"/>
        </w:rPr>
        <w:t>预算金额</w:t>
      </w:r>
      <w:r>
        <w:rPr>
          <w:rFonts w:hint="eastAsia" w:ascii="宋体" w:hAnsi="宋体" w:cs="宋体"/>
          <w:b/>
          <w:bCs/>
          <w:szCs w:val="21"/>
          <w:lang w:eastAsia="zh-CN"/>
        </w:rPr>
        <w:t>（最高限价）</w:t>
      </w:r>
      <w:r>
        <w:rPr>
          <w:rFonts w:hint="eastAsia" w:ascii="宋体" w:hAnsi="宋体" w:cs="宋体"/>
          <w:b/>
          <w:bCs/>
          <w:szCs w:val="21"/>
        </w:rPr>
        <w:t>：</w:t>
      </w:r>
      <w:r>
        <w:rPr>
          <w:rFonts w:hint="eastAsia"/>
          <w:b w:val="0"/>
          <w:bCs w:val="0"/>
          <w:sz w:val="22"/>
          <w:szCs w:val="28"/>
          <w:vertAlign w:val="baseline"/>
          <w:lang w:val="en-US" w:eastAsia="zh-CN"/>
        </w:rPr>
        <w:t>14454078.00</w:t>
      </w:r>
      <w:r>
        <w:rPr>
          <w:rFonts w:hint="eastAsia" w:ascii="宋体" w:hAnsi="宋体" w:cs="宋体"/>
          <w:b w:val="0"/>
          <w:bCs w:val="0"/>
          <w:szCs w:val="21"/>
        </w:rPr>
        <w:t>元</w:t>
      </w:r>
    </w:p>
    <w:p>
      <w:pPr>
        <w:pageBreakBefore w:val="0"/>
        <w:widowControl/>
        <w:kinsoku/>
        <w:overflowPunct/>
        <w:topLinePunct w:val="0"/>
        <w:autoSpaceDE/>
        <w:autoSpaceDN/>
        <w:bidi w:val="0"/>
        <w:snapToGrid/>
        <w:spacing w:line="360" w:lineRule="exact"/>
        <w:ind w:firstLine="211" w:firstLineChars="100"/>
        <w:jc w:val="left"/>
        <w:rPr>
          <w:rFonts w:hint="eastAsia" w:ascii="宋体" w:hAnsi="宋体" w:cs="宋体"/>
          <w:b/>
          <w:bCs/>
          <w:color w:val="auto"/>
          <w:szCs w:val="21"/>
          <w:lang w:val="zh-CN"/>
        </w:rPr>
      </w:pPr>
      <w:r>
        <w:rPr>
          <w:rFonts w:hint="eastAsia" w:ascii="宋体" w:hAnsi="宋体" w:cs="宋体"/>
          <w:b/>
          <w:bCs/>
          <w:color w:val="auto"/>
          <w:szCs w:val="21"/>
          <w:lang w:val="zh-CN"/>
        </w:rPr>
        <w:t>采购</w:t>
      </w:r>
      <w:r>
        <w:rPr>
          <w:rFonts w:hint="eastAsia" w:ascii="宋体" w:hAnsi="宋体" w:cs="宋体"/>
          <w:b/>
          <w:bCs/>
          <w:color w:val="auto"/>
          <w:szCs w:val="21"/>
        </w:rPr>
        <w:t>需求</w:t>
      </w:r>
      <w:r>
        <w:rPr>
          <w:rFonts w:hint="eastAsia" w:ascii="宋体" w:hAnsi="宋体" w:cs="宋体"/>
          <w:b/>
          <w:bCs/>
          <w:color w:val="auto"/>
          <w:szCs w:val="21"/>
          <w:lang w:val="zh-CN"/>
        </w:rPr>
        <w:t>：</w:t>
      </w:r>
      <w:r>
        <w:rPr>
          <w:rFonts w:hint="eastAsia" w:ascii="宋体" w:hAnsi="宋体" w:cs="宋体"/>
          <w:color w:val="auto"/>
          <w:szCs w:val="21"/>
        </w:rPr>
        <w:t>本次采购共1个包，具体内容为清单内所含货物的供应、安装、调试、售后等内容，技术参数具体以招标文件为准；</w:t>
      </w:r>
    </w:p>
    <w:tbl>
      <w:tblPr>
        <w:tblStyle w:val="1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660"/>
        <w:gridCol w:w="1182"/>
        <w:gridCol w:w="10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3"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名称</w:t>
            </w:r>
          </w:p>
        </w:tc>
        <w:tc>
          <w:tcPr>
            <w:tcW w:w="1182"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数量</w:t>
            </w:r>
          </w:p>
        </w:tc>
        <w:tc>
          <w:tcPr>
            <w:tcW w:w="108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单位</w:t>
            </w:r>
          </w:p>
        </w:tc>
        <w:tc>
          <w:tcPr>
            <w:tcW w:w="1575"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3"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3660"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auto"/>
                <w:kern w:val="0"/>
                <w:sz w:val="21"/>
                <w:szCs w:val="21"/>
              </w:rPr>
              <w:t>全数字化高端彩色超声诊断系统</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lang w:eastAsia="zh-CN"/>
              </w:rPr>
              <w:t>非接触眼压计</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lang w:eastAsia="zh-CN"/>
              </w:rPr>
              <w:t>内脏脂肪测量装置</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lang w:val="en-US" w:eastAsia="zh-CN"/>
              </w:rPr>
              <w:t>高压注射器</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套</w:t>
            </w:r>
          </w:p>
        </w:tc>
        <w:tc>
          <w:tcPr>
            <w:tcW w:w="1575"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5</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rPr>
              <w:t>婴儿、儿童常频高频振荡呼吸机</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rPr>
              <w:t>血气分析仪</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rPr>
              <w:t>血液透析机</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w:t>
            </w:r>
          </w:p>
        </w:tc>
        <w:tc>
          <w:tcPr>
            <w:tcW w:w="3660"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auto"/>
                <w:sz w:val="21"/>
                <w:szCs w:val="21"/>
                <w:lang w:val="en-US" w:eastAsia="zh-CN"/>
              </w:rPr>
              <w:t>胰岛素泵</w:t>
            </w:r>
          </w:p>
        </w:tc>
        <w:tc>
          <w:tcPr>
            <w:tcW w:w="1182"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000000"/>
                <w:kern w:val="2"/>
                <w:sz w:val="22"/>
                <w:szCs w:val="28"/>
                <w:highlight w:val="none"/>
                <w:vertAlign w:val="baseline"/>
                <w:lang w:val="en-US" w:eastAsia="zh-CN" w:bidi="ar-SA"/>
              </w:rPr>
            </w:pPr>
            <w:r>
              <w:rPr>
                <w:rFonts w:hint="eastAsia"/>
                <w:b w:val="0"/>
                <w:bCs w:val="0"/>
                <w:color w:val="000000"/>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PT床</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张</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PT凳</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个</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动脉硬化检测装置</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b w:val="0"/>
                <w:bCs w:val="0"/>
                <w:color w:val="auto"/>
                <w:kern w:val="2"/>
                <w:sz w:val="22"/>
                <w:szCs w:val="28"/>
                <w:highlight w:val="none"/>
                <w:vertAlign w:val="baseline"/>
                <w:lang w:val="en-US" w:eastAsia="zh-CN" w:bidi="ar-SA"/>
              </w:rPr>
            </w:pPr>
            <w:r>
              <w:rPr>
                <w:rFonts w:hint="eastAsia"/>
                <w:b w:val="0"/>
                <w:bCs w:val="0"/>
                <w:color w:val="auto"/>
                <w:kern w:val="2"/>
                <w:sz w:val="22"/>
                <w:szCs w:val="28"/>
                <w:highlight w:val="none"/>
                <w:vertAlign w:val="baseline"/>
                <w:lang w:val="en-US" w:eastAsia="zh-CN" w:bidi="ar-SA"/>
              </w:rPr>
              <w:t>套</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eastAsia="zh-CN"/>
              </w:rPr>
              <w:t>快速</w:t>
            </w:r>
            <w:r>
              <w:rPr>
                <w:rFonts w:hint="eastAsia" w:ascii="宋体" w:hAnsi="宋体" w:eastAsia="宋体" w:cs="宋体"/>
                <w:b w:val="0"/>
                <w:bCs w:val="0"/>
                <w:sz w:val="21"/>
                <w:szCs w:val="21"/>
              </w:rPr>
              <w:t>全自动清洗消毒器</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膀胱容量测定仪</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14</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全自动化学发光分析仪</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15</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caps w:val="0"/>
                <w:color w:val="auto"/>
                <w:spacing w:val="0"/>
                <w:sz w:val="21"/>
                <w:szCs w:val="21"/>
                <w:shd w:val="clear" w:color="auto" w:fill="FFFFFF"/>
                <w:lang w:eastAsia="zh-CN"/>
              </w:rPr>
              <w:t>上下肢主被动康复训练器</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16</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caps w:val="0"/>
                <w:color w:val="auto"/>
                <w:spacing w:val="0"/>
                <w:sz w:val="21"/>
                <w:szCs w:val="21"/>
                <w:shd w:val="clear" w:color="auto" w:fill="FFFFFF"/>
                <w:lang w:eastAsia="zh-CN"/>
              </w:rPr>
              <w:t>吞咽神经肌肉电刺激仪</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color w:val="auto"/>
                <w:kern w:val="2"/>
                <w:sz w:val="22"/>
                <w:szCs w:val="28"/>
                <w:highlight w:val="none"/>
                <w:vertAlign w:val="baseline"/>
                <w:lang w:val="en-US" w:eastAsia="zh-CN" w:bidi="ar-SA"/>
              </w:rPr>
            </w:pPr>
            <w:r>
              <w:rPr>
                <w:rFonts w:hint="eastAsia"/>
                <w:b w:val="0"/>
                <w:bCs w:val="0"/>
                <w:color w:val="auto"/>
                <w:sz w:val="22"/>
                <w:szCs w:val="28"/>
                <w:highlight w:val="none"/>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17</w:t>
            </w:r>
          </w:p>
        </w:tc>
        <w:tc>
          <w:tcPr>
            <w:tcW w:w="3660" w:type="dxa"/>
            <w:noWrap w:val="0"/>
            <w:vAlign w:val="center"/>
          </w:tcPr>
          <w:p>
            <w:pPr>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数字式十二道心电图机</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18</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空氧混合器</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19</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T型复苏器</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20</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低压吸引器</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21</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运输用培养箱</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22</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胎儿脐血流检测仪</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23</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双通道注射泵</w:t>
            </w:r>
          </w:p>
        </w:tc>
        <w:tc>
          <w:tcPr>
            <w:tcW w:w="1182" w:type="dxa"/>
            <w:noWrap w:val="0"/>
            <w:vAlign w:val="center"/>
          </w:tcPr>
          <w:p>
            <w:pPr>
              <w:keepNext w:val="0"/>
              <w:keepLines w:val="0"/>
              <w:widowControl/>
              <w:suppressLineNumbers w:val="0"/>
              <w:jc w:val="center"/>
              <w:textAlignment w:val="center"/>
              <w:rPr>
                <w:rFonts w:hint="eastAsia"/>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24</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输液泵</w:t>
            </w:r>
          </w:p>
        </w:tc>
        <w:tc>
          <w:tcPr>
            <w:tcW w:w="1182" w:type="dxa"/>
            <w:noWrap w:val="0"/>
            <w:vAlign w:val="center"/>
          </w:tcPr>
          <w:p>
            <w:pPr>
              <w:keepNext w:val="0"/>
              <w:keepLines w:val="0"/>
              <w:widowControl/>
              <w:suppressLineNumbers w:val="0"/>
              <w:jc w:val="center"/>
              <w:textAlignment w:val="center"/>
              <w:rPr>
                <w:rFonts w:hint="eastAsia"/>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25</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color w:val="000000"/>
                <w:sz w:val="21"/>
                <w:szCs w:val="21"/>
              </w:rPr>
              <w:t>单道微量注射泵</w:t>
            </w:r>
          </w:p>
        </w:tc>
        <w:tc>
          <w:tcPr>
            <w:tcW w:w="1182" w:type="dxa"/>
            <w:noWrap w:val="0"/>
            <w:vAlign w:val="center"/>
          </w:tcPr>
          <w:p>
            <w:pPr>
              <w:keepNext w:val="0"/>
              <w:keepLines w:val="0"/>
              <w:widowControl/>
              <w:suppressLineNumbers w:val="0"/>
              <w:jc w:val="center"/>
              <w:textAlignment w:val="center"/>
              <w:rPr>
                <w:rFonts w:hint="eastAsia" w:ascii="Calibri" w:hAnsi="Calibri" w:eastAsia="宋体" w:cs="Times New Roman"/>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26</w:t>
            </w:r>
          </w:p>
        </w:tc>
        <w:tc>
          <w:tcPr>
            <w:tcW w:w="366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新生儿病人监护仪</w:t>
            </w:r>
          </w:p>
        </w:tc>
        <w:tc>
          <w:tcPr>
            <w:tcW w:w="1182" w:type="dxa"/>
            <w:noWrap w:val="0"/>
            <w:vAlign w:val="center"/>
          </w:tcPr>
          <w:p>
            <w:pPr>
              <w:keepNext w:val="0"/>
              <w:keepLines w:val="0"/>
              <w:widowControl/>
              <w:suppressLineNumbers w:val="0"/>
              <w:jc w:val="center"/>
              <w:textAlignment w:val="center"/>
              <w:rPr>
                <w:rFonts w:hint="eastAsia"/>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27</w:t>
            </w:r>
          </w:p>
        </w:tc>
        <w:tc>
          <w:tcPr>
            <w:tcW w:w="3660" w:type="dxa"/>
            <w:noWrap w:val="0"/>
            <w:vAlign w:val="center"/>
          </w:tcPr>
          <w:p>
            <w:pPr>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麻醉视频喉镜</w:t>
            </w:r>
          </w:p>
        </w:tc>
        <w:tc>
          <w:tcPr>
            <w:tcW w:w="1182" w:type="dxa"/>
            <w:noWrap w:val="0"/>
            <w:vAlign w:val="center"/>
          </w:tcPr>
          <w:p>
            <w:pPr>
              <w:keepNext w:val="0"/>
              <w:keepLines w:val="0"/>
              <w:widowControl/>
              <w:suppressLineNumbers w:val="0"/>
              <w:jc w:val="center"/>
              <w:textAlignment w:val="center"/>
              <w:rPr>
                <w:rFonts w:hint="eastAsia"/>
                <w:b w:val="0"/>
                <w:bCs w:val="0"/>
                <w:kern w:val="2"/>
                <w:sz w:val="22"/>
                <w:szCs w:val="28"/>
                <w:vertAlign w:val="baseli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28</w:t>
            </w:r>
          </w:p>
        </w:tc>
        <w:tc>
          <w:tcPr>
            <w:tcW w:w="3660" w:type="dxa"/>
            <w:noWrap w:val="0"/>
            <w:vAlign w:val="center"/>
          </w:tcPr>
          <w:p>
            <w:pPr>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新生儿呼吸机</w:t>
            </w:r>
          </w:p>
        </w:tc>
        <w:tc>
          <w:tcPr>
            <w:tcW w:w="11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Calibri" w:hAnsi="Calibri" w:eastAsia="宋体" w:cs="Times New Roman"/>
                <w:b w:val="0"/>
                <w:bCs w:val="0"/>
                <w:kern w:val="2"/>
                <w:sz w:val="22"/>
                <w:szCs w:val="28"/>
                <w:vertAlign w:val="baseline"/>
                <w:lang w:val="en-US" w:eastAsia="zh-CN" w:bidi="ar-SA"/>
              </w:rPr>
            </w:pPr>
            <w:r>
              <w:rPr>
                <w:rFonts w:hint="eastAsia"/>
                <w:b w:val="0"/>
                <w:bCs w:val="0"/>
                <w:sz w:val="22"/>
                <w:szCs w:val="28"/>
                <w:vertAlign w:val="baseline"/>
                <w:lang w:val="en-US" w:eastAsia="zh-CN"/>
              </w:rPr>
              <w:t>台</w:t>
            </w:r>
          </w:p>
        </w:tc>
        <w:tc>
          <w:tcPr>
            <w:tcW w:w="1575" w:type="dxa"/>
            <w:noWrap w:val="0"/>
            <w:vAlign w:val="center"/>
          </w:tcPr>
          <w:p>
            <w:pPr>
              <w:jc w:val="center"/>
              <w:rPr>
                <w:rFonts w:hint="eastAsia" w:ascii="宋体" w:hAnsi="宋体" w:eastAsia="宋体" w:cs="宋体"/>
                <w:b w:val="0"/>
                <w:bCs w:val="0"/>
                <w:color w:val="000000"/>
                <w:sz w:val="21"/>
                <w:szCs w:val="21"/>
                <w:lang w:val="zh-CN"/>
              </w:rPr>
            </w:pPr>
          </w:p>
        </w:tc>
      </w:tr>
    </w:tbl>
    <w:p>
      <w:pPr>
        <w:pStyle w:val="2"/>
        <w:rPr>
          <w:rFonts w:hint="eastAsia"/>
          <w:lang w:val="zh-CN"/>
        </w:rPr>
      </w:pPr>
    </w:p>
    <w:p>
      <w:pPr>
        <w:pStyle w:val="9"/>
        <w:pageBreakBefore w:val="0"/>
        <w:tabs>
          <w:tab w:val="right" w:leader="dot" w:pos="9016"/>
        </w:tabs>
        <w:kinsoku/>
        <w:overflowPunct/>
        <w:topLinePunct w:val="0"/>
        <w:autoSpaceDE/>
        <w:autoSpaceDN/>
        <w:bidi w:val="0"/>
        <w:snapToGrid/>
        <w:spacing w:line="360" w:lineRule="exact"/>
        <w:ind w:firstLine="420" w:firstLineChars="200"/>
        <w:rPr>
          <w:rFonts w:ascii="宋体" w:hAnsi="宋体" w:cs="宋体"/>
          <w:bCs/>
          <w:color w:val="auto"/>
          <w:kern w:val="44"/>
          <w:szCs w:val="21"/>
        </w:rPr>
      </w:pPr>
      <w:r>
        <w:rPr>
          <w:rFonts w:hint="eastAsia" w:ascii="宋体" w:hAnsi="宋体" w:cs="宋体"/>
          <w:bCs/>
          <w:color w:val="auto"/>
          <w:kern w:val="44"/>
          <w:szCs w:val="21"/>
        </w:rPr>
        <w:t>交货期</w:t>
      </w:r>
      <w:r>
        <w:rPr>
          <w:rFonts w:hint="eastAsia" w:ascii="宋体" w:hAnsi="宋体" w:cs="宋体"/>
          <w:bCs/>
          <w:color w:val="auto"/>
          <w:kern w:val="44"/>
          <w:szCs w:val="21"/>
          <w:lang w:eastAsia="zh-CN"/>
        </w:rPr>
        <w:t>及安装期</w:t>
      </w:r>
      <w:r>
        <w:rPr>
          <w:rFonts w:hint="eastAsia" w:ascii="宋体" w:hAnsi="宋体" w:cs="宋体"/>
          <w:bCs/>
          <w:color w:val="auto"/>
          <w:kern w:val="44"/>
          <w:szCs w:val="21"/>
        </w:rPr>
        <w:t>：合同签订后</w:t>
      </w:r>
      <w:r>
        <w:rPr>
          <w:rFonts w:hint="eastAsia" w:ascii="宋体" w:hAnsi="宋体" w:cs="宋体"/>
          <w:bCs/>
          <w:color w:val="auto"/>
          <w:kern w:val="44"/>
          <w:szCs w:val="21"/>
          <w:lang w:val="en-US" w:eastAsia="zh-CN"/>
        </w:rPr>
        <w:t>90</w:t>
      </w:r>
      <w:r>
        <w:rPr>
          <w:rFonts w:hint="eastAsia" w:ascii="宋体" w:hAnsi="宋体" w:cs="宋体"/>
          <w:bCs/>
          <w:color w:val="auto"/>
          <w:kern w:val="44"/>
          <w:szCs w:val="21"/>
        </w:rPr>
        <w:t>日历天</w:t>
      </w:r>
    </w:p>
    <w:p>
      <w:pPr>
        <w:pStyle w:val="9"/>
        <w:pageBreakBefore w:val="0"/>
        <w:tabs>
          <w:tab w:val="right" w:leader="dot" w:pos="9016"/>
        </w:tabs>
        <w:kinsoku/>
        <w:overflowPunct/>
        <w:topLinePunct w:val="0"/>
        <w:autoSpaceDE/>
        <w:autoSpaceDN/>
        <w:bidi w:val="0"/>
        <w:snapToGrid/>
        <w:spacing w:line="360" w:lineRule="exact"/>
        <w:ind w:firstLine="420"/>
        <w:rPr>
          <w:rFonts w:hint="eastAsia" w:ascii="宋体" w:hAnsi="宋体" w:cs="宋体"/>
          <w:bCs/>
          <w:color w:val="FF0000"/>
          <w:kern w:val="44"/>
          <w:szCs w:val="21"/>
        </w:rPr>
      </w:pPr>
      <w:r>
        <w:rPr>
          <w:rFonts w:hint="eastAsia" w:ascii="宋体" w:hAnsi="宋体" w:cs="宋体"/>
          <w:bCs/>
          <w:color w:val="auto"/>
          <w:kern w:val="44"/>
          <w:szCs w:val="21"/>
        </w:rPr>
        <w:t>质保期：1年</w:t>
      </w:r>
    </w:p>
    <w:p>
      <w:pPr>
        <w:pageBreakBefore w:val="0"/>
        <w:kinsoku/>
        <w:overflowPunct/>
        <w:topLinePunct w:val="0"/>
        <w:autoSpaceDE/>
        <w:autoSpaceDN/>
        <w:bidi w:val="0"/>
        <w:snapToGrid/>
        <w:spacing w:line="360" w:lineRule="exact"/>
        <w:rPr>
          <w:rFonts w:hint="default" w:ascii="宋体" w:hAnsi="宋体" w:cs="宋体"/>
          <w:bCs/>
          <w:kern w:val="44"/>
          <w:szCs w:val="21"/>
          <w:lang w:val="en-US" w:eastAsia="zh-CN"/>
        </w:rPr>
      </w:pPr>
      <w:r>
        <w:rPr>
          <w:rFonts w:hint="eastAsia" w:ascii="宋体" w:hAnsi="宋体" w:cs="宋体"/>
          <w:bCs/>
          <w:kern w:val="44"/>
          <w:szCs w:val="21"/>
          <w:lang w:val="en-US" w:eastAsia="zh-CN"/>
        </w:rPr>
        <w:t xml:space="preserve">    资金来源：财政及自筹资金</w:t>
      </w:r>
    </w:p>
    <w:p>
      <w:pPr>
        <w:pageBreakBefore w:val="0"/>
        <w:kinsoku/>
        <w:overflowPunct/>
        <w:topLinePunct w:val="0"/>
        <w:autoSpaceDE/>
        <w:autoSpaceDN/>
        <w:bidi w:val="0"/>
        <w:snapToGrid/>
        <w:spacing w:line="360" w:lineRule="exact"/>
        <w:ind w:hanging="67357" w:hangingChars="32075"/>
        <w:rPr>
          <w:rFonts w:hint="eastAsia" w:ascii="宋体" w:hAnsi="宋体" w:cs="宋体"/>
          <w:bCs/>
          <w:kern w:val="44"/>
          <w:szCs w:val="21"/>
        </w:rPr>
      </w:pPr>
      <w:r>
        <w:rPr>
          <w:rFonts w:hint="eastAsia" w:ascii="宋体" w:hAnsi="宋体" w:cs="宋体"/>
          <w:bCs/>
          <w:kern w:val="44"/>
          <w:szCs w:val="21"/>
          <w:lang w:val="en-US" w:eastAsia="zh-CN"/>
        </w:rPr>
        <w:t xml:space="preserve">    </w:t>
      </w:r>
      <w:r>
        <w:rPr>
          <w:rFonts w:hint="eastAsia" w:ascii="宋体" w:hAnsi="宋体" w:cs="宋体"/>
          <w:bCs/>
          <w:kern w:val="44"/>
          <w:szCs w:val="21"/>
        </w:rPr>
        <w:t>供货地点：采购人指定地点</w:t>
      </w:r>
    </w:p>
    <w:p>
      <w:pPr>
        <w:pageBreakBefore w:val="0"/>
        <w:kinsoku/>
        <w:overflowPunct/>
        <w:topLinePunct w:val="0"/>
        <w:autoSpaceDE/>
        <w:autoSpaceDN/>
        <w:bidi w:val="0"/>
        <w:snapToGrid/>
        <w:spacing w:line="360" w:lineRule="exact"/>
        <w:ind w:left="67355" w:leftChars="199" w:hanging="66937" w:hangingChars="31875"/>
        <w:rPr>
          <w:rFonts w:hint="eastAsia" w:ascii="宋体" w:hAnsi="宋体" w:eastAsia="宋体" w:cs="宋体"/>
          <w:bCs/>
          <w:kern w:val="44"/>
          <w:szCs w:val="21"/>
          <w:lang w:eastAsia="zh-CN"/>
        </w:rPr>
      </w:pPr>
      <w:r>
        <w:rPr>
          <w:rFonts w:hint="eastAsia" w:ascii="宋体" w:hAnsi="宋体" w:cs="宋体"/>
          <w:bCs/>
          <w:kern w:val="44"/>
          <w:szCs w:val="21"/>
        </w:rPr>
        <w:t>本项目（是/否）接受联合体投标</w:t>
      </w:r>
      <w:r>
        <w:rPr>
          <w:rFonts w:hint="eastAsia" w:ascii="宋体" w:hAnsi="宋体" w:cs="宋体"/>
          <w:bCs/>
          <w:kern w:val="44"/>
          <w:szCs w:val="21"/>
          <w:lang w:eastAsia="zh-CN"/>
        </w:rPr>
        <w:t>：否</w:t>
      </w:r>
    </w:p>
    <w:p>
      <w:pPr>
        <w:pStyle w:val="9"/>
        <w:pageBreakBefore w:val="0"/>
        <w:numPr>
          <w:ilvl w:val="0"/>
          <w:numId w:val="1"/>
        </w:numPr>
        <w:tabs>
          <w:tab w:val="right" w:leader="dot" w:pos="9016"/>
        </w:tabs>
        <w:kinsoku/>
        <w:overflowPunct/>
        <w:topLinePunct w:val="0"/>
        <w:autoSpaceDE/>
        <w:autoSpaceDN/>
        <w:bidi w:val="0"/>
        <w:snapToGrid/>
        <w:spacing w:line="360" w:lineRule="exact"/>
        <w:rPr>
          <w:rFonts w:hint="eastAsia" w:ascii="宋体" w:hAnsi="宋体" w:cs="宋体"/>
          <w:b/>
          <w:bCs w:val="0"/>
          <w:kern w:val="44"/>
          <w:szCs w:val="21"/>
          <w:lang w:val="en-US" w:eastAsia="zh-CN"/>
        </w:rPr>
      </w:pPr>
      <w:r>
        <w:rPr>
          <w:rFonts w:hint="eastAsia" w:ascii="宋体" w:hAnsi="宋体" w:cs="宋体"/>
          <w:b/>
          <w:bCs w:val="0"/>
          <w:kern w:val="44"/>
          <w:szCs w:val="21"/>
          <w:lang w:val="en-US" w:eastAsia="zh-CN"/>
        </w:rPr>
        <w:t>申请人资格要求</w:t>
      </w:r>
    </w:p>
    <w:p>
      <w:pPr>
        <w:numPr>
          <w:ilvl w:val="0"/>
          <w:numId w:val="0"/>
        </w:numPr>
        <w:spacing w:line="360" w:lineRule="auto"/>
        <w:ind w:firstLine="420" w:firstLineChars="200"/>
        <w:rPr>
          <w:rFonts w:hint="eastAsia"/>
          <w:lang w:val="en-US" w:eastAsia="zh-CN"/>
        </w:rPr>
      </w:pPr>
      <w:r>
        <w:rPr>
          <w:rFonts w:hint="eastAsia"/>
          <w:lang w:val="en-US" w:eastAsia="zh-CN"/>
        </w:rPr>
        <w:t>1.满足《中华人民共和国政府采购法》第二十二条规定；</w:t>
      </w:r>
    </w:p>
    <w:p>
      <w:pPr>
        <w:numPr>
          <w:ilvl w:val="0"/>
          <w:numId w:val="0"/>
        </w:numPr>
        <w:spacing w:line="360" w:lineRule="auto"/>
        <w:ind w:firstLine="420" w:firstLineChars="200"/>
        <w:rPr>
          <w:rFonts w:hint="eastAsia"/>
          <w:lang w:val="en-US" w:eastAsia="zh-CN"/>
        </w:rPr>
      </w:pPr>
      <w:r>
        <w:rPr>
          <w:rFonts w:hint="eastAsia"/>
          <w:lang w:val="en-US" w:eastAsia="zh-CN"/>
        </w:rPr>
        <w:t>2.落实政府采购政策需满足的资格要求：</w:t>
      </w:r>
      <w:r>
        <w:rPr>
          <w:rFonts w:hint="eastAsia" w:ascii="宋体" w:hAnsi="宋体" w:eastAsia="宋体" w:cs="宋体"/>
          <w:b w:val="0"/>
          <w:i w:val="0"/>
          <w:caps w:val="0"/>
          <w:color w:val="000000"/>
          <w:spacing w:val="0"/>
          <w:sz w:val="22"/>
          <w:szCs w:val="22"/>
        </w:rPr>
        <w:t>本项目执行促进中小型企业发展政策（残疾人福利性企业、监狱企业视同小微企业）、优先采购节能环保产品等政府采购政策。</w:t>
      </w:r>
    </w:p>
    <w:p>
      <w:pPr>
        <w:numPr>
          <w:ilvl w:val="0"/>
          <w:numId w:val="0"/>
        </w:numPr>
        <w:spacing w:line="360" w:lineRule="auto"/>
        <w:ind w:firstLine="420" w:firstLineChars="200"/>
        <w:rPr>
          <w:rFonts w:hint="eastAsia"/>
          <w:lang w:val="en-US" w:eastAsia="zh-CN"/>
        </w:rPr>
      </w:pPr>
      <w:r>
        <w:rPr>
          <w:rFonts w:hint="eastAsia"/>
          <w:lang w:val="en-US" w:eastAsia="zh-CN"/>
        </w:rPr>
        <w:t>3.本项目的特定资格要求：</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具有独立法人资格，持有经营该类项目范围且有效的营业执照；</w:t>
      </w:r>
    </w:p>
    <w:p>
      <w:pPr>
        <w:pageBreakBefore w:val="0"/>
        <w:widowControl/>
        <w:kinsoku/>
        <w:overflowPunct/>
        <w:topLinePunct w:val="0"/>
        <w:autoSpaceDE/>
        <w:autoSpaceDN/>
        <w:bidi w:val="0"/>
        <w:snapToGrid/>
        <w:spacing w:line="36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投标供应商须提供《医疗器械生产许可证》或《医疗器械经营许可证》；</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3.3</w:t>
      </w:r>
      <w:r>
        <w:rPr>
          <w:rFonts w:hint="eastAsia" w:ascii="宋体" w:hAnsi="宋体" w:cs="宋体"/>
          <w:szCs w:val="21"/>
        </w:rPr>
        <w:t>投标产品须具有有效期内的医疗器械注册证；</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3.4.</w:t>
      </w:r>
      <w:r>
        <w:rPr>
          <w:rFonts w:hint="eastAsia" w:ascii="宋体" w:hAnsi="宋体" w:cs="宋体"/>
          <w:szCs w:val="21"/>
        </w:rPr>
        <w:t>进口产品提供针对本次项目制造商唯一授权书；</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default" w:ascii="宋体" w:hAnsi="宋体" w:cs="宋体"/>
          <w:bCs/>
          <w:kern w:val="44"/>
          <w:szCs w:val="21"/>
          <w:lang w:val="en-US" w:eastAsia="zh-CN"/>
        </w:rPr>
      </w:pPr>
      <w:r>
        <w:rPr>
          <w:rFonts w:hint="eastAsia" w:ascii="宋体" w:hAnsi="宋体" w:cs="宋体"/>
          <w:szCs w:val="21"/>
          <w:lang w:val="en-US" w:eastAsia="zh-CN"/>
        </w:rPr>
        <w:t>3.5</w:t>
      </w:r>
      <w:r>
        <w:rPr>
          <w:rFonts w:hint="eastAsia" w:ascii="宋体" w:hAnsi="宋体" w:cs="宋体"/>
          <w:szCs w:val="21"/>
        </w:rPr>
        <w:t>对列入失信被执行人、重大税收违法案件当事人名单、政府采购严重违法失信行为记录名单的供应商，拒绝参与本项目政府采购活动；查询渠道：“信用中国”网站（www.creditchina.gov.cn）、中国政府采购网（www.ccgp.gov.cn）；</w:t>
      </w:r>
    </w:p>
    <w:p>
      <w:pPr>
        <w:pageBreakBefore w:val="0"/>
        <w:widowControl/>
        <w:shd w:val="solid" w:color="FFFFFF" w:fill="auto"/>
        <w:kinsoku/>
        <w:overflowPunct/>
        <w:topLinePunct w:val="0"/>
        <w:autoSpaceDE/>
        <w:autoSpaceDN/>
        <w:bidi w:val="0"/>
        <w:snapToGrid/>
        <w:spacing w:line="360" w:lineRule="exact"/>
        <w:jc w:val="left"/>
        <w:rPr>
          <w:rFonts w:hint="eastAsia" w:ascii="宋体" w:hAnsi="宋体" w:cs="宋体"/>
          <w:b/>
          <w:bCs/>
          <w:szCs w:val="21"/>
          <w:lang w:val="en-US" w:eastAsia="zh-CN"/>
        </w:rPr>
      </w:pPr>
      <w:r>
        <w:rPr>
          <w:rFonts w:hint="eastAsia" w:ascii="宋体" w:hAnsi="宋体" w:cs="宋体"/>
          <w:b/>
          <w:bCs/>
          <w:szCs w:val="21"/>
          <w:lang w:val="en-US" w:eastAsia="zh-CN"/>
        </w:rPr>
        <w:t>三、获取招标文件</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1.时间:</w:t>
      </w:r>
      <w:r>
        <w:rPr>
          <w:rFonts w:hint="eastAsia" w:ascii="宋体" w:hAnsi="宋体" w:cs="宋体"/>
          <w:color w:val="FF0000"/>
          <w:szCs w:val="21"/>
          <w:lang w:val="en-US" w:eastAsia="zh-CN"/>
        </w:rPr>
        <w:t xml:space="preserve"> </w:t>
      </w:r>
      <w:r>
        <w:rPr>
          <w:rFonts w:hint="eastAsia" w:ascii="宋体" w:hAnsi="宋体" w:cs="宋体"/>
          <w:color w:val="auto"/>
          <w:szCs w:val="21"/>
          <w:lang w:val="en-US" w:eastAsia="zh-CN"/>
        </w:rPr>
        <w:t>2020年10月28日00时00分至2020年11月3日 23 时59 分。</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2.地点:信阳市公共资源交易网（</w:t>
      </w:r>
      <w:r>
        <w:rPr>
          <w:rFonts w:hint="eastAsia" w:ascii="宋体" w:hAnsi="宋体" w:cs="宋体"/>
          <w:szCs w:val="21"/>
          <w:lang w:val="en-US" w:eastAsia="zh-CN"/>
        </w:rPr>
        <w:t>www.xyggzyjy.cn</w:t>
      </w:r>
      <w:r>
        <w:rPr>
          <w:rFonts w:hint="eastAsia" w:ascii="宋体" w:hAnsi="宋体" w:cs="宋体"/>
          <w:color w:val="auto"/>
          <w:szCs w:val="21"/>
          <w:lang w:val="en-US" w:eastAsia="zh-CN"/>
        </w:rPr>
        <w:t>）</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lang w:val="en-US" w:eastAsia="zh-CN"/>
        </w:rPr>
      </w:pPr>
      <w:r>
        <w:rPr>
          <w:rFonts w:hint="eastAsia" w:ascii="宋体" w:hAnsi="宋体" w:cs="宋体"/>
          <w:color w:val="auto"/>
          <w:szCs w:val="21"/>
          <w:lang w:val="en-US" w:eastAsia="zh-CN"/>
        </w:rPr>
        <w:t>3.方式:</w:t>
      </w:r>
      <w:r>
        <w:rPr>
          <w:rFonts w:hint="eastAsia" w:ascii="宋体" w:hAnsi="宋体" w:cs="宋体"/>
          <w:szCs w:val="21"/>
          <w:lang w:val="en-US" w:eastAsia="zh-CN"/>
        </w:rPr>
        <w:t>凡有意参加本项目的供应商，请登陆“信阳市公共资源交易中心（www.xyggzyjy.cn）”网站进行交易主体自主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完成企业诚信库注册后，必须办理CA数字证书方可在网上办理招投标相关业务。供应商根据《信阳市公共资源交易网》</w:t>
      </w:r>
      <w:r>
        <w:rPr>
          <w:rFonts w:hint="eastAsia" w:ascii="宋体" w:hAnsi="宋体" w:cs="宋体"/>
          <w:color w:val="auto"/>
          <w:szCs w:val="21"/>
          <w:lang w:val="en-US" w:eastAsia="zh-CN"/>
        </w:rPr>
        <w:t>左侧下载中心有关办理CA数字证书的要求，</w:t>
      </w:r>
      <w:r>
        <w:rPr>
          <w:rFonts w:hint="eastAsia" w:ascii="宋体" w:hAnsi="宋体" w:cs="宋体"/>
          <w:szCs w:val="21"/>
          <w:lang w:val="en-US" w:eastAsia="zh-CN"/>
        </w:rPr>
        <w:t>准备好CA办理所需资料，到信阳市公共资源交易中心四楼CA窗口现场办理CA数字证书。</w:t>
      </w:r>
    </w:p>
    <w:p>
      <w:pPr>
        <w:keepNext w:val="0"/>
        <w:keepLines w:val="0"/>
        <w:pageBreakBefore w:val="0"/>
        <w:kinsoku/>
        <w:wordWrap/>
        <w:overflowPunct/>
        <w:topLinePunct w:val="0"/>
        <w:autoSpaceDE/>
        <w:autoSpaceDN/>
        <w:bidi w:val="0"/>
        <w:spacing w:line="380" w:lineRule="exact"/>
        <w:ind w:firstLine="420" w:firstLineChars="200"/>
        <w:textAlignment w:val="auto"/>
        <w:rPr>
          <w:rFonts w:hint="default" w:ascii="宋体" w:hAnsi="宋体" w:cs="宋体"/>
          <w:szCs w:val="21"/>
          <w:lang w:val="en-US" w:eastAsia="zh-CN"/>
        </w:rPr>
      </w:pPr>
      <w:r>
        <w:rPr>
          <w:rFonts w:hint="eastAsia" w:ascii="宋体" w:hAnsi="宋体" w:cs="宋体"/>
          <w:szCs w:val="21"/>
          <w:lang w:val="en-US" w:eastAsia="zh-CN"/>
        </w:rPr>
        <w:t>供应商凭CA数字证书登陆会员系统后，即可按网上提示免费下载招标文件及资料（操作程序详见信阳市公共资源交易中心网站下载中心栏目里供应商操作手册）。招标文件(*.XYZF格式)下载后需使用“信阳市投标文件制作工具软件”打开（该工具软件可在“信阳市公共资源交易网www.xyggzyjy.cn”网站下载中心栏目内下载或在招标文件领取页面下载）。</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请投标企业报名下载招标文件后，及时关注系统业务菜单（“答疑澄清文件领取”、“控制价文件领取”）内该项目是否有的新的答疑澄清文件或控制价文件。如有请直接下载，不再另行通知。如有疑问，以书面形式（包括信函、电报、传真等可以有形表现所载内容的形式），要求采购人对招标文件予以澄清。澄清或修改的内容在信阳市公共资源交易系统“变更公告”或“答疑文件”菜单进行发布，供应商应在投标文件递交截止时间前及时查看澄清或修改内容，因供应商未及时查看而造成的后果自负。</w:t>
      </w:r>
    </w:p>
    <w:p>
      <w:pPr>
        <w:pageBreakBefore w:val="0"/>
        <w:widowControl/>
        <w:shd w:val="solid" w:color="FFFFFF" w:fill="auto"/>
        <w:kinsoku/>
        <w:overflowPunct/>
        <w:topLinePunct w:val="0"/>
        <w:autoSpaceDE/>
        <w:autoSpaceDN/>
        <w:bidi w:val="0"/>
        <w:snapToGrid/>
        <w:spacing w:line="360" w:lineRule="exact"/>
        <w:jc w:val="left"/>
        <w:rPr>
          <w:rFonts w:hint="default" w:ascii="宋体" w:hAnsi="宋体" w:cs="宋体"/>
          <w:b/>
          <w:bCs/>
          <w:color w:val="auto"/>
          <w:szCs w:val="21"/>
          <w:lang w:val="en-US" w:eastAsia="zh-CN"/>
        </w:rPr>
      </w:pPr>
      <w:r>
        <w:rPr>
          <w:rFonts w:hint="eastAsia" w:ascii="宋体" w:hAnsi="宋体" w:cs="宋体"/>
          <w:b/>
          <w:bCs/>
          <w:color w:val="auto"/>
          <w:szCs w:val="21"/>
          <w:lang w:val="en-US" w:eastAsia="zh-CN"/>
        </w:rPr>
        <w:t>四</w:t>
      </w:r>
      <w:r>
        <w:rPr>
          <w:rFonts w:hint="default" w:ascii="宋体" w:hAnsi="宋体" w:cs="宋体"/>
          <w:b/>
          <w:bCs/>
          <w:color w:val="auto"/>
          <w:szCs w:val="21"/>
          <w:lang w:val="en-US" w:eastAsia="zh-CN"/>
        </w:rPr>
        <w:t>、</w:t>
      </w:r>
      <w:r>
        <w:rPr>
          <w:rFonts w:hint="eastAsia" w:ascii="宋体" w:hAnsi="宋体" w:cs="宋体"/>
          <w:b/>
          <w:bCs/>
          <w:color w:val="auto"/>
          <w:szCs w:val="21"/>
          <w:lang w:val="en-US" w:eastAsia="zh-CN"/>
        </w:rPr>
        <w:t>提交投标文件截止时间、开标时间和地点</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1.时间：2020年11月19日9时30分（北京时间）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2.地点：</w:t>
      </w:r>
      <w:r>
        <w:rPr>
          <w:rFonts w:hint="eastAsia" w:ascii="宋体" w:hAnsi="宋体" w:eastAsia="宋体" w:cs="宋体"/>
          <w:color w:val="auto"/>
          <w:szCs w:val="21"/>
        </w:rPr>
        <w:t>信阳市公共资源交易中心</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楼第</w:t>
      </w:r>
      <w:r>
        <w:rPr>
          <w:rFonts w:hint="eastAsia" w:ascii="宋体" w:hAnsi="宋体" w:eastAsia="宋体" w:cs="宋体"/>
          <w:color w:val="auto"/>
          <w:szCs w:val="21"/>
          <w:lang w:val="en-US" w:eastAsia="zh-CN"/>
        </w:rPr>
        <w:t>六</w:t>
      </w:r>
      <w:r>
        <w:rPr>
          <w:rFonts w:hint="eastAsia" w:ascii="宋体" w:hAnsi="宋体" w:eastAsia="宋体" w:cs="宋体"/>
          <w:color w:val="auto"/>
          <w:szCs w:val="21"/>
        </w:rPr>
        <w:t>开标厅</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各供应商应在投标截止时间前上传加密的电子响应文件（*.XYTF）到会员系统的指定位置。上传的电子</w:t>
      </w:r>
      <w:r>
        <w:rPr>
          <w:rFonts w:hint="eastAsia" w:ascii="宋体" w:hAnsi="宋体" w:eastAsia="宋体" w:cs="宋体"/>
          <w:b w:val="0"/>
          <w:bCs w:val="0"/>
          <w:color w:val="auto"/>
          <w:szCs w:val="21"/>
          <w:lang w:eastAsia="zh-CN"/>
        </w:rPr>
        <w:t>响应文件</w:t>
      </w:r>
      <w:r>
        <w:rPr>
          <w:rFonts w:hint="eastAsia" w:ascii="宋体" w:hAnsi="宋体" w:eastAsia="宋体" w:cs="宋体"/>
          <w:b w:val="0"/>
          <w:bCs w:val="0"/>
          <w:color w:val="auto"/>
          <w:szCs w:val="21"/>
        </w:rPr>
        <w:t>应使用</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CA数字证书认证并加密。上传时必须得到交易系统“上传成功”的确认回复后方为上传成功。请供应商在上传前务必认真检查上传响应文件是否完整、正确。</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本项目采用“不见面开标”交易方式，不见面开标大厅网址为 http://www.xyggzyjy.cn:8088/BidOpening，</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无需寄送和递交非加密的电子</w:t>
      </w:r>
      <w:r>
        <w:rPr>
          <w:rFonts w:hint="eastAsia" w:ascii="宋体" w:hAnsi="宋体" w:eastAsia="宋体" w:cs="宋体"/>
          <w:b w:val="0"/>
          <w:bCs w:val="0"/>
          <w:color w:val="auto"/>
          <w:szCs w:val="21"/>
          <w:lang w:eastAsia="zh-CN"/>
        </w:rPr>
        <w:t>响应文件</w:t>
      </w:r>
      <w:r>
        <w:rPr>
          <w:rFonts w:hint="eastAsia" w:ascii="宋体" w:hAnsi="宋体" w:eastAsia="宋体" w:cs="宋体"/>
          <w:b w:val="0"/>
          <w:bCs w:val="0"/>
          <w:color w:val="auto"/>
          <w:szCs w:val="21"/>
        </w:rPr>
        <w:t>，无需到现场参加开标会议，无需到达现场提交原件资料。</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应当在投标截止时间前，使用</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CA数字证书登录不见面开标大厅，在线签到并准时参加开标活动，并在规定时间内完成</w:t>
      </w:r>
      <w:r>
        <w:rPr>
          <w:rFonts w:hint="eastAsia" w:ascii="宋体" w:hAnsi="宋体" w:eastAsia="宋体" w:cs="宋体"/>
          <w:b w:val="0"/>
          <w:bCs w:val="0"/>
          <w:color w:val="auto"/>
          <w:szCs w:val="21"/>
          <w:lang w:eastAsia="zh-CN"/>
        </w:rPr>
        <w:t>响应文件</w:t>
      </w:r>
      <w:r>
        <w:rPr>
          <w:rFonts w:hint="eastAsia" w:ascii="宋体" w:hAnsi="宋体" w:eastAsia="宋体" w:cs="宋体"/>
          <w:b w:val="0"/>
          <w:bCs w:val="0"/>
          <w:color w:val="auto"/>
          <w:szCs w:val="21"/>
        </w:rPr>
        <w:t>解密、答疑澄清等。</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逾期解密或者没有准时在线参加开标活动导致的一切后果</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自行承担。</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不见面开标服务的具体事宜，请查阅信阳市公共资源交易中心网站首页—下载中心—信阳市不见面开标大厅系统操作手册 。</w:t>
      </w:r>
    </w:p>
    <w:p>
      <w:pPr>
        <w:widowControl/>
        <w:spacing w:line="360" w:lineRule="auto"/>
        <w:ind w:firstLine="422" w:firstLineChars="200"/>
        <w:jc w:val="left"/>
        <w:rPr>
          <w:rFonts w:hint="eastAsia"/>
          <w:lang w:val="en-US" w:eastAsia="zh-CN"/>
        </w:rPr>
      </w:pPr>
      <w:r>
        <w:rPr>
          <w:rFonts w:hint="eastAsia" w:ascii="宋体" w:hAnsi="宋体" w:eastAsia="宋体" w:cs="宋体"/>
          <w:b/>
          <w:bCs/>
          <w:color w:val="auto"/>
          <w:szCs w:val="21"/>
        </w:rPr>
        <w:t>特别提示：</w:t>
      </w:r>
      <w:r>
        <w:rPr>
          <w:rFonts w:hint="eastAsia" w:ascii="宋体" w:hAnsi="宋体" w:eastAsia="宋体" w:cs="宋体"/>
          <w:b/>
          <w:bCs/>
          <w:color w:val="auto"/>
          <w:szCs w:val="21"/>
          <w:lang w:eastAsia="zh-CN"/>
        </w:rPr>
        <w:t>供应商</w:t>
      </w:r>
      <w:r>
        <w:rPr>
          <w:rFonts w:hint="eastAsia" w:ascii="宋体" w:hAnsi="宋体" w:eastAsia="宋体" w:cs="宋体"/>
          <w:b/>
          <w:bCs/>
          <w:color w:val="auto"/>
          <w:szCs w:val="21"/>
        </w:rPr>
        <w:t>在线签到时，应如实准确的填写授权委托人的联系电话，开标当天请务必保证电话保持畅通。</w:t>
      </w:r>
    </w:p>
    <w:p>
      <w:pPr>
        <w:pStyle w:val="2"/>
        <w:rPr>
          <w:rFonts w:hint="eastAsia" w:ascii="宋体" w:hAnsi="宋体" w:eastAsia="宋体" w:cs="宋体"/>
          <w:b w:val="0"/>
          <w:bCs w:val="0"/>
          <w:color w:val="auto"/>
          <w:lang w:val="en-US" w:eastAsia="zh-CN"/>
        </w:rPr>
      </w:pPr>
      <w:r>
        <w:rPr>
          <w:rFonts w:hint="eastAsia" w:ascii="宋体" w:hAnsi="宋体" w:eastAsia="宋体" w:cs="宋体"/>
          <w:b/>
          <w:bCs/>
          <w:color w:val="auto"/>
          <w:lang w:val="en-US" w:eastAsia="zh-CN"/>
        </w:rPr>
        <w:t>五、</w:t>
      </w:r>
      <w:r>
        <w:rPr>
          <w:rFonts w:hint="eastAsia" w:ascii="宋体" w:hAnsi="宋体" w:eastAsia="宋体" w:cs="宋体"/>
          <w:b/>
          <w:bCs/>
          <w:color w:val="auto"/>
          <w:szCs w:val="21"/>
        </w:rPr>
        <w:t>公告</w:t>
      </w:r>
      <w:r>
        <w:rPr>
          <w:rFonts w:hint="eastAsia" w:ascii="宋体" w:hAnsi="宋体" w:eastAsia="宋体" w:cs="宋体"/>
          <w:b/>
          <w:bCs/>
          <w:color w:val="auto"/>
          <w:lang w:val="en-US" w:eastAsia="zh-CN"/>
        </w:rPr>
        <w:t>期限</w:t>
      </w:r>
    </w:p>
    <w:p>
      <w:pPr>
        <w:pStyle w:val="2"/>
        <w:ind w:firstLine="420" w:firstLineChars="200"/>
        <w:rPr>
          <w:rFonts w:hint="eastAsia"/>
          <w:lang w:val="en-US" w:eastAsia="zh-CN"/>
        </w:rPr>
      </w:pPr>
      <w:r>
        <w:rPr>
          <w:rFonts w:hint="eastAsia" w:ascii="宋体" w:hAnsi="宋体" w:eastAsia="宋体" w:cs="宋体"/>
          <w:b w:val="0"/>
          <w:bCs w:val="0"/>
          <w:color w:val="auto"/>
          <w:lang w:val="en-US" w:eastAsia="zh-CN"/>
        </w:rPr>
        <w:t>自本公告发布之日起5个工作日。</w:t>
      </w:r>
    </w:p>
    <w:p>
      <w:pPr>
        <w:pStyle w:val="2"/>
        <w:rPr>
          <w:rFonts w:hint="eastAsia" w:ascii="宋体" w:hAnsi="宋体" w:eastAsia="宋体" w:cs="宋体"/>
          <w:b/>
          <w:bCs/>
          <w:color w:val="auto"/>
          <w:lang w:val="en-US" w:eastAsia="zh-CN"/>
        </w:rPr>
      </w:pPr>
      <w:bookmarkStart w:id="0" w:name="_Toc35393795"/>
      <w:bookmarkStart w:id="1" w:name="_Toc35393626"/>
      <w:r>
        <w:rPr>
          <w:rFonts w:hint="eastAsia" w:ascii="宋体" w:hAnsi="宋体" w:eastAsia="宋体" w:cs="宋体"/>
          <w:b/>
          <w:bCs/>
          <w:color w:val="auto"/>
          <w:lang w:val="en-US" w:eastAsia="zh-CN"/>
        </w:rPr>
        <w:t>六、其他补充事宜</w:t>
      </w:r>
      <w:bookmarkEnd w:id="0"/>
      <w:bookmarkEnd w:id="1"/>
    </w:p>
    <w:p>
      <w:pPr>
        <w:widowControl/>
        <w:spacing w:line="360" w:lineRule="auto"/>
        <w:ind w:firstLine="420" w:firstLineChars="200"/>
        <w:jc w:val="left"/>
        <w:rPr>
          <w:rFonts w:hint="eastAsia" w:ascii="宋体" w:hAnsi="宋体" w:eastAsia="宋体" w:cs="宋体"/>
          <w:b/>
          <w:bCs/>
          <w:color w:val="auto"/>
          <w:lang w:val="en-US" w:eastAsia="zh-CN"/>
        </w:rPr>
      </w:pPr>
      <w:r>
        <w:rPr>
          <w:rFonts w:hint="eastAsia" w:ascii="宋体" w:hAnsi="宋体" w:eastAsia="宋体" w:cs="宋体"/>
          <w:b w:val="0"/>
          <w:bCs w:val="0"/>
          <w:color w:val="auto"/>
          <w:szCs w:val="21"/>
        </w:rPr>
        <w:t>本次</w:t>
      </w:r>
      <w:r>
        <w:rPr>
          <w:rFonts w:hint="eastAsia" w:ascii="宋体" w:hAnsi="宋体" w:eastAsia="宋体" w:cs="宋体"/>
          <w:b w:val="0"/>
          <w:bCs w:val="0"/>
          <w:color w:val="auto"/>
          <w:szCs w:val="21"/>
          <w:lang w:eastAsia="zh-CN"/>
        </w:rPr>
        <w:t>招标</w:t>
      </w:r>
      <w:r>
        <w:rPr>
          <w:rFonts w:hint="eastAsia" w:ascii="宋体" w:hAnsi="宋体" w:eastAsia="宋体" w:cs="宋体"/>
          <w:b w:val="0"/>
          <w:bCs w:val="0"/>
          <w:color w:val="auto"/>
          <w:szCs w:val="21"/>
        </w:rPr>
        <w:t>公告在《河南省政府采购网》、《信阳市公共资源交易网》</w:t>
      </w:r>
      <w:r>
        <w:rPr>
          <w:rFonts w:hint="eastAsia" w:ascii="宋体" w:hAnsi="宋体" w:eastAsia="宋体" w:cs="宋体"/>
          <w:b w:val="0"/>
          <w:bCs w:val="0"/>
          <w:color w:val="auto"/>
          <w:szCs w:val="21"/>
          <w:lang w:val="en-US" w:eastAsia="zh-CN"/>
        </w:rPr>
        <w:t>、</w:t>
      </w:r>
      <w:r>
        <w:rPr>
          <w:rFonts w:hint="eastAsia" w:ascii="宋体" w:hAnsi="宋体" w:eastAsia="宋体" w:cs="宋体"/>
          <w:b w:val="0"/>
          <w:bCs w:val="0"/>
          <w:color w:val="auto"/>
          <w:szCs w:val="21"/>
        </w:rPr>
        <w:t>《中国招标投标</w:t>
      </w:r>
      <w:r>
        <w:rPr>
          <w:rFonts w:hint="eastAsia" w:ascii="宋体" w:hAnsi="宋体" w:eastAsia="宋体" w:cs="宋体"/>
          <w:b w:val="0"/>
          <w:bCs w:val="0"/>
          <w:color w:val="auto"/>
          <w:szCs w:val="21"/>
          <w:lang w:eastAsia="zh-CN"/>
        </w:rPr>
        <w:t>公共</w:t>
      </w:r>
      <w:r>
        <w:rPr>
          <w:rFonts w:hint="eastAsia" w:ascii="宋体" w:hAnsi="宋体" w:eastAsia="宋体" w:cs="宋体"/>
          <w:b w:val="0"/>
          <w:bCs w:val="0"/>
          <w:color w:val="auto"/>
          <w:szCs w:val="21"/>
        </w:rPr>
        <w:t>服务平台》上同时发布。</w:t>
      </w:r>
    </w:p>
    <w:p>
      <w:pPr>
        <w:pageBreakBefore w:val="0"/>
        <w:numPr>
          <w:ilvl w:val="0"/>
          <w:numId w:val="2"/>
        </w:numPr>
        <w:kinsoku/>
        <w:overflowPunct/>
        <w:topLinePunct w:val="0"/>
        <w:autoSpaceDE/>
        <w:autoSpaceDN/>
        <w:bidi w:val="0"/>
        <w:snapToGrid/>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对本次招标提出询问，请按以下方式联系</w:t>
      </w:r>
    </w:p>
    <w:p>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lang w:val="en-US" w:eastAsia="zh-CN"/>
        </w:rPr>
      </w:pPr>
      <w:r>
        <w:rPr>
          <w:rFonts w:hint="eastAsia" w:ascii="宋体" w:hAnsi="宋体" w:eastAsia="宋体" w:cs="宋体"/>
          <w:b w:val="0"/>
          <w:bCs w:val="0"/>
          <w:color w:val="auto"/>
          <w:sz w:val="21"/>
          <w:szCs w:val="21"/>
          <w:lang w:val="en-US" w:eastAsia="zh-CN"/>
        </w:rPr>
        <w:t>1.采购人信息</w:t>
      </w:r>
    </w:p>
    <w:p>
      <w:pPr>
        <w:pageBreakBefore w:val="0"/>
        <w:numPr>
          <w:ilvl w:val="0"/>
          <w:numId w:val="0"/>
        </w:numPr>
        <w:kinsoku/>
        <w:overflowPunct/>
        <w:topLinePunct w:val="0"/>
        <w:autoSpaceDE/>
        <w:autoSpaceDN/>
        <w:bidi w:val="0"/>
        <w:snapToGrid/>
        <w:spacing w:line="360" w:lineRule="auto"/>
        <w:ind w:firstLine="630" w:firstLineChars="300"/>
        <w:rPr>
          <w:rFonts w:hint="eastAsia" w:ascii="宋体" w:hAnsi="宋体" w:cs="宋体"/>
          <w:szCs w:val="21"/>
        </w:rPr>
      </w:pPr>
      <w:r>
        <w:rPr>
          <w:rFonts w:hint="eastAsia" w:ascii="宋体" w:hAnsi="宋体" w:cs="宋体"/>
          <w:szCs w:val="21"/>
          <w:lang w:eastAsia="zh-CN"/>
        </w:rPr>
        <w:t>名称</w:t>
      </w:r>
      <w:r>
        <w:rPr>
          <w:rFonts w:hint="eastAsia" w:ascii="宋体" w:hAnsi="宋体" w:cs="宋体"/>
          <w:szCs w:val="21"/>
        </w:rPr>
        <w:t>：</w:t>
      </w:r>
      <w:r>
        <w:rPr>
          <w:rFonts w:hint="eastAsia" w:ascii="宋体" w:hAnsi="宋体" w:cs="宋体"/>
          <w:szCs w:val="21"/>
          <w:lang w:eastAsia="zh-CN"/>
        </w:rPr>
        <w:t>潢川县人民医院</w:t>
      </w:r>
    </w:p>
    <w:p>
      <w:pPr>
        <w:pStyle w:val="13"/>
        <w:pageBreakBefore w:val="0"/>
        <w:kinsoku/>
        <w:overflowPunct/>
        <w:topLinePunct w:val="0"/>
        <w:autoSpaceDE/>
        <w:autoSpaceDN/>
        <w:bidi w:val="0"/>
        <w:snapToGrid/>
        <w:spacing w:line="360" w:lineRule="auto"/>
        <w:ind w:firstLine="630" w:firstLineChars="300"/>
        <w:rPr>
          <w:rFonts w:hint="eastAsia" w:eastAsia="宋体"/>
          <w:lang w:val="en-US" w:eastAsia="zh-CN"/>
        </w:rPr>
      </w:pPr>
      <w:r>
        <w:rPr>
          <w:rFonts w:hint="eastAsia"/>
        </w:rPr>
        <w:t>地址：</w:t>
      </w:r>
      <w:r>
        <w:rPr>
          <w:rFonts w:hint="eastAsia"/>
          <w:lang w:eastAsia="zh-CN"/>
        </w:rPr>
        <w:t>潢川县跃进路</w:t>
      </w:r>
    </w:p>
    <w:p>
      <w:pPr>
        <w:pageBreakBefore w:val="0"/>
        <w:kinsoku/>
        <w:overflowPunct/>
        <w:topLinePunct w:val="0"/>
        <w:autoSpaceDE/>
        <w:autoSpaceDN/>
        <w:bidi w:val="0"/>
        <w:snapToGrid/>
        <w:spacing w:line="360" w:lineRule="auto"/>
        <w:ind w:firstLine="630" w:firstLineChars="300"/>
        <w:rPr>
          <w:rFonts w:hint="default" w:ascii="宋体" w:hAnsi="宋体" w:eastAsia="宋体" w:cs="宋体"/>
          <w:szCs w:val="21"/>
          <w:lang w:val="en-US" w:eastAsia="zh-CN"/>
        </w:rPr>
      </w:pPr>
      <w:r>
        <w:rPr>
          <w:rFonts w:hint="eastAsia" w:ascii="宋体" w:hAnsi="宋体" w:cs="宋体"/>
          <w:szCs w:val="21"/>
          <w:lang w:eastAsia="zh-CN"/>
        </w:rPr>
        <w:t>联系方式</w:t>
      </w:r>
      <w:r>
        <w:rPr>
          <w:rFonts w:hint="eastAsia" w:ascii="宋体" w:hAnsi="宋体" w:cs="宋体"/>
          <w:szCs w:val="21"/>
        </w:rPr>
        <w:t>：</w:t>
      </w:r>
      <w:r>
        <w:rPr>
          <w:rFonts w:hint="eastAsia" w:ascii="宋体" w:hAnsi="宋体" w:cs="宋体"/>
          <w:szCs w:val="21"/>
          <w:lang w:val="en-US" w:eastAsia="zh-CN"/>
        </w:rPr>
        <w:t>0376-3119359</w:t>
      </w:r>
    </w:p>
    <w:p>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2.采购</w:t>
      </w:r>
      <w:r>
        <w:rPr>
          <w:rFonts w:hint="eastAsia" w:ascii="宋体" w:hAnsi="宋体" w:eastAsia="宋体" w:cs="宋体"/>
          <w:b w:val="0"/>
          <w:bCs w:val="0"/>
          <w:color w:val="auto"/>
          <w:sz w:val="21"/>
          <w:szCs w:val="21"/>
        </w:rPr>
        <w:t>代理机构</w:t>
      </w:r>
      <w:r>
        <w:rPr>
          <w:rFonts w:hint="eastAsia" w:ascii="宋体" w:hAnsi="宋体" w:eastAsia="宋体" w:cs="宋体"/>
          <w:b w:val="0"/>
          <w:bCs w:val="0"/>
          <w:color w:val="auto"/>
          <w:sz w:val="21"/>
          <w:szCs w:val="21"/>
          <w:lang w:val="en-US" w:eastAsia="zh-CN"/>
        </w:rPr>
        <w:t>信息</w:t>
      </w:r>
    </w:p>
    <w:p>
      <w:pPr>
        <w:pageBreakBefore w:val="0"/>
        <w:kinsoku/>
        <w:overflowPunct/>
        <w:topLinePunct w:val="0"/>
        <w:autoSpaceDE/>
        <w:autoSpaceDN/>
        <w:bidi w:val="0"/>
        <w:snapToGrid/>
        <w:spacing w:line="360" w:lineRule="auto"/>
        <w:ind w:firstLine="630" w:firstLineChars="300"/>
        <w:rPr>
          <w:rFonts w:hint="eastAsia" w:ascii="宋体" w:hAnsi="宋体" w:cs="宋体"/>
          <w:szCs w:val="21"/>
        </w:rPr>
      </w:pPr>
      <w:r>
        <w:rPr>
          <w:rFonts w:hint="eastAsia" w:ascii="宋体" w:hAnsi="宋体" w:cs="宋体"/>
          <w:szCs w:val="21"/>
          <w:lang w:eastAsia="zh-CN"/>
        </w:rPr>
        <w:t>名称</w:t>
      </w:r>
      <w:r>
        <w:rPr>
          <w:rFonts w:hint="eastAsia" w:ascii="宋体" w:hAnsi="宋体" w:cs="宋体"/>
          <w:szCs w:val="21"/>
        </w:rPr>
        <w:t>：</w:t>
      </w:r>
      <w:r>
        <w:rPr>
          <w:rFonts w:hint="eastAsia" w:ascii="宋体" w:hAnsi="宋体" w:cs="宋体"/>
          <w:szCs w:val="21"/>
          <w:lang w:eastAsia="zh-CN"/>
        </w:rPr>
        <w:t>法正项目管理集团有限公司</w:t>
      </w:r>
    </w:p>
    <w:p>
      <w:pPr>
        <w:pageBreakBefore w:val="0"/>
        <w:widowControl/>
        <w:kinsoku/>
        <w:wordWrap w:val="0"/>
        <w:overflowPunct/>
        <w:topLinePunct w:val="0"/>
        <w:autoSpaceDE/>
        <w:autoSpaceDN/>
        <w:bidi w:val="0"/>
        <w:snapToGrid/>
        <w:spacing w:before="100" w:beforeLines="0" w:after="100" w:afterLines="0" w:line="360" w:lineRule="auto"/>
        <w:ind w:firstLine="613" w:firstLineChars="292"/>
        <w:jc w:val="left"/>
        <w:rPr>
          <w:rFonts w:hint="default" w:eastAsia="宋体"/>
          <w:lang w:val="en-US" w:eastAsia="zh-CN"/>
        </w:rPr>
      </w:pPr>
      <w:r>
        <w:rPr>
          <w:rFonts w:hint="eastAsia" w:ascii="宋体" w:hAnsi="宋体" w:cs="宋体"/>
          <w:color w:val="000000"/>
          <w:kern w:val="0"/>
          <w:szCs w:val="21"/>
        </w:rPr>
        <w:t>地址：</w:t>
      </w:r>
      <w:r>
        <w:rPr>
          <w:rFonts w:hint="eastAsia" w:ascii="宋体" w:hAnsi="宋体" w:cs="宋体"/>
          <w:color w:val="000000"/>
          <w:kern w:val="0"/>
          <w:szCs w:val="21"/>
          <w:lang w:eastAsia="zh-CN"/>
        </w:rPr>
        <w:t>潢川县滨河路清水湾</w:t>
      </w:r>
      <w:r>
        <w:rPr>
          <w:rFonts w:hint="eastAsia" w:ascii="宋体" w:hAnsi="宋体" w:cs="宋体"/>
          <w:color w:val="000000"/>
          <w:kern w:val="0"/>
          <w:szCs w:val="21"/>
          <w:lang w:val="en-US" w:eastAsia="zh-CN"/>
        </w:rPr>
        <w:t>A02号楼</w:t>
      </w:r>
    </w:p>
    <w:p>
      <w:pPr>
        <w:pageBreakBefore w:val="0"/>
        <w:kinsoku/>
        <w:overflowPunct/>
        <w:topLinePunct w:val="0"/>
        <w:autoSpaceDE/>
        <w:autoSpaceDN/>
        <w:bidi w:val="0"/>
        <w:snapToGrid/>
        <w:spacing w:line="360" w:lineRule="auto"/>
        <w:ind w:firstLine="613" w:firstLineChars="292"/>
        <w:rPr>
          <w:rFonts w:hint="eastAsia" w:ascii="宋体" w:hAnsi="宋体" w:cs="宋体"/>
          <w:szCs w:val="21"/>
          <w:lang w:val="en-US" w:eastAsia="zh-CN"/>
        </w:rPr>
      </w:pPr>
      <w:r>
        <w:rPr>
          <w:rFonts w:hint="eastAsia" w:ascii="宋体" w:hAnsi="宋体" w:cs="宋体"/>
          <w:szCs w:val="21"/>
          <w:lang w:eastAsia="zh-CN"/>
        </w:rPr>
        <w:t>联系方式</w:t>
      </w:r>
      <w:r>
        <w:rPr>
          <w:rFonts w:hint="eastAsia" w:ascii="宋体" w:hAnsi="宋体" w:cs="宋体"/>
          <w:szCs w:val="21"/>
        </w:rPr>
        <w:t>：</w:t>
      </w:r>
      <w:r>
        <w:rPr>
          <w:rFonts w:hint="eastAsia" w:ascii="宋体" w:hAnsi="宋体" w:cs="宋体"/>
          <w:szCs w:val="21"/>
          <w:lang w:val="en-US" w:eastAsia="zh-CN"/>
        </w:rPr>
        <w:t>18538391699</w:t>
      </w:r>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3.项目联系方式</w:t>
      </w:r>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firstLine="630" w:firstLineChars="3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陈女士</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30" w:firstLineChars="3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rPr>
        <w:t>电话：</w:t>
      </w:r>
      <w:r>
        <w:rPr>
          <w:rFonts w:hint="eastAsia" w:ascii="宋体" w:hAnsi="宋体" w:eastAsia="宋体" w:cs="宋体"/>
          <w:b w:val="0"/>
          <w:bCs w:val="0"/>
          <w:color w:val="auto"/>
          <w:sz w:val="21"/>
          <w:szCs w:val="21"/>
        </w:rPr>
        <w:t>18538391699</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4.监督部门信息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监督单位：潢川县政府采购管理办公室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联系人：杨先生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电话：</w:t>
      </w:r>
      <w:r>
        <w:rPr>
          <w:rFonts w:hint="eastAsia" w:ascii="宋体" w:hAnsi="宋体" w:eastAsia="宋体" w:cs="宋体"/>
          <w:b w:val="0"/>
          <w:bCs w:val="0"/>
          <w:color w:val="auto"/>
          <w:sz w:val="21"/>
          <w:szCs w:val="21"/>
          <w:lang w:val="en-US" w:eastAsia="zh-CN"/>
        </w:rPr>
        <w:t>0376-5528602</w:t>
      </w:r>
      <w:r>
        <w:rPr>
          <w:rFonts w:hint="eastAsia" w:ascii="宋体" w:hAnsi="宋体" w:eastAsia="宋体" w:cs="宋体"/>
          <w:b w:val="0"/>
          <w:bCs w:val="0"/>
          <w:color w:val="auto"/>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D51"/>
    <w:multiLevelType w:val="singleLevel"/>
    <w:tmpl w:val="043B0D51"/>
    <w:lvl w:ilvl="0" w:tentative="0">
      <w:start w:val="2"/>
      <w:numFmt w:val="chineseCounting"/>
      <w:suff w:val="nothing"/>
      <w:lvlText w:val="%1、"/>
      <w:lvlJc w:val="left"/>
      <w:rPr>
        <w:rFonts w:hint="eastAsia"/>
      </w:rPr>
    </w:lvl>
  </w:abstractNum>
  <w:abstractNum w:abstractNumId="1">
    <w:nsid w:val="10989622"/>
    <w:multiLevelType w:val="singleLevel"/>
    <w:tmpl w:val="1098962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B659F"/>
    <w:rsid w:val="67BB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uiPriority w:val="0"/>
    <w:pPr>
      <w:keepNext/>
      <w:keepLines/>
      <w:spacing w:before="340" w:beforeLines="0" w:after="330" w:afterLines="0" w:line="576" w:lineRule="auto"/>
      <w:outlineLvl w:val="0"/>
    </w:pPr>
    <w:rPr>
      <w:b/>
      <w:bCs/>
      <w:kern w:val="44"/>
      <w:sz w:val="44"/>
      <w:szCs w:val="4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rPr>
      <w:kern w:val="2"/>
      <w:sz w:val="21"/>
    </w:rPr>
  </w:style>
  <w:style w:type="paragraph" w:customStyle="1" w:styleId="3">
    <w:name w:val="Defaul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Body Text Indent"/>
    <w:basedOn w:val="1"/>
    <w:next w:val="6"/>
    <w:uiPriority w:val="0"/>
    <w:pPr>
      <w:spacing w:line="312" w:lineRule="auto"/>
      <w:ind w:firstLine="735" w:firstLineChars="245"/>
    </w:pPr>
    <w:rPr>
      <w:kern w:val="2"/>
      <w:sz w:val="30"/>
    </w:rPr>
  </w:style>
  <w:style w:type="paragraph" w:styleId="6">
    <w:name w:val="envelope return"/>
    <w:basedOn w:val="1"/>
    <w:uiPriority w:val="0"/>
    <w:pPr>
      <w:snapToGrid w:val="0"/>
    </w:pPr>
    <w:rPr>
      <w:rFonts w:ascii="Arial" w:hAnsi="Arial"/>
    </w:rPr>
  </w:style>
  <w:style w:type="paragraph" w:styleId="7">
    <w:name w:val="footer"/>
    <w:basedOn w:val="1"/>
    <w:uiPriority w:val="0"/>
    <w:pPr>
      <w:tabs>
        <w:tab w:val="center" w:pos="4153"/>
        <w:tab w:val="right" w:pos="8306"/>
      </w:tabs>
      <w:snapToGrid w:val="0"/>
      <w:jc w:val="left"/>
    </w:pPr>
    <w:rPr>
      <w:rFonts w:eastAsia="宋体"/>
      <w:kern w:val="2"/>
      <w:sz w:val="18"/>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kern w:val="2"/>
      <w:sz w:val="18"/>
      <w:lang w:val="en-US" w:eastAsia="zh-CN" w:bidi="ar-SA"/>
    </w:rPr>
  </w:style>
  <w:style w:type="paragraph" w:styleId="9">
    <w:name w:val="toc 1"/>
    <w:basedOn w:val="1"/>
    <w:next w:val="1"/>
    <w:uiPriority w:val="0"/>
  </w:style>
  <w:style w:type="paragraph" w:styleId="10">
    <w:name w:val="Body Text First Indent 2"/>
    <w:basedOn w:val="5"/>
    <w:uiPriority w:val="0"/>
    <w:pPr>
      <w:spacing w:after="120" w:afterLines="0" w:line="240" w:lineRule="auto"/>
      <w:ind w:left="420" w:leftChars="200" w:firstLine="420" w:firstLineChars="200"/>
    </w:pPr>
  </w:style>
  <w:style w:type="paragraph" w:customStyle="1" w:styleId="13">
    <w:name w:val="表格文字"/>
    <w:basedOn w:val="1"/>
    <w:next w:val="2"/>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NTKO</dc:creator>
  <cp:lastModifiedBy>NTKO</cp:lastModifiedBy>
  <dcterms:modified xsi:type="dcterms:W3CDTF">2020-10-27T02:10:23Z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