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2C240">
      <w:pPr>
        <w:pStyle w:val="40"/>
        <w:ind w:firstLine="0" w:firstLineChars="0"/>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禹州市环境卫生服务中心</w:t>
      </w:r>
    </w:p>
    <w:p w14:paraId="3F75117C">
      <w:pPr>
        <w:pStyle w:val="40"/>
        <w:ind w:firstLine="0" w:firstLineChars="0"/>
        <w:jc w:val="center"/>
        <w:rPr>
          <w:rFonts w:hint="eastAsia" w:ascii="宋体" w:hAnsi="宋体" w:eastAsia="宋体" w:cs="宋体"/>
          <w:bCs/>
          <w:color w:val="auto"/>
          <w:w w:val="90"/>
          <w:sz w:val="96"/>
          <w:highlight w:val="none"/>
        </w:rPr>
      </w:pPr>
      <w:r>
        <w:rPr>
          <w:rFonts w:hint="eastAsia" w:ascii="宋体" w:hAnsi="宋体" w:eastAsia="宋体" w:cs="宋体"/>
          <w:b/>
          <w:bCs/>
          <w:color w:val="auto"/>
          <w:sz w:val="44"/>
          <w:szCs w:val="44"/>
          <w:highlight w:val="none"/>
        </w:rPr>
        <w:t>禹州市环卫作业车辆设备更新项目</w:t>
      </w:r>
    </w:p>
    <w:p w14:paraId="3AC4717F">
      <w:pPr>
        <w:pStyle w:val="40"/>
        <w:ind w:firstLine="0" w:firstLineChars="0"/>
        <w:rPr>
          <w:rFonts w:hint="eastAsia" w:ascii="宋体" w:hAnsi="宋体" w:eastAsia="宋体" w:cs="宋体"/>
          <w:bCs/>
          <w:color w:val="auto"/>
          <w:w w:val="90"/>
          <w:sz w:val="96"/>
          <w:highlight w:val="none"/>
        </w:rPr>
      </w:pPr>
    </w:p>
    <w:p w14:paraId="0D227873">
      <w:pPr>
        <w:pStyle w:val="40"/>
        <w:ind w:firstLine="0" w:firstLineChars="0"/>
        <w:rPr>
          <w:rFonts w:hint="eastAsia" w:ascii="宋体" w:hAnsi="宋体" w:eastAsia="宋体" w:cs="宋体"/>
          <w:bCs/>
          <w:color w:val="auto"/>
          <w:w w:val="90"/>
          <w:sz w:val="96"/>
          <w:highlight w:val="none"/>
        </w:rPr>
      </w:pPr>
    </w:p>
    <w:p w14:paraId="7AA8A22D">
      <w:pPr>
        <w:pStyle w:val="71"/>
        <w:ind w:firstLine="420"/>
        <w:rPr>
          <w:rFonts w:hint="eastAsia" w:ascii="宋体" w:hAnsi="宋体" w:eastAsia="宋体" w:cs="宋体"/>
          <w:color w:val="auto"/>
          <w:highlight w:val="none"/>
        </w:rPr>
      </w:pPr>
    </w:p>
    <w:p w14:paraId="5B9C7BF1">
      <w:pPr>
        <w:jc w:val="center"/>
        <w:rPr>
          <w:rFonts w:hint="eastAsia" w:ascii="宋体" w:hAnsi="宋体" w:eastAsia="宋体" w:cs="宋体"/>
          <w:bCs/>
          <w:color w:val="auto"/>
          <w:w w:val="90"/>
          <w:sz w:val="72"/>
          <w:szCs w:val="72"/>
          <w:highlight w:val="none"/>
        </w:rPr>
      </w:pPr>
      <w:r>
        <w:rPr>
          <w:rFonts w:hint="eastAsia" w:ascii="宋体" w:hAnsi="宋体" w:eastAsia="宋体" w:cs="宋体"/>
          <w:bCs/>
          <w:color w:val="auto"/>
          <w:w w:val="90"/>
          <w:sz w:val="72"/>
          <w:szCs w:val="72"/>
          <w:highlight w:val="none"/>
        </w:rPr>
        <w:t>招 标 文 件</w:t>
      </w:r>
    </w:p>
    <w:p w14:paraId="1131E80C">
      <w:pPr>
        <w:rPr>
          <w:rFonts w:hint="eastAsia" w:ascii="宋体" w:hAnsi="宋体" w:eastAsia="宋体" w:cs="宋体"/>
          <w:color w:val="auto"/>
          <w:highlight w:val="none"/>
        </w:rPr>
      </w:pPr>
    </w:p>
    <w:p w14:paraId="2CA3F53F">
      <w:pPr>
        <w:rPr>
          <w:rFonts w:hint="eastAsia" w:ascii="宋体" w:hAnsi="宋体" w:eastAsia="宋体" w:cs="宋体"/>
          <w:color w:val="auto"/>
          <w:highlight w:val="none"/>
        </w:rPr>
      </w:pPr>
    </w:p>
    <w:p w14:paraId="6B3FCAE7">
      <w:pPr>
        <w:pStyle w:val="11"/>
        <w:rPr>
          <w:rFonts w:hint="eastAsia" w:ascii="宋体" w:hAnsi="宋体" w:eastAsia="宋体" w:cs="宋体"/>
          <w:color w:val="auto"/>
          <w:highlight w:val="none"/>
        </w:rPr>
      </w:pPr>
    </w:p>
    <w:p w14:paraId="03FAD4E2">
      <w:pPr>
        <w:pStyle w:val="24"/>
        <w:rPr>
          <w:rFonts w:hint="eastAsia" w:ascii="宋体" w:hAnsi="宋体" w:eastAsia="宋体" w:cs="宋体"/>
          <w:color w:val="auto"/>
          <w:highlight w:val="none"/>
        </w:rPr>
      </w:pPr>
    </w:p>
    <w:p w14:paraId="181F6378">
      <w:pPr>
        <w:pStyle w:val="24"/>
        <w:rPr>
          <w:rFonts w:hint="eastAsia" w:ascii="宋体" w:hAnsi="宋体" w:eastAsia="宋体" w:cs="宋体"/>
          <w:color w:val="auto"/>
          <w:highlight w:val="none"/>
        </w:rPr>
      </w:pPr>
    </w:p>
    <w:p w14:paraId="0C190E50">
      <w:pPr>
        <w:rPr>
          <w:rFonts w:hint="eastAsia" w:ascii="宋体" w:hAnsi="宋体" w:eastAsia="宋体" w:cs="宋体"/>
          <w:color w:val="auto"/>
          <w:highlight w:val="none"/>
        </w:rPr>
      </w:pPr>
    </w:p>
    <w:p w14:paraId="471CA31F">
      <w:pPr>
        <w:pStyle w:val="11"/>
        <w:rPr>
          <w:rFonts w:hint="eastAsia" w:ascii="宋体" w:hAnsi="宋体" w:eastAsia="宋体" w:cs="宋体"/>
          <w:color w:val="auto"/>
          <w:highlight w:val="none"/>
        </w:rPr>
      </w:pPr>
    </w:p>
    <w:p w14:paraId="4B93B85A">
      <w:pPr>
        <w:rPr>
          <w:rFonts w:hint="eastAsia" w:ascii="宋体" w:hAnsi="宋体" w:eastAsia="宋体" w:cs="宋体"/>
          <w:color w:val="auto"/>
          <w:highlight w:val="none"/>
        </w:rPr>
      </w:pPr>
    </w:p>
    <w:p w14:paraId="5DFE3CAD">
      <w:pPr>
        <w:rPr>
          <w:rFonts w:hint="eastAsia" w:ascii="宋体" w:hAnsi="宋体" w:eastAsia="宋体" w:cs="宋体"/>
          <w:color w:val="auto"/>
          <w:highlight w:val="none"/>
        </w:rPr>
      </w:pPr>
    </w:p>
    <w:p w14:paraId="7B1248D9">
      <w:pPr>
        <w:spacing w:line="600" w:lineRule="exact"/>
        <w:ind w:firstLine="1066" w:firstLineChars="295"/>
        <w:rPr>
          <w:rFonts w:hint="default"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采购编号：YZCG-DLG202</w:t>
      </w:r>
      <w:r>
        <w:rPr>
          <w:rFonts w:hint="eastAsia" w:ascii="宋体" w:hAnsi="宋体" w:eastAsia="宋体" w:cs="宋体"/>
          <w:b/>
          <w:bCs/>
          <w:color w:val="auto"/>
          <w:sz w:val="36"/>
          <w:szCs w:val="36"/>
          <w:highlight w:val="none"/>
          <w:lang w:val="en-US" w:eastAsia="zh-CN"/>
        </w:rPr>
        <w:t>5069</w:t>
      </w:r>
    </w:p>
    <w:p w14:paraId="08809EE6">
      <w:pPr>
        <w:ind w:firstLine="1066" w:firstLineChars="295"/>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rPr>
        <w:t>采购单位：禹州市环境卫生服务中心</w:t>
      </w:r>
    </w:p>
    <w:p w14:paraId="4AD790A8">
      <w:pPr>
        <w:ind w:firstLine="1066" w:firstLineChars="295"/>
        <w:rPr>
          <w:rFonts w:hint="eastAsia" w:ascii="宋体" w:hAnsi="宋体" w:eastAsia="宋体" w:cs="宋体"/>
          <w:color w:val="auto"/>
          <w:highlight w:val="none"/>
        </w:rPr>
      </w:pPr>
      <w:r>
        <w:rPr>
          <w:rFonts w:hint="eastAsia" w:ascii="宋体" w:hAnsi="宋体" w:eastAsia="宋体" w:cs="宋体"/>
          <w:b/>
          <w:bCs/>
          <w:color w:val="auto"/>
          <w:sz w:val="36"/>
          <w:szCs w:val="36"/>
          <w:highlight w:val="none"/>
        </w:rPr>
        <w:t>代理机构：河南昊之伟工程管理有限公司</w:t>
      </w:r>
    </w:p>
    <w:p w14:paraId="5515268B">
      <w:pPr>
        <w:jc w:val="center"/>
        <w:rPr>
          <w:rFonts w:hint="eastAsia" w:ascii="宋体" w:hAnsi="宋体" w:eastAsia="宋体" w:cs="宋体"/>
          <w:b/>
          <w:bCs/>
          <w:color w:val="auto"/>
          <w:sz w:val="44"/>
          <w:szCs w:val="44"/>
          <w:highlight w:val="none"/>
          <w:lang w:val="zh-CN"/>
        </w:rPr>
      </w:pPr>
      <w:r>
        <w:rPr>
          <w:rFonts w:hint="eastAsia" w:ascii="宋体" w:hAnsi="宋体" w:eastAsia="宋体" w:cs="宋体"/>
          <w:b/>
          <w:bCs/>
          <w:color w:val="auto"/>
          <w:sz w:val="36"/>
          <w:szCs w:val="36"/>
          <w:highlight w:val="none"/>
        </w:rPr>
        <w:t>二〇二</w:t>
      </w:r>
      <w:r>
        <w:rPr>
          <w:rFonts w:hint="eastAsia" w:ascii="宋体" w:hAnsi="宋体" w:eastAsia="宋体" w:cs="宋体"/>
          <w:b/>
          <w:bCs/>
          <w:color w:val="auto"/>
          <w:sz w:val="36"/>
          <w:szCs w:val="36"/>
          <w:highlight w:val="none"/>
          <w:lang w:val="en-US" w:eastAsia="zh-CN"/>
        </w:rPr>
        <w:t>五</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eastAsia="zh-CN"/>
        </w:rPr>
        <w:t>十</w:t>
      </w:r>
      <w:r>
        <w:rPr>
          <w:rFonts w:hint="eastAsia" w:ascii="宋体" w:hAnsi="宋体" w:eastAsia="宋体" w:cs="宋体"/>
          <w:b/>
          <w:bCs/>
          <w:color w:val="auto"/>
          <w:sz w:val="36"/>
          <w:szCs w:val="36"/>
          <w:highlight w:val="none"/>
        </w:rPr>
        <w:t>月</w:t>
      </w:r>
    </w:p>
    <w:p w14:paraId="0243D5C1">
      <w:pPr>
        <w:autoSpaceDE w:val="0"/>
        <w:autoSpaceDN w:val="0"/>
        <w:adjustRightInd w:val="0"/>
        <w:spacing w:line="700" w:lineRule="exact"/>
        <w:jc w:val="both"/>
        <w:rPr>
          <w:rFonts w:hint="eastAsia" w:ascii="宋体" w:hAnsi="宋体" w:eastAsia="宋体" w:cs="宋体"/>
          <w:b/>
          <w:bCs/>
          <w:color w:val="auto"/>
          <w:sz w:val="44"/>
          <w:szCs w:val="44"/>
          <w:highlight w:val="none"/>
          <w:lang w:val="zh-CN"/>
        </w:rPr>
        <w:sectPr>
          <w:pgSz w:w="11906" w:h="16838"/>
          <w:pgMar w:top="2098" w:right="1474" w:bottom="1928" w:left="1588" w:header="851" w:footer="992" w:gutter="0"/>
          <w:pgNumType w:start="1"/>
          <w:cols w:space="425" w:num="1"/>
          <w:docGrid w:type="lines" w:linePitch="312" w:charSpace="0"/>
        </w:sectPr>
      </w:pPr>
    </w:p>
    <w:p w14:paraId="345FE22B">
      <w:pPr>
        <w:autoSpaceDE w:val="0"/>
        <w:autoSpaceDN w:val="0"/>
        <w:adjustRightInd w:val="0"/>
        <w:spacing w:line="700" w:lineRule="exact"/>
        <w:jc w:val="center"/>
        <w:rPr>
          <w:rFonts w:hint="eastAsia" w:ascii="宋体" w:hAnsi="宋体" w:eastAsia="宋体" w:cs="宋体"/>
          <w:b/>
          <w:bCs/>
          <w:color w:val="auto"/>
          <w:sz w:val="44"/>
          <w:szCs w:val="44"/>
          <w:highlight w:val="none"/>
          <w:lang w:val="zh-CN"/>
        </w:rPr>
      </w:pPr>
      <w:r>
        <w:rPr>
          <w:rFonts w:hint="eastAsia" w:ascii="宋体" w:hAnsi="宋体" w:eastAsia="宋体" w:cs="宋体"/>
          <w:b/>
          <w:bCs/>
          <w:color w:val="auto"/>
          <w:sz w:val="44"/>
          <w:szCs w:val="44"/>
          <w:highlight w:val="none"/>
          <w:lang w:val="zh-CN"/>
        </w:rPr>
        <w:t>目    录</w:t>
      </w:r>
    </w:p>
    <w:p w14:paraId="11535741">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p>
    <w:p w14:paraId="519B89D5">
      <w:pPr>
        <w:autoSpaceDE w:val="0"/>
        <w:autoSpaceDN w:val="0"/>
        <w:adjustRightInd w:val="0"/>
        <w:spacing w:line="700" w:lineRule="exact"/>
        <w:ind w:firstLine="551"/>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第一章 投标邀请</w:t>
      </w:r>
    </w:p>
    <w:p w14:paraId="2555E9E1">
      <w:pPr>
        <w:autoSpaceDE w:val="0"/>
        <w:autoSpaceDN w:val="0"/>
        <w:adjustRightInd w:val="0"/>
        <w:spacing w:line="700" w:lineRule="exact"/>
        <w:ind w:firstLine="551"/>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第二章 项目需求</w:t>
      </w:r>
    </w:p>
    <w:p w14:paraId="1CD833A1">
      <w:pPr>
        <w:autoSpaceDE w:val="0"/>
        <w:autoSpaceDN w:val="0"/>
        <w:adjustRightInd w:val="0"/>
        <w:spacing w:line="700" w:lineRule="exact"/>
        <w:ind w:firstLine="560"/>
        <w:rPr>
          <w:rFonts w:hint="eastAsia" w:ascii="宋体" w:hAnsi="宋体" w:eastAsia="宋体" w:cs="宋体"/>
          <w:b/>
          <w:color w:val="auto"/>
          <w:kern w:val="0"/>
          <w:sz w:val="30"/>
          <w:szCs w:val="30"/>
          <w:highlight w:val="none"/>
        </w:rPr>
      </w:pPr>
      <w:r>
        <w:rPr>
          <w:rFonts w:hint="eastAsia" w:ascii="宋体" w:hAnsi="宋体" w:eastAsia="宋体" w:cs="宋体"/>
          <w:b/>
          <w:bCs/>
          <w:color w:val="auto"/>
          <w:sz w:val="30"/>
          <w:szCs w:val="30"/>
          <w:highlight w:val="none"/>
          <w:lang w:val="zh-CN"/>
        </w:rPr>
        <w:t xml:space="preserve">第三章 </w:t>
      </w:r>
      <w:r>
        <w:rPr>
          <w:rFonts w:hint="eastAsia" w:ascii="宋体" w:hAnsi="宋体" w:eastAsia="宋体" w:cs="宋体"/>
          <w:b/>
          <w:color w:val="auto"/>
          <w:kern w:val="0"/>
          <w:sz w:val="30"/>
          <w:szCs w:val="30"/>
          <w:highlight w:val="none"/>
        </w:rPr>
        <w:t>投标人须知前附表</w:t>
      </w:r>
    </w:p>
    <w:p w14:paraId="2A7495CA">
      <w:pPr>
        <w:autoSpaceDE w:val="0"/>
        <w:autoSpaceDN w:val="0"/>
        <w:adjustRightInd w:val="0"/>
        <w:spacing w:line="700" w:lineRule="exact"/>
        <w:ind w:firstLine="560"/>
        <w:rPr>
          <w:rFonts w:hint="eastAsia" w:ascii="宋体" w:hAnsi="宋体" w:eastAsia="宋体" w:cs="宋体"/>
          <w:b/>
          <w:color w:val="auto"/>
          <w:kern w:val="0"/>
          <w:sz w:val="30"/>
          <w:szCs w:val="30"/>
          <w:highlight w:val="none"/>
        </w:rPr>
      </w:pPr>
      <w:r>
        <w:rPr>
          <w:rFonts w:hint="eastAsia" w:ascii="宋体" w:hAnsi="宋体" w:eastAsia="宋体" w:cs="宋体"/>
          <w:b/>
          <w:bCs/>
          <w:color w:val="auto"/>
          <w:sz w:val="30"/>
          <w:szCs w:val="30"/>
          <w:highlight w:val="none"/>
          <w:lang w:val="zh-CN"/>
        </w:rPr>
        <w:t xml:space="preserve">第四章 </w:t>
      </w:r>
      <w:r>
        <w:rPr>
          <w:rFonts w:hint="eastAsia" w:ascii="宋体" w:hAnsi="宋体" w:eastAsia="宋体" w:cs="宋体"/>
          <w:b/>
          <w:color w:val="auto"/>
          <w:kern w:val="0"/>
          <w:sz w:val="30"/>
          <w:szCs w:val="30"/>
          <w:highlight w:val="none"/>
        </w:rPr>
        <w:t>投标人须知</w:t>
      </w:r>
    </w:p>
    <w:p w14:paraId="5DA9AC4B">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一、概念释义</w:t>
      </w:r>
    </w:p>
    <w:p w14:paraId="1071316B">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二、招标文件说明</w:t>
      </w:r>
    </w:p>
    <w:p w14:paraId="75A4FDF7">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三、投标文件的编制</w:t>
      </w:r>
    </w:p>
    <w:p w14:paraId="6799C607">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四、投标文件的递交</w:t>
      </w:r>
    </w:p>
    <w:p w14:paraId="3DE48F10">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五、开标和评标</w:t>
      </w:r>
    </w:p>
    <w:p w14:paraId="1E28CEE5">
      <w:pPr>
        <w:autoSpaceDE w:val="0"/>
        <w:autoSpaceDN w:val="0"/>
        <w:adjustRightInd w:val="0"/>
        <w:spacing w:line="700" w:lineRule="exact"/>
        <w:ind w:firstLine="551"/>
        <w:rPr>
          <w:rFonts w:hint="eastAsia" w:ascii="宋体" w:hAnsi="宋体" w:eastAsia="宋体" w:cs="宋体"/>
          <w:b/>
          <w:bCs/>
          <w:color w:val="auto"/>
          <w:sz w:val="30"/>
          <w:szCs w:val="30"/>
          <w:highlight w:val="none"/>
          <w:lang w:val="zh-CN"/>
        </w:rPr>
      </w:pPr>
      <w:r>
        <w:rPr>
          <w:rFonts w:hint="eastAsia" w:ascii="宋体" w:hAnsi="宋体" w:eastAsia="宋体" w:cs="宋体"/>
          <w:color w:val="auto"/>
          <w:sz w:val="30"/>
          <w:szCs w:val="30"/>
          <w:highlight w:val="none"/>
          <w:lang w:val="zh-CN"/>
        </w:rPr>
        <w:t>六、定标和授予合同</w:t>
      </w:r>
    </w:p>
    <w:p w14:paraId="0315E007">
      <w:pPr>
        <w:autoSpaceDE w:val="0"/>
        <w:autoSpaceDN w:val="0"/>
        <w:adjustRightInd w:val="0"/>
        <w:spacing w:line="700" w:lineRule="exact"/>
        <w:ind w:firstLine="560"/>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第五章 政府采购政策功能</w:t>
      </w:r>
    </w:p>
    <w:p w14:paraId="5C21FB9D">
      <w:pPr>
        <w:autoSpaceDE w:val="0"/>
        <w:autoSpaceDN w:val="0"/>
        <w:adjustRightInd w:val="0"/>
        <w:spacing w:line="700" w:lineRule="exact"/>
        <w:ind w:firstLine="560"/>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第六章 资格审查与评标</w:t>
      </w:r>
    </w:p>
    <w:p w14:paraId="456A2A19">
      <w:pPr>
        <w:autoSpaceDE w:val="0"/>
        <w:autoSpaceDN w:val="0"/>
        <w:adjustRightInd w:val="0"/>
        <w:spacing w:line="700" w:lineRule="exact"/>
        <w:ind w:firstLine="560"/>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第七章 拟签订的合同文本</w:t>
      </w:r>
    </w:p>
    <w:p w14:paraId="62549875">
      <w:pPr>
        <w:autoSpaceDE w:val="0"/>
        <w:autoSpaceDN w:val="0"/>
        <w:adjustRightInd w:val="0"/>
        <w:spacing w:line="700" w:lineRule="exact"/>
        <w:ind w:firstLine="560"/>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第八章 投标文件有关格式</w:t>
      </w:r>
    </w:p>
    <w:p w14:paraId="333E6EBF">
      <w:pPr>
        <w:pStyle w:val="27"/>
        <w:ind w:firstLine="301"/>
        <w:rPr>
          <w:rFonts w:hint="eastAsia" w:ascii="宋体" w:hAnsi="宋体" w:eastAsia="宋体" w:cs="宋体"/>
          <w:b/>
          <w:bCs/>
          <w:color w:val="auto"/>
          <w:sz w:val="30"/>
          <w:szCs w:val="30"/>
          <w:highlight w:val="none"/>
          <w:lang w:val="zh-CN"/>
        </w:rPr>
      </w:pPr>
    </w:p>
    <w:p w14:paraId="47D75410">
      <w:pPr>
        <w:pStyle w:val="28"/>
        <w:rPr>
          <w:rFonts w:hint="eastAsia" w:ascii="宋体" w:hAnsi="宋体" w:eastAsia="宋体" w:cs="宋体"/>
          <w:b/>
          <w:bCs/>
          <w:color w:val="auto"/>
          <w:sz w:val="30"/>
          <w:szCs w:val="30"/>
          <w:highlight w:val="none"/>
          <w:lang w:val="zh-CN"/>
        </w:rPr>
      </w:pPr>
    </w:p>
    <w:p w14:paraId="16F4387E">
      <w:pPr>
        <w:rPr>
          <w:rFonts w:hint="eastAsia" w:ascii="宋体" w:hAnsi="宋体" w:eastAsia="宋体" w:cs="宋体"/>
          <w:b/>
          <w:bCs/>
          <w:color w:val="auto"/>
          <w:sz w:val="30"/>
          <w:szCs w:val="30"/>
          <w:highlight w:val="none"/>
          <w:lang w:val="zh-CN"/>
        </w:rPr>
      </w:pPr>
    </w:p>
    <w:p w14:paraId="34F61D01">
      <w:pPr>
        <w:pStyle w:val="11"/>
        <w:rPr>
          <w:rFonts w:hint="eastAsia" w:ascii="宋体" w:hAnsi="宋体" w:eastAsia="宋体" w:cs="宋体"/>
          <w:b/>
          <w:bCs/>
          <w:color w:val="auto"/>
          <w:sz w:val="30"/>
          <w:szCs w:val="30"/>
          <w:highlight w:val="none"/>
          <w:lang w:val="zh-CN"/>
        </w:rPr>
      </w:pPr>
    </w:p>
    <w:p w14:paraId="72935D6F">
      <w:pPr>
        <w:pStyle w:val="37"/>
        <w:rPr>
          <w:rFonts w:hint="eastAsia" w:ascii="宋体" w:hAnsi="宋体" w:eastAsia="宋体" w:cs="宋体"/>
          <w:color w:val="auto"/>
          <w:highlight w:val="none"/>
          <w:lang w:val="zh-CN"/>
        </w:rPr>
      </w:pPr>
    </w:p>
    <w:p w14:paraId="0C7B4466">
      <w:pPr>
        <w:pStyle w:val="28"/>
        <w:ind w:firstLine="480"/>
        <w:rPr>
          <w:rFonts w:hint="eastAsia" w:ascii="宋体" w:hAnsi="宋体" w:eastAsia="宋体" w:cs="宋体"/>
          <w:color w:val="auto"/>
          <w:highlight w:val="none"/>
        </w:rPr>
      </w:pPr>
    </w:p>
    <w:p w14:paraId="7BF825B4">
      <w:pPr>
        <w:jc w:val="center"/>
        <w:rPr>
          <w:rFonts w:hint="eastAsia" w:ascii="宋体" w:hAnsi="宋体" w:eastAsia="宋体" w:cs="宋体"/>
          <w:color w:val="auto"/>
          <w:highlight w:val="none"/>
        </w:rPr>
      </w:pPr>
      <w:r>
        <w:rPr>
          <w:rFonts w:hint="eastAsia" w:ascii="宋体" w:hAnsi="宋体" w:eastAsia="宋体" w:cs="宋体"/>
          <w:b/>
          <w:color w:val="auto"/>
          <w:kern w:val="0"/>
          <w:sz w:val="32"/>
          <w:szCs w:val="32"/>
          <w:highlight w:val="none"/>
        </w:rPr>
        <w:t>第一章  投标邀请</w:t>
      </w:r>
    </w:p>
    <w:p w14:paraId="27A600D0">
      <w:pPr>
        <w:tabs>
          <w:tab w:val="left" w:pos="7095"/>
        </w:tabs>
        <w:spacing w:line="384" w:lineRule="auto"/>
        <w:contextualSpacing/>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项目概况</w:t>
      </w:r>
    </w:p>
    <w:p w14:paraId="08BDA919">
      <w:pPr>
        <w:tabs>
          <w:tab w:val="left" w:pos="7095"/>
        </w:tabs>
        <w:spacing w:line="384"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禹州市环境卫生服务中心禹州市环卫作业车辆设备更新项目</w:t>
      </w:r>
      <w:r>
        <w:rPr>
          <w:rFonts w:hint="eastAsia" w:ascii="宋体" w:hAnsi="宋体" w:eastAsia="宋体" w:cs="宋体"/>
          <w:color w:val="auto"/>
          <w:szCs w:val="21"/>
          <w:highlight w:val="none"/>
        </w:rPr>
        <w:t>的潜在投标人应在投标截止时间前登录《全国公共资源交易平台（河南省·许昌市）》“投标人/供应商登录”入口</w:t>
      </w:r>
      <w:r>
        <w:rPr>
          <w:rFonts w:hint="eastAsia" w:ascii="宋体" w:hAnsi="宋体" w:eastAsia="宋体" w:cs="宋体"/>
          <w:color w:val="auto"/>
          <w:szCs w:val="21"/>
          <w:highlight w:val="none"/>
          <w:lang w:eastAsia="zh-CN"/>
        </w:rPr>
        <w:t>（</w:t>
      </w:r>
      <w:r>
        <w:rPr>
          <w:rFonts w:hint="eastAsia" w:ascii="宋体" w:hAnsi="宋体" w:eastAsia="宋体" w:cs="宋体"/>
          <w:color w:val="auto"/>
          <w:spacing w:val="0"/>
          <w:position w:val="0"/>
          <w:sz w:val="21"/>
          <w:szCs w:val="21"/>
          <w:highlight w:val="none"/>
          <w:lang w:eastAsia="zh-CN"/>
        </w:rPr>
        <w:t>https://ggzy.xuchang.gov.cn</w:t>
      </w:r>
      <w:r>
        <w:rPr>
          <w:rFonts w:hint="eastAsia" w:ascii="宋体" w:hAnsi="宋体" w:eastAsia="宋体" w:cs="宋体"/>
          <w:color w:val="auto"/>
          <w:szCs w:val="21"/>
          <w:highlight w:val="none"/>
        </w:rPr>
        <w:t>）自行免费下载获取招标文件，并于202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08时</w:t>
      </w:r>
      <w:r>
        <w:rPr>
          <w:rFonts w:hint="eastAsia" w:ascii="宋体" w:hAnsi="宋体" w:eastAsia="宋体" w:cs="宋体"/>
          <w:color w:val="auto"/>
          <w:szCs w:val="21"/>
          <w:highlight w:val="none"/>
        </w:rPr>
        <w:t>30 分（北京时间）前递交投标文件。</w:t>
      </w:r>
    </w:p>
    <w:p w14:paraId="7B88E4E8">
      <w:pPr>
        <w:tabs>
          <w:tab w:val="left" w:pos="7095"/>
        </w:tabs>
        <w:spacing w:line="384" w:lineRule="auto"/>
        <w:ind w:firstLine="422" w:firstLineChars="200"/>
        <w:contextualSpacing/>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一、项目基本情况</w:t>
      </w:r>
    </w:p>
    <w:p w14:paraId="22E2C820">
      <w:pPr>
        <w:tabs>
          <w:tab w:val="left" w:pos="7095"/>
        </w:tabs>
        <w:spacing w:line="384" w:lineRule="auto"/>
        <w:ind w:firstLine="420" w:firstLineChars="200"/>
        <w:contextualSpacing/>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1.项目编号：YZCG-DLG202</w:t>
      </w:r>
      <w:r>
        <w:rPr>
          <w:rFonts w:hint="eastAsia" w:ascii="宋体" w:hAnsi="宋体" w:eastAsia="宋体" w:cs="宋体"/>
          <w:color w:val="auto"/>
          <w:szCs w:val="21"/>
          <w:highlight w:val="none"/>
          <w:lang w:val="en-US" w:eastAsia="zh-CN"/>
        </w:rPr>
        <w:t>5069</w:t>
      </w:r>
    </w:p>
    <w:p w14:paraId="6C868030">
      <w:pPr>
        <w:tabs>
          <w:tab w:val="left" w:pos="7095"/>
        </w:tabs>
        <w:spacing w:line="384" w:lineRule="auto"/>
        <w:ind w:firstLine="420" w:firstLineChars="200"/>
        <w:contextualSpacing/>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2.项目名称：</w:t>
      </w:r>
      <w:r>
        <w:rPr>
          <w:rFonts w:hint="eastAsia" w:ascii="宋体" w:hAnsi="宋体" w:eastAsia="宋体" w:cs="宋体"/>
          <w:color w:val="auto"/>
          <w:szCs w:val="21"/>
          <w:highlight w:val="none"/>
        </w:rPr>
        <w:t>禹州市环境卫生服务中心禹州市环卫作业车辆设备更新项目</w:t>
      </w:r>
    </w:p>
    <w:p w14:paraId="59DBD69D">
      <w:pPr>
        <w:tabs>
          <w:tab w:val="left" w:pos="7095"/>
        </w:tabs>
        <w:spacing w:line="384"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3.采购方式：公开招标</w:t>
      </w:r>
    </w:p>
    <w:p w14:paraId="084D6BAA">
      <w:pPr>
        <w:tabs>
          <w:tab w:val="left" w:pos="7095"/>
        </w:tabs>
        <w:spacing w:line="384"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.采购需求（包括但不限于标的的名称、数量、简要技术需求或服务要求等）</w:t>
      </w:r>
    </w:p>
    <w:p w14:paraId="78D72D2B">
      <w:pPr>
        <w:tabs>
          <w:tab w:val="left" w:pos="7095"/>
        </w:tabs>
        <w:spacing w:line="384" w:lineRule="auto"/>
        <w:ind w:firstLine="420" w:firstLineChars="200"/>
        <w:contextualSpacing/>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项目拟更新新能源（18吨多功能洗扫车、</w:t>
      </w:r>
      <w:r>
        <w:rPr>
          <w:rFonts w:hint="eastAsia" w:ascii="宋体" w:hAnsi="宋体" w:eastAsia="宋体" w:cs="宋体"/>
          <w:b w:val="0"/>
          <w:bCs w:val="0"/>
          <w:color w:val="auto"/>
          <w:szCs w:val="21"/>
          <w:highlight w:val="none"/>
          <w:lang w:val="en-US" w:eastAsia="zh-CN"/>
        </w:rPr>
        <w:t>8吨洒水车</w:t>
      </w:r>
      <w:r>
        <w:rPr>
          <w:rFonts w:hint="eastAsia" w:ascii="宋体" w:hAnsi="宋体" w:eastAsia="宋体" w:cs="宋体"/>
          <w:color w:val="auto"/>
          <w:szCs w:val="21"/>
          <w:highlight w:val="none"/>
          <w:lang w:val="en-US" w:eastAsia="zh-CN"/>
        </w:rPr>
        <w:t>、18吨抑尘车、小型路面养护车、3吨铲车、密闭转运车、小型可卸式清运车） 环卫作业车辆24辆，压缩转运设备10套，3立方可卸式垃圾箱31个。项目建成后，垃圾转运能力200吨/日。实现垃圾清运，道路清扫保洁等功能。</w:t>
      </w:r>
      <w:r>
        <w:rPr>
          <w:rFonts w:hint="eastAsia" w:ascii="宋体" w:hAnsi="宋体" w:eastAsia="宋体" w:cs="宋体"/>
          <w:color w:val="auto"/>
          <w:szCs w:val="21"/>
          <w:highlight w:val="none"/>
        </w:rPr>
        <w:t>（详见招标文件）</w:t>
      </w:r>
    </w:p>
    <w:p w14:paraId="2273D53F">
      <w:pPr>
        <w:tabs>
          <w:tab w:val="left" w:pos="7095"/>
        </w:tabs>
        <w:spacing w:line="384" w:lineRule="auto"/>
        <w:ind w:firstLine="420" w:firstLineChars="200"/>
        <w:contextualSpacing/>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5.最高限价：36500000.00元</w:t>
      </w:r>
    </w:p>
    <w:p w14:paraId="3C000B8C">
      <w:pPr>
        <w:tabs>
          <w:tab w:val="left" w:pos="7095"/>
        </w:tabs>
        <w:spacing w:line="384" w:lineRule="auto"/>
        <w:ind w:firstLine="420" w:firstLineChars="200"/>
        <w:contextualSpacing/>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.合同履行期限：</w:t>
      </w:r>
      <w:r>
        <w:rPr>
          <w:rFonts w:hint="eastAsia" w:ascii="宋体" w:hAnsi="宋体" w:eastAsia="宋体" w:cs="宋体"/>
          <w:color w:val="auto"/>
          <w:szCs w:val="21"/>
          <w:highlight w:val="none"/>
          <w:lang w:eastAsia="zh-CN"/>
        </w:rPr>
        <w:t>自合同签订之日起</w:t>
      </w:r>
      <w:r>
        <w:rPr>
          <w:rFonts w:hint="eastAsia" w:ascii="宋体" w:hAnsi="宋体" w:eastAsia="宋体" w:cs="宋体"/>
          <w:color w:val="auto"/>
          <w:szCs w:val="21"/>
          <w:highlight w:val="none"/>
          <w:lang w:val="en-US" w:eastAsia="zh-CN"/>
        </w:rPr>
        <w:t>30个工作日。</w:t>
      </w:r>
    </w:p>
    <w:p w14:paraId="3D456C94">
      <w:pPr>
        <w:tabs>
          <w:tab w:val="left" w:pos="7095"/>
        </w:tabs>
        <w:spacing w:line="384" w:lineRule="auto"/>
        <w:ind w:firstLine="420" w:firstLineChars="200"/>
        <w:contextualSpacing/>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本项目是否接受联合体投标：</w:t>
      </w:r>
      <w:r>
        <w:rPr>
          <w:rFonts w:hint="eastAsia" w:ascii="宋体" w:hAnsi="宋体" w:eastAsia="宋体" w:cs="宋体"/>
          <w:color w:val="auto"/>
          <w:szCs w:val="21"/>
          <w:highlight w:val="none"/>
          <w:lang w:val="en-US" w:eastAsia="zh-CN"/>
        </w:rPr>
        <w:t>是</w:t>
      </w:r>
    </w:p>
    <w:p w14:paraId="225BA02E">
      <w:pPr>
        <w:tabs>
          <w:tab w:val="left" w:pos="7095"/>
        </w:tabs>
        <w:spacing w:line="384"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.是否接受进口产品：否</w:t>
      </w:r>
    </w:p>
    <w:p w14:paraId="099004FD">
      <w:pPr>
        <w:tabs>
          <w:tab w:val="left" w:pos="7095"/>
        </w:tabs>
        <w:spacing w:line="384" w:lineRule="auto"/>
        <w:ind w:firstLine="420" w:firstLineChars="200"/>
        <w:contextualSpacing/>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.是否专门面向中小企业：</w:t>
      </w:r>
      <w:r>
        <w:rPr>
          <w:rFonts w:hint="eastAsia" w:ascii="宋体" w:hAnsi="宋体" w:eastAsia="宋体" w:cs="宋体"/>
          <w:color w:val="auto"/>
          <w:szCs w:val="21"/>
          <w:highlight w:val="none"/>
          <w:lang w:val="en-US" w:eastAsia="zh-CN"/>
        </w:rPr>
        <w:t>否</w:t>
      </w:r>
    </w:p>
    <w:p w14:paraId="4F0D2B13">
      <w:pPr>
        <w:tabs>
          <w:tab w:val="left" w:pos="7095"/>
        </w:tabs>
        <w:spacing w:line="384" w:lineRule="auto"/>
        <w:ind w:firstLine="422" w:firstLineChars="200"/>
        <w:contextualSpacing/>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二、申请人资格要求：</w:t>
      </w:r>
    </w:p>
    <w:p w14:paraId="29E47123">
      <w:pPr>
        <w:tabs>
          <w:tab w:val="left" w:pos="7095"/>
        </w:tabs>
        <w:spacing w:line="384"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642E2BEC">
      <w:pPr>
        <w:tabs>
          <w:tab w:val="left" w:pos="7095"/>
        </w:tabs>
        <w:spacing w:line="384"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2.落实政府采购政策满足的资格要求：</w:t>
      </w:r>
    </w:p>
    <w:p w14:paraId="16BDDDB4">
      <w:pPr>
        <w:tabs>
          <w:tab w:val="left" w:pos="7095"/>
        </w:tabs>
        <w:spacing w:line="384"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本项目落实节约能源、保护环境、扶持不发达地区和少数民族地区、促进中小企业、监狱企业发展等政府采购政策。</w:t>
      </w:r>
    </w:p>
    <w:p w14:paraId="61565CD0">
      <w:pPr>
        <w:tabs>
          <w:tab w:val="left" w:pos="7095"/>
        </w:tabs>
        <w:spacing w:line="384" w:lineRule="auto"/>
        <w:ind w:firstLine="420" w:firstLineChars="200"/>
        <w:contextualSpacing/>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3.本项目的特定资格要求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无</w:t>
      </w:r>
    </w:p>
    <w:p w14:paraId="680A6F30">
      <w:pPr>
        <w:tabs>
          <w:tab w:val="left" w:pos="7095"/>
        </w:tabs>
        <w:spacing w:line="360" w:lineRule="auto"/>
        <w:ind w:firstLine="420" w:firstLineChars="200"/>
        <w:contextualSpacing/>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三、招标文件的获取</w:t>
      </w:r>
    </w:p>
    <w:p w14:paraId="2694C802">
      <w:pPr>
        <w:tabs>
          <w:tab w:val="left" w:pos="7095"/>
        </w:tabs>
        <w:spacing w:line="384" w:lineRule="auto"/>
        <w:ind w:firstLine="420" w:firstLineChars="200"/>
        <w:contextualSpacing/>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即日起至投标截止时间，</w:t>
      </w:r>
      <w:r>
        <w:rPr>
          <w:rStyle w:val="89"/>
          <w:rFonts w:hint="eastAsia" w:ascii="宋体" w:hAnsi="宋体" w:eastAsia="宋体" w:cs="宋体"/>
          <w:color w:val="auto"/>
          <w:highlight w:val="none"/>
        </w:rPr>
        <w:t>《全国公共资源交易平台（河南省·许昌市）》</w:t>
      </w:r>
      <w:r>
        <w:rPr>
          <w:rFonts w:hint="eastAsia" w:ascii="宋体" w:hAnsi="宋体" w:eastAsia="宋体" w:cs="宋体"/>
          <w:color w:val="auto"/>
          <w:szCs w:val="21"/>
          <w:highlight w:val="none"/>
          <w:lang w:eastAsia="zh-CN"/>
        </w:rPr>
        <w:t>（</w:t>
      </w:r>
      <w:r>
        <w:rPr>
          <w:rFonts w:hint="eastAsia" w:ascii="宋体" w:hAnsi="宋体" w:eastAsia="宋体" w:cs="宋体"/>
          <w:color w:val="auto"/>
          <w:spacing w:val="0"/>
          <w:position w:val="0"/>
          <w:sz w:val="21"/>
          <w:szCs w:val="21"/>
          <w:highlight w:val="none"/>
          <w:lang w:eastAsia="zh-CN"/>
        </w:rPr>
        <w:t>https://ggzy.xuchang.gov.cn</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shd w:val="clear" w:color="auto" w:fill="FFFFFF"/>
        </w:rPr>
        <w:t>自行免费下载招标文件。</w:t>
      </w:r>
    </w:p>
    <w:p w14:paraId="3606D432">
      <w:pPr>
        <w:tabs>
          <w:tab w:val="left" w:pos="7095"/>
        </w:tabs>
        <w:spacing w:line="360" w:lineRule="auto"/>
        <w:ind w:firstLine="420" w:firstLineChars="200"/>
        <w:contextualSpacing/>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四、投标文件的提交方式及注意事项</w:t>
      </w:r>
    </w:p>
    <w:p w14:paraId="1D0645EE">
      <w:pPr>
        <w:tabs>
          <w:tab w:val="left" w:pos="7095"/>
        </w:tabs>
        <w:spacing w:line="360" w:lineRule="auto"/>
        <w:ind w:firstLine="420" w:firstLineChars="200"/>
        <w:contextualSpacing/>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本项目为全流程电子化交易项目，</w:t>
      </w:r>
      <w:r>
        <w:rPr>
          <w:rFonts w:hint="eastAsia" w:ascii="宋体" w:hAnsi="宋体" w:eastAsia="宋体" w:cs="宋体"/>
          <w:color w:val="auto"/>
          <w:sz w:val="21"/>
          <w:szCs w:val="21"/>
          <w:highlight w:val="none"/>
        </w:rPr>
        <w:t>供应商登录“</w:t>
      </w:r>
      <w:r>
        <w:rPr>
          <w:rFonts w:hint="eastAsia" w:ascii="宋体" w:hAnsi="宋体" w:eastAsia="宋体" w:cs="宋体"/>
          <w:color w:val="auto"/>
          <w:sz w:val="21"/>
          <w:szCs w:val="21"/>
          <w:highlight w:val="none"/>
          <w:shd w:val="clear" w:color="auto" w:fill="FFFFFF"/>
        </w:rPr>
        <w:t>全国公共资源交易平台（河南省·许昌市）”</w:t>
      </w:r>
      <w:r>
        <w:rPr>
          <w:rFonts w:hint="eastAsia" w:ascii="宋体" w:hAnsi="宋体" w:eastAsia="宋体" w:cs="宋体"/>
          <w:color w:val="auto"/>
          <w:sz w:val="21"/>
          <w:szCs w:val="21"/>
          <w:highlight w:val="none"/>
        </w:rPr>
        <w:t>下载</w:t>
      </w:r>
      <w:r>
        <w:rPr>
          <w:rFonts w:hint="eastAsia" w:ascii="宋体" w:hAnsi="宋体" w:eastAsia="宋体" w:cs="宋体"/>
          <w:color w:val="auto"/>
          <w:sz w:val="21"/>
          <w:szCs w:val="21"/>
          <w:highlight w:val="none"/>
          <w:shd w:val="clear" w:color="auto" w:fill="FFFFFF"/>
        </w:rPr>
        <w:t>“新点投标文件制作软件（河南省版）”的最新版本制作电子响应文件</w:t>
      </w:r>
      <w:r>
        <w:rPr>
          <w:rFonts w:hint="eastAsia" w:ascii="宋体" w:hAnsi="宋体" w:eastAsia="宋体" w:cs="宋体"/>
          <w:color w:val="auto"/>
          <w:szCs w:val="21"/>
          <w:highlight w:val="none"/>
          <w:shd w:val="clear" w:color="auto" w:fill="FFFFFF"/>
        </w:rPr>
        <w:t>制作并上传加密电子投标文件。截至投标截止时间，交易系统投标通道将关闭，投标人未完成电子投标文件上传的，投标将被拒绝。</w:t>
      </w:r>
    </w:p>
    <w:p w14:paraId="04B8A3C9">
      <w:pPr>
        <w:tabs>
          <w:tab w:val="left" w:pos="7095"/>
        </w:tabs>
        <w:spacing w:line="360" w:lineRule="auto"/>
        <w:ind w:firstLine="420" w:firstLineChars="200"/>
        <w:contextualSpacing/>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五、投标截止时间、开标时间及地点</w:t>
      </w:r>
    </w:p>
    <w:p w14:paraId="5E5D31BB">
      <w:pPr>
        <w:tabs>
          <w:tab w:val="left" w:pos="7095"/>
        </w:tabs>
        <w:spacing w:line="360" w:lineRule="auto"/>
        <w:ind w:firstLine="420" w:firstLineChars="200"/>
        <w:contextualSpacing/>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1. 投标截止及开标时间：</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08时</w:t>
      </w:r>
      <w:r>
        <w:rPr>
          <w:rFonts w:hint="eastAsia" w:ascii="宋体" w:hAnsi="宋体" w:eastAsia="宋体" w:cs="宋体"/>
          <w:color w:val="auto"/>
          <w:szCs w:val="21"/>
          <w:highlight w:val="none"/>
          <w:shd w:val="clear" w:color="auto" w:fill="FFFFFF"/>
        </w:rPr>
        <w:t>30分（北京时间），逾期提交或不符合规定的投标文件不予接受。</w:t>
      </w:r>
    </w:p>
    <w:p w14:paraId="08AD80BF">
      <w:pPr>
        <w:tabs>
          <w:tab w:val="left" w:pos="7095"/>
        </w:tabs>
        <w:spacing w:line="360" w:lineRule="auto"/>
        <w:ind w:firstLine="420" w:firstLineChars="200"/>
        <w:contextualSpacing/>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2. 开标地点：禹州市公共资源交易中心第</w:t>
      </w:r>
      <w:r>
        <w:rPr>
          <w:rFonts w:hint="eastAsia" w:ascii="宋体" w:hAnsi="宋体" w:eastAsia="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开标室（禹州市行政服务中心楼9楼）（本项目采用远程不见面开标，供应商无须到达现场）。</w:t>
      </w:r>
    </w:p>
    <w:p w14:paraId="407E87A1">
      <w:pPr>
        <w:tabs>
          <w:tab w:val="left" w:pos="7095"/>
        </w:tabs>
        <w:spacing w:line="360" w:lineRule="auto"/>
        <w:ind w:firstLine="420" w:firstLineChars="200"/>
        <w:contextualSpacing/>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六、开标注意事项</w:t>
      </w:r>
    </w:p>
    <w:p w14:paraId="6B4BEC5F">
      <w:pPr>
        <w:tabs>
          <w:tab w:val="left" w:pos="7095"/>
        </w:tabs>
        <w:spacing w:line="384"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采用“不见面”网上开标方式，请投标供应商使用CA数字证书登录《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672471C1">
      <w:pPr>
        <w:tabs>
          <w:tab w:val="left" w:pos="7095"/>
        </w:tabs>
        <w:spacing w:line="360" w:lineRule="auto"/>
        <w:ind w:firstLine="420" w:firstLineChars="200"/>
        <w:contextualSpacing/>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七、本次招标公告同时在</w:t>
      </w:r>
      <w:r>
        <w:rPr>
          <w:rFonts w:hint="eastAsia" w:ascii="宋体" w:hAnsi="宋体" w:eastAsia="宋体" w:cs="宋体"/>
          <w:color w:val="auto"/>
          <w:szCs w:val="21"/>
          <w:highlight w:val="none"/>
        </w:rPr>
        <w:t>《河南省政府采购网》《许昌市政府采购网》</w:t>
      </w:r>
      <w:r>
        <w:rPr>
          <w:rFonts w:hint="eastAsia" w:ascii="宋体" w:hAnsi="宋体" w:eastAsia="宋体" w:cs="宋体"/>
          <w:color w:val="auto"/>
          <w:szCs w:val="21"/>
          <w:highlight w:val="none"/>
          <w:shd w:val="clear" w:color="auto" w:fill="FFFFFF"/>
        </w:rPr>
        <w:t>《全国公共资源交易平台（河南省·许昌市）》发布。</w:t>
      </w:r>
    </w:p>
    <w:p w14:paraId="618BED68">
      <w:pPr>
        <w:tabs>
          <w:tab w:val="left" w:pos="7095"/>
        </w:tabs>
        <w:spacing w:line="360" w:lineRule="auto"/>
        <w:ind w:firstLine="420" w:firstLineChars="200"/>
        <w:contextualSpacing/>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八、联系方式</w:t>
      </w:r>
    </w:p>
    <w:p w14:paraId="3EFDE7E6">
      <w:pPr>
        <w:spacing w:line="384"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1.采购人信息</w:t>
      </w:r>
    </w:p>
    <w:p w14:paraId="25953515">
      <w:pPr>
        <w:spacing w:line="384"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名称：禹州市环境卫生服务中心</w:t>
      </w:r>
    </w:p>
    <w:p w14:paraId="68273EDF">
      <w:pPr>
        <w:spacing w:line="384"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地址：禹州市钧官窑路185号</w:t>
      </w:r>
    </w:p>
    <w:p w14:paraId="5D3AE015">
      <w:pPr>
        <w:spacing w:line="384"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联系人：赵先生</w:t>
      </w:r>
    </w:p>
    <w:p w14:paraId="7DAFA89D">
      <w:pPr>
        <w:spacing w:line="384" w:lineRule="auto"/>
        <w:ind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联系电话：13782221972</w:t>
      </w:r>
    </w:p>
    <w:p w14:paraId="5931F35D">
      <w:pPr>
        <w:spacing w:line="384"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14:paraId="64E6DB80">
      <w:pPr>
        <w:spacing w:line="384"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名称：河南昊之伟工程管理有限公司</w:t>
      </w:r>
    </w:p>
    <w:p w14:paraId="7273F95D">
      <w:pPr>
        <w:tabs>
          <w:tab w:val="left" w:pos="7095"/>
        </w:tabs>
        <w:spacing w:line="360" w:lineRule="auto"/>
        <w:ind w:firstLine="420" w:firstLineChars="200"/>
        <w:contextualSpacing/>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地址：河南省郑州市郑东新区郑开大道71号恒通国际9层911室</w:t>
      </w:r>
    </w:p>
    <w:p w14:paraId="2502E520">
      <w:pPr>
        <w:tabs>
          <w:tab w:val="left" w:pos="7095"/>
        </w:tabs>
        <w:spacing w:line="360" w:lineRule="auto"/>
        <w:ind w:firstLine="420" w:firstLineChars="200"/>
        <w:contextualSpacing/>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联系人：张女士</w:t>
      </w:r>
    </w:p>
    <w:p w14:paraId="5DF22831">
      <w:pPr>
        <w:tabs>
          <w:tab w:val="left" w:pos="7095"/>
        </w:tabs>
        <w:spacing w:line="360" w:lineRule="auto"/>
        <w:ind w:firstLine="420" w:firstLineChars="200"/>
        <w:contextualSpacing/>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电话：19903741882</w:t>
      </w:r>
    </w:p>
    <w:p w14:paraId="52E97D58">
      <w:pPr>
        <w:tabs>
          <w:tab w:val="left" w:pos="7095"/>
        </w:tabs>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shd w:val="clear" w:color="auto" w:fill="FFFFFF"/>
        </w:rPr>
        <w:t>3.监督单位：</w:t>
      </w:r>
      <w:r>
        <w:rPr>
          <w:rFonts w:hint="eastAsia" w:ascii="宋体" w:hAnsi="宋体" w:eastAsia="宋体" w:cs="宋体"/>
          <w:color w:val="auto"/>
          <w:szCs w:val="21"/>
          <w:highlight w:val="none"/>
        </w:rPr>
        <w:t>禹州市政府采购监督管理办公室</w:t>
      </w:r>
    </w:p>
    <w:p w14:paraId="0887C604">
      <w:pPr>
        <w:spacing w:line="360" w:lineRule="auto"/>
        <w:ind w:firstLine="420" w:firstLineChars="20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联系电话：0374-8112523 </w:t>
      </w:r>
    </w:p>
    <w:p w14:paraId="257B158C">
      <w:pPr>
        <w:tabs>
          <w:tab w:val="left" w:pos="7095"/>
        </w:tabs>
        <w:spacing w:line="360" w:lineRule="auto"/>
        <w:ind w:firstLine="420" w:firstLineChars="200"/>
        <w:contextualSpacing/>
        <w:jc w:val="left"/>
        <w:rPr>
          <w:rFonts w:hint="eastAsia" w:ascii="宋体" w:hAnsi="宋体" w:eastAsia="宋体" w:cs="宋体"/>
          <w:color w:val="auto"/>
          <w:szCs w:val="21"/>
          <w:highlight w:val="none"/>
          <w:shd w:val="clear" w:color="auto" w:fill="FFFFFF"/>
        </w:rPr>
      </w:pPr>
    </w:p>
    <w:p w14:paraId="1E916ED5">
      <w:pPr>
        <w:snapToGrid w:val="0"/>
        <w:spacing w:line="360" w:lineRule="auto"/>
        <w:rPr>
          <w:rFonts w:hint="eastAsia" w:ascii="宋体" w:hAnsi="宋体" w:eastAsia="宋体" w:cs="宋体"/>
          <w:color w:val="auto"/>
          <w:sz w:val="21"/>
          <w:szCs w:val="21"/>
          <w:highlight w:val="none"/>
        </w:rPr>
      </w:pPr>
      <w:r>
        <w:rPr>
          <w:rStyle w:val="89"/>
          <w:rFonts w:hint="eastAsia" w:ascii="宋体" w:hAnsi="宋体" w:eastAsia="宋体" w:cs="宋体"/>
          <w:b/>
          <w:color w:val="auto"/>
          <w:sz w:val="21"/>
          <w:szCs w:val="21"/>
          <w:highlight w:val="none"/>
        </w:rPr>
        <w:t>温馨提示：</w:t>
      </w:r>
    </w:p>
    <w:p w14:paraId="618B7C37">
      <w:pPr>
        <w:pStyle w:val="11"/>
        <w:spacing w:line="360" w:lineRule="auto"/>
        <w:ind w:firstLine="448"/>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本项目为全流程电子化交易项目，请认真阅读招标文件，并注意以下事项。</w:t>
      </w:r>
    </w:p>
    <w:p w14:paraId="6912A341">
      <w:pPr>
        <w:tabs>
          <w:tab w:val="left" w:pos="7095"/>
        </w:tabs>
        <w:snapToGrid w:val="0"/>
        <w:spacing w:line="360" w:lineRule="auto"/>
        <w:ind w:firstLine="420" w:firstLineChars="200"/>
        <w:rPr>
          <w:rStyle w:val="89"/>
          <w:rFonts w:hint="eastAsia" w:ascii="宋体" w:hAnsi="宋体" w:eastAsia="宋体" w:cs="宋体"/>
          <w:color w:val="auto"/>
          <w:sz w:val="21"/>
          <w:szCs w:val="21"/>
          <w:highlight w:val="none"/>
        </w:rPr>
      </w:pPr>
      <w:r>
        <w:rPr>
          <w:rStyle w:val="89"/>
          <w:rFonts w:hint="eastAsia" w:ascii="宋体" w:hAnsi="宋体" w:eastAsia="宋体" w:cs="宋体"/>
          <w:color w:val="auto"/>
          <w:sz w:val="21"/>
          <w:szCs w:val="21"/>
          <w:highlight w:val="none"/>
          <w:lang w:val="en-US" w:eastAsia="zh-CN"/>
        </w:rPr>
        <w:t>1.</w:t>
      </w:r>
      <w:r>
        <w:rPr>
          <w:rStyle w:val="89"/>
          <w:rFonts w:hint="eastAsia" w:ascii="宋体" w:hAnsi="宋体" w:eastAsia="宋体" w:cs="宋体"/>
          <w:color w:val="auto"/>
          <w:sz w:val="21"/>
          <w:szCs w:val="21"/>
          <w:highlight w:val="none"/>
        </w:rPr>
        <w:t>本项目采用远程“不见面”开标方式，投标前请详细阅读“全国公共资源交易平台（河南省·许昌市）”的“服务指南”栏目下《新交易平台使用手册》中的相关内容。</w:t>
      </w:r>
    </w:p>
    <w:p w14:paraId="1171D7D0">
      <w:pPr>
        <w:tabs>
          <w:tab w:val="left" w:pos="7095"/>
        </w:tabs>
        <w:snapToGrid w:val="0"/>
        <w:spacing w:line="360" w:lineRule="auto"/>
        <w:ind w:firstLine="420" w:firstLineChars="200"/>
        <w:rPr>
          <w:rStyle w:val="89"/>
          <w:rFonts w:hint="eastAsia" w:ascii="宋体" w:hAnsi="宋体" w:eastAsia="宋体" w:cs="宋体"/>
          <w:color w:val="auto"/>
          <w:sz w:val="21"/>
          <w:szCs w:val="21"/>
          <w:highlight w:val="none"/>
          <w:lang w:val="en-US" w:eastAsia="zh-CN"/>
        </w:rPr>
      </w:pPr>
      <w:r>
        <w:rPr>
          <w:rStyle w:val="89"/>
          <w:rFonts w:hint="eastAsia" w:ascii="宋体" w:hAnsi="宋体" w:eastAsia="宋体" w:cs="宋体"/>
          <w:color w:val="auto"/>
          <w:sz w:val="21"/>
          <w:szCs w:val="21"/>
          <w:highlight w:val="none"/>
          <w:lang w:val="en-US" w:eastAsia="zh-CN"/>
        </w:rPr>
        <w:t>2.</w:t>
      </w:r>
      <w:r>
        <w:rPr>
          <w:rStyle w:val="89"/>
          <w:rFonts w:hint="eastAsia" w:ascii="宋体" w:hAnsi="宋体" w:eastAsia="宋体" w:cs="宋体"/>
          <w:color w:val="auto"/>
          <w:sz w:val="21"/>
          <w:szCs w:val="21"/>
          <w:highlight w:val="none"/>
        </w:rPr>
        <w:t>投标供应商在电子系统使用过程中遇到涉及系统使用的问题，可致电0374-296</w:t>
      </w:r>
      <w:r>
        <w:rPr>
          <w:rStyle w:val="89"/>
          <w:rFonts w:hint="eastAsia" w:ascii="宋体" w:hAnsi="宋体" w:eastAsia="宋体" w:cs="宋体"/>
          <w:color w:val="auto"/>
          <w:sz w:val="21"/>
          <w:szCs w:val="21"/>
          <w:highlight w:val="none"/>
          <w:lang w:val="en-US" w:eastAsia="zh-CN"/>
        </w:rPr>
        <w:t>1598</w:t>
      </w:r>
      <w:r>
        <w:rPr>
          <w:rStyle w:val="89"/>
          <w:rFonts w:hint="eastAsia" w:ascii="宋体" w:hAnsi="宋体" w:eastAsia="宋体" w:cs="宋体"/>
          <w:color w:val="auto"/>
          <w:sz w:val="21"/>
          <w:szCs w:val="21"/>
          <w:highlight w:val="none"/>
        </w:rPr>
        <w:t>进行咨询。</w:t>
      </w:r>
      <w:r>
        <w:rPr>
          <w:rStyle w:val="89"/>
          <w:rFonts w:hint="eastAsia" w:ascii="宋体" w:hAnsi="宋体" w:eastAsia="宋体" w:cs="宋体"/>
          <w:color w:val="auto"/>
          <w:sz w:val="21"/>
          <w:szCs w:val="21"/>
          <w:highlight w:val="none"/>
          <w:lang w:val="en-US" w:eastAsia="zh-CN"/>
        </w:rPr>
        <w:t xml:space="preserve">  </w:t>
      </w:r>
    </w:p>
    <w:p w14:paraId="0073AC4F">
      <w:pPr>
        <w:pStyle w:val="90"/>
        <w:numPr>
          <w:ilvl w:val="0"/>
          <w:numId w:val="0"/>
        </w:numPr>
        <w:spacing w:line="490" w:lineRule="exact"/>
        <w:ind w:firstLine="420" w:firstLineChars="200"/>
        <w:rPr>
          <w:rFonts w:hint="eastAsia" w:ascii="宋体" w:hAnsi="宋体" w:eastAsia="宋体" w:cs="宋体"/>
          <w:color w:val="auto"/>
          <w:sz w:val="21"/>
          <w:szCs w:val="21"/>
          <w:highlight w:val="none"/>
          <w:shd w:val="clear" w:color="auto" w:fill="FFFFFF"/>
        </w:rPr>
      </w:pPr>
      <w:r>
        <w:rPr>
          <w:rStyle w:val="89"/>
          <w:rFonts w:hint="eastAsia" w:ascii="宋体" w:hAnsi="宋体" w:eastAsia="宋体" w:cs="宋体"/>
          <w:color w:val="auto"/>
          <w:sz w:val="21"/>
          <w:szCs w:val="21"/>
          <w:highlight w:val="none"/>
          <w:lang w:val="en-US" w:eastAsia="zh-CN"/>
        </w:rPr>
        <w:t xml:space="preserve"> 3.</w:t>
      </w:r>
      <w:r>
        <w:rPr>
          <w:rFonts w:hint="eastAsia" w:ascii="宋体" w:hAnsi="宋体" w:eastAsia="宋体" w:cs="宋体"/>
          <w:color w:val="auto"/>
          <w:sz w:val="21"/>
          <w:szCs w:val="21"/>
          <w:highlight w:val="none"/>
          <w:shd w:val="clear" w:color="auto" w:fill="FFFFFF"/>
        </w:rPr>
        <w:t>供应商参加本项目投标，需提前自行联系CA数字证书或移动数字证书服务机构办理数字认证证书并进行电子签章。</w:t>
      </w:r>
    </w:p>
    <w:p w14:paraId="53ECB5C6">
      <w:pPr>
        <w:pStyle w:val="90"/>
        <w:numPr>
          <w:ilvl w:val="0"/>
          <w:numId w:val="0"/>
        </w:numPr>
        <w:spacing w:line="490" w:lineRule="exact"/>
        <w:ind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rPr>
        <w:t>招标文件下载、响应文件制作、提交、远程不见面开标（电子投标文件的解密）环节，供应商须使用同一个CA数字证书或移动数字证书（证书须在有效期内并可正常使用）。</w:t>
      </w:r>
    </w:p>
    <w:p w14:paraId="2C18AD85">
      <w:pPr>
        <w:pStyle w:val="90"/>
        <w:numPr>
          <w:ilvl w:val="0"/>
          <w:numId w:val="0"/>
        </w:numPr>
        <w:spacing w:line="490" w:lineRule="exact"/>
        <w:ind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电子响应文件的制作</w:t>
      </w:r>
    </w:p>
    <w:p w14:paraId="6A2995CE">
      <w:pPr>
        <w:pStyle w:val="90"/>
        <w:numPr>
          <w:ilvl w:val="0"/>
          <w:numId w:val="0"/>
        </w:numPr>
        <w:spacing w:line="4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5.1</w:t>
      </w:r>
      <w:r>
        <w:rPr>
          <w:rFonts w:hint="eastAsia" w:ascii="宋体" w:hAnsi="宋体" w:eastAsia="宋体" w:cs="宋体"/>
          <w:color w:val="auto"/>
          <w:sz w:val="21"/>
          <w:szCs w:val="21"/>
          <w:highlight w:val="none"/>
        </w:rPr>
        <w:t xml:space="preserve"> 供应商登录“</w:t>
      </w:r>
      <w:r>
        <w:rPr>
          <w:rFonts w:hint="eastAsia" w:ascii="宋体" w:hAnsi="宋体" w:eastAsia="宋体" w:cs="宋体"/>
          <w:color w:val="auto"/>
          <w:sz w:val="21"/>
          <w:szCs w:val="21"/>
          <w:highlight w:val="none"/>
          <w:shd w:val="clear" w:color="auto" w:fill="FFFFFF"/>
        </w:rPr>
        <w:t>全国公共资源交易平台（河南省·许昌市）”</w:t>
      </w:r>
      <w:r>
        <w:rPr>
          <w:rFonts w:hint="eastAsia" w:ascii="宋体" w:hAnsi="宋体" w:eastAsia="宋体" w:cs="宋体"/>
          <w:color w:val="auto"/>
          <w:sz w:val="21"/>
          <w:szCs w:val="21"/>
          <w:highlight w:val="none"/>
        </w:rPr>
        <w:t>下载</w:t>
      </w:r>
      <w:r>
        <w:rPr>
          <w:rFonts w:hint="eastAsia" w:ascii="宋体" w:hAnsi="宋体" w:eastAsia="宋体" w:cs="宋体"/>
          <w:color w:val="auto"/>
          <w:sz w:val="21"/>
          <w:szCs w:val="21"/>
          <w:highlight w:val="none"/>
          <w:shd w:val="clear" w:color="auto" w:fill="FFFFFF"/>
        </w:rPr>
        <w:t>“新点投标文件制作软件（河南省版）”的最新版本制作电子响应文件</w:t>
      </w:r>
      <w:r>
        <w:rPr>
          <w:rFonts w:hint="eastAsia" w:ascii="宋体" w:hAnsi="宋体" w:eastAsia="宋体" w:cs="宋体"/>
          <w:color w:val="auto"/>
          <w:sz w:val="21"/>
          <w:szCs w:val="21"/>
          <w:highlight w:val="none"/>
        </w:rPr>
        <w:t>。</w:t>
      </w:r>
    </w:p>
    <w:p w14:paraId="1E5B4D48">
      <w:pPr>
        <w:pStyle w:val="90"/>
        <w:numPr>
          <w:ilvl w:val="0"/>
          <w:numId w:val="0"/>
        </w:numPr>
        <w:spacing w:line="4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5.2</w:t>
      </w:r>
      <w:r>
        <w:rPr>
          <w:rFonts w:hint="eastAsia" w:ascii="宋体" w:hAnsi="宋体" w:eastAsia="宋体" w:cs="宋体"/>
          <w:color w:val="auto"/>
          <w:sz w:val="21"/>
          <w:szCs w:val="21"/>
          <w:highlight w:val="none"/>
        </w:rPr>
        <w:t>供应商对同一项目多个标段进行响应的，应分别下载所投标段的招标文件，按标段制作响应文件。一个标段对应生成2份电子响应文件（后缀格式为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XCSTF和</w:t>
      </w:r>
      <w:r>
        <w:rPr>
          <w:rFonts w:hint="eastAsia" w:ascii="宋体" w:hAnsi="宋体" w:eastAsia="宋体" w:cs="宋体"/>
          <w:color w:val="auto"/>
          <w:sz w:val="21"/>
          <w:szCs w:val="21"/>
          <w:highlight w:val="none"/>
          <w:lang w:val="en-US" w:eastAsia="zh-CN"/>
        </w:rPr>
        <w:t>.n</w:t>
      </w:r>
      <w:r>
        <w:rPr>
          <w:rFonts w:hint="eastAsia" w:ascii="宋体" w:hAnsi="宋体" w:eastAsia="宋体" w:cs="宋体"/>
          <w:color w:val="auto"/>
          <w:sz w:val="21"/>
          <w:szCs w:val="21"/>
          <w:highlight w:val="none"/>
        </w:rPr>
        <w:t>XCSTF）</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其中后缀格式为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XCSTF”的加密电子响应文件用于上传至交易系统中投标。</w:t>
      </w:r>
    </w:p>
    <w:p w14:paraId="430E6921">
      <w:pPr>
        <w:pStyle w:val="90"/>
        <w:numPr>
          <w:ilvl w:val="0"/>
          <w:numId w:val="4"/>
        </w:numPr>
        <w:spacing w:line="4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加密电子响应文件的提交</w:t>
      </w:r>
    </w:p>
    <w:p w14:paraId="06532248">
      <w:pPr>
        <w:pStyle w:val="90"/>
        <w:numPr>
          <w:ilvl w:val="0"/>
          <w:numId w:val="0"/>
        </w:numPr>
        <w:spacing w:line="4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6.1</w:t>
      </w:r>
      <w:r>
        <w:rPr>
          <w:rFonts w:hint="eastAsia" w:ascii="宋体" w:hAnsi="宋体" w:eastAsia="宋体" w:cs="宋体"/>
          <w:color w:val="auto"/>
          <w:sz w:val="21"/>
          <w:szCs w:val="21"/>
          <w:highlight w:val="none"/>
        </w:rPr>
        <w:t>供应商对同一项目多个标段进行响应的，加密电子响应文件应按标段分别提交。</w:t>
      </w:r>
    </w:p>
    <w:p w14:paraId="6CBE0B00">
      <w:pPr>
        <w:pStyle w:val="90"/>
        <w:numPr>
          <w:ilvl w:val="0"/>
          <w:numId w:val="0"/>
        </w:numPr>
        <w:spacing w:line="4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6.2</w:t>
      </w:r>
      <w:r>
        <w:rPr>
          <w:rFonts w:hint="eastAsia" w:ascii="宋体" w:hAnsi="宋体" w:eastAsia="宋体" w:cs="宋体"/>
          <w:color w:val="auto"/>
          <w:sz w:val="21"/>
          <w:szCs w:val="21"/>
          <w:highlight w:val="none"/>
        </w:rPr>
        <w:t>加密电子响应文件成功上传至“</w:t>
      </w:r>
      <w:r>
        <w:rPr>
          <w:rFonts w:hint="eastAsia" w:ascii="宋体" w:hAnsi="宋体" w:eastAsia="宋体" w:cs="宋体"/>
          <w:color w:val="auto"/>
          <w:sz w:val="21"/>
          <w:szCs w:val="21"/>
          <w:highlight w:val="none"/>
          <w:shd w:val="clear" w:color="auto" w:fill="FFFFFF"/>
        </w:rPr>
        <w:t>全国公共资源交易平台（河南省·许昌市）”</w:t>
      </w:r>
      <w:r>
        <w:rPr>
          <w:rFonts w:hint="eastAsia" w:ascii="宋体" w:hAnsi="宋体" w:eastAsia="宋体" w:cs="宋体"/>
          <w:color w:val="auto"/>
          <w:sz w:val="21"/>
          <w:szCs w:val="21"/>
          <w:highlight w:val="none"/>
        </w:rPr>
        <w:t>后，应在上传页面进行模拟解密，以验证是否能够成功解密。</w:t>
      </w:r>
    </w:p>
    <w:p w14:paraId="5F3F4ED2">
      <w:pPr>
        <w:pStyle w:val="90"/>
        <w:numPr>
          <w:ilvl w:val="0"/>
          <w:numId w:val="4"/>
        </w:numPr>
        <w:spacing w:line="49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远程不见面开标（电子响应文件的解密）</w:t>
      </w:r>
    </w:p>
    <w:p w14:paraId="413CB2E7">
      <w:pPr>
        <w:pStyle w:val="90"/>
        <w:numPr>
          <w:ilvl w:val="0"/>
          <w:numId w:val="0"/>
        </w:numPr>
        <w:spacing w:line="4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7.1</w:t>
      </w:r>
      <w:r>
        <w:rPr>
          <w:rFonts w:hint="eastAsia" w:ascii="宋体" w:hAnsi="宋体" w:eastAsia="宋体" w:cs="宋体"/>
          <w:color w:val="auto"/>
          <w:sz w:val="21"/>
          <w:szCs w:val="21"/>
          <w:highlight w:val="none"/>
        </w:rPr>
        <w:t>本项目采用远程“不见面”开标方式，投标前请详细阅读“</w:t>
      </w:r>
      <w:r>
        <w:rPr>
          <w:rFonts w:hint="eastAsia" w:ascii="宋体" w:hAnsi="宋体" w:eastAsia="宋体" w:cs="宋体"/>
          <w:color w:val="auto"/>
          <w:sz w:val="21"/>
          <w:szCs w:val="21"/>
          <w:highlight w:val="none"/>
          <w:shd w:val="clear" w:color="auto" w:fill="FFFFFF"/>
        </w:rPr>
        <w:t>全国公共资源交易平台（河南省·许昌市）”的</w:t>
      </w:r>
      <w:r>
        <w:rPr>
          <w:rFonts w:hint="eastAsia" w:ascii="宋体" w:hAnsi="宋体" w:eastAsia="宋体" w:cs="宋体"/>
          <w:color w:val="auto"/>
          <w:sz w:val="21"/>
          <w:szCs w:val="21"/>
          <w:highlight w:val="none"/>
        </w:rPr>
        <w:t>“服务指南”栏目下《新交易平台使用手册》中的相关内容。</w:t>
      </w:r>
    </w:p>
    <w:p w14:paraId="2CF988B4">
      <w:pPr>
        <w:pStyle w:val="90"/>
        <w:numPr>
          <w:ilvl w:val="0"/>
          <w:numId w:val="0"/>
        </w:numPr>
        <w:spacing w:line="4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7.2</w:t>
      </w:r>
      <w:r>
        <w:rPr>
          <w:rFonts w:hint="eastAsia" w:ascii="宋体" w:hAnsi="宋体" w:eastAsia="宋体" w:cs="宋体"/>
          <w:color w:val="auto"/>
          <w:sz w:val="21"/>
          <w:szCs w:val="21"/>
          <w:highlight w:val="none"/>
        </w:rPr>
        <w:t xml:space="preserve"> 供应商应按新交易平台使用手册提前设置好浏览器，并于开标时间前登录本项目网上开标大厅，按照规定的开标时间准时参加网上开标。</w:t>
      </w:r>
    </w:p>
    <w:p w14:paraId="58A16485">
      <w:pPr>
        <w:pStyle w:val="90"/>
        <w:numPr>
          <w:ilvl w:val="0"/>
          <w:numId w:val="0"/>
        </w:numPr>
        <w:spacing w:line="4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7.3</w:t>
      </w:r>
      <w:r>
        <w:rPr>
          <w:rFonts w:hint="eastAsia" w:ascii="宋体" w:hAnsi="宋体" w:eastAsia="宋体" w:cs="宋体"/>
          <w:color w:val="auto"/>
          <w:sz w:val="21"/>
          <w:szCs w:val="21"/>
          <w:highlight w:val="none"/>
        </w:rPr>
        <w:t>根据开标大厅界面右侧“公告栏”中的系统提示，供应商应在“标书解密”环节完成解密操作。供应商未解密或因供应商原因解密失败的，其响应文件将被退回。</w:t>
      </w:r>
    </w:p>
    <w:p w14:paraId="16F3C681">
      <w:pPr>
        <w:pStyle w:val="90"/>
        <w:numPr>
          <w:ilvl w:val="0"/>
          <w:numId w:val="0"/>
        </w:numPr>
        <w:spacing w:line="4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7.4</w:t>
      </w:r>
      <w:r>
        <w:rPr>
          <w:rFonts w:hint="eastAsia" w:ascii="宋体" w:hAnsi="宋体" w:eastAsia="宋体" w:cs="宋体"/>
          <w:color w:val="auto"/>
          <w:sz w:val="21"/>
          <w:szCs w:val="21"/>
          <w:highlight w:val="none"/>
        </w:rPr>
        <w:t>在“唱标”环节，供应商应对唱标信息进行确认，供应商未进行唱标确认操作的，视同认可唱标结果。</w:t>
      </w:r>
    </w:p>
    <w:p w14:paraId="20176AAE">
      <w:pPr>
        <w:pStyle w:val="90"/>
        <w:numPr>
          <w:ilvl w:val="0"/>
          <w:numId w:val="0"/>
        </w:numPr>
        <w:spacing w:line="4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7.5</w:t>
      </w:r>
      <w:r>
        <w:rPr>
          <w:rFonts w:hint="eastAsia" w:ascii="宋体" w:hAnsi="宋体" w:eastAsia="宋体" w:cs="宋体"/>
          <w:color w:val="auto"/>
          <w:sz w:val="21"/>
          <w:szCs w:val="21"/>
          <w:highlight w:val="none"/>
        </w:rPr>
        <w:t>在“开标结束”环节，供应商应在《开标情况记录表》上进行电子签章。供应商未签章的，视同认可开标结果。</w:t>
      </w:r>
    </w:p>
    <w:p w14:paraId="4C1A26A0">
      <w:pPr>
        <w:pStyle w:val="90"/>
        <w:numPr>
          <w:ilvl w:val="0"/>
          <w:numId w:val="0"/>
        </w:numPr>
        <w:spacing w:line="490" w:lineRule="exact"/>
        <w:ind w:firstLine="420" w:firstLineChars="200"/>
        <w:rPr>
          <w:rStyle w:val="89"/>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7.6</w:t>
      </w:r>
      <w:r>
        <w:rPr>
          <w:rFonts w:hint="eastAsia" w:ascii="宋体" w:hAnsi="宋体" w:eastAsia="宋体" w:cs="宋体"/>
          <w:color w:val="auto"/>
          <w:sz w:val="21"/>
          <w:szCs w:val="21"/>
          <w:highlight w:val="none"/>
        </w:rPr>
        <w:t>供应商对开标过程和开标记录如有异议，可在本项目开标大厅界面右下方“发起异议”中提出异议</w:t>
      </w:r>
      <w:r>
        <w:rPr>
          <w:rStyle w:val="89"/>
          <w:rFonts w:hint="eastAsia" w:ascii="宋体" w:hAnsi="宋体" w:eastAsia="宋体" w:cs="宋体"/>
          <w:color w:val="auto"/>
          <w:sz w:val="21"/>
          <w:szCs w:val="21"/>
          <w:highlight w:val="none"/>
        </w:rPr>
        <w:t>。</w:t>
      </w:r>
    </w:p>
    <w:p w14:paraId="59DAF1C1">
      <w:pPr>
        <w:pStyle w:val="90"/>
        <w:numPr>
          <w:ilvl w:val="0"/>
          <w:numId w:val="0"/>
        </w:numPr>
        <w:spacing w:line="490" w:lineRule="exact"/>
        <w:ind w:firstLine="420" w:firstLineChars="200"/>
        <w:rPr>
          <w:rStyle w:val="89"/>
          <w:rFonts w:hint="eastAsia" w:ascii="宋体" w:hAnsi="宋体" w:eastAsia="宋体" w:cs="宋体"/>
          <w:b/>
          <w:color w:val="auto"/>
          <w:sz w:val="21"/>
          <w:szCs w:val="21"/>
          <w:highlight w:val="none"/>
        </w:rPr>
      </w:pPr>
      <w:r>
        <w:rPr>
          <w:rStyle w:val="89"/>
          <w:rFonts w:hint="eastAsia" w:ascii="宋体" w:hAnsi="宋体" w:eastAsia="宋体" w:cs="宋体"/>
          <w:color w:val="auto"/>
          <w:sz w:val="21"/>
          <w:szCs w:val="21"/>
          <w:highlight w:val="none"/>
          <w:lang w:val="en-US" w:eastAsia="zh-CN"/>
        </w:rPr>
        <w:t>8.</w:t>
      </w:r>
      <w:r>
        <w:rPr>
          <w:rStyle w:val="89"/>
          <w:rFonts w:hint="eastAsia" w:ascii="宋体" w:hAnsi="宋体" w:eastAsia="宋体" w:cs="宋体"/>
          <w:b/>
          <w:color w:val="auto"/>
          <w:sz w:val="21"/>
          <w:szCs w:val="21"/>
          <w:highlight w:val="none"/>
        </w:rPr>
        <w:t>评标依据</w:t>
      </w:r>
    </w:p>
    <w:p w14:paraId="6793A2C0">
      <w:pPr>
        <w:tabs>
          <w:tab w:val="left" w:pos="7095"/>
        </w:tabs>
        <w:snapToGrid w:val="0"/>
        <w:spacing w:line="360" w:lineRule="auto"/>
        <w:ind w:firstLine="420" w:firstLineChars="200"/>
        <w:rPr>
          <w:rStyle w:val="89"/>
          <w:rFonts w:hint="eastAsia" w:ascii="宋体" w:hAnsi="宋体" w:eastAsia="宋体" w:cs="宋体"/>
          <w:color w:val="auto"/>
          <w:sz w:val="21"/>
          <w:szCs w:val="21"/>
          <w:highlight w:val="none"/>
        </w:rPr>
      </w:pPr>
      <w:r>
        <w:rPr>
          <w:rStyle w:val="89"/>
          <w:rFonts w:hint="eastAsia" w:ascii="宋体" w:hAnsi="宋体" w:eastAsia="宋体" w:cs="宋体"/>
          <w:color w:val="auto"/>
          <w:sz w:val="21"/>
          <w:szCs w:val="21"/>
          <w:highlight w:val="none"/>
          <w:lang w:val="en-US" w:eastAsia="zh-CN"/>
        </w:rPr>
        <w:t>8</w:t>
      </w:r>
      <w:r>
        <w:rPr>
          <w:rStyle w:val="89"/>
          <w:rFonts w:hint="eastAsia" w:ascii="宋体" w:hAnsi="宋体" w:eastAsia="宋体" w:cs="宋体"/>
          <w:color w:val="auto"/>
          <w:sz w:val="21"/>
          <w:szCs w:val="21"/>
          <w:highlight w:val="none"/>
        </w:rPr>
        <w:t>.1全流程电子化交易（远程不见面开标）项目，评标委员会以成功上传、解密的电子投标文件为评标依据。</w:t>
      </w:r>
    </w:p>
    <w:p w14:paraId="3E761E42">
      <w:pPr>
        <w:tabs>
          <w:tab w:val="left" w:pos="7095"/>
        </w:tabs>
        <w:snapToGrid w:val="0"/>
        <w:spacing w:line="360" w:lineRule="auto"/>
        <w:ind w:firstLine="420" w:firstLineChars="200"/>
        <w:rPr>
          <w:rStyle w:val="89"/>
          <w:rFonts w:hint="eastAsia" w:ascii="宋体" w:hAnsi="宋体" w:eastAsia="宋体" w:cs="宋体"/>
          <w:color w:val="auto"/>
          <w:sz w:val="21"/>
          <w:szCs w:val="21"/>
          <w:highlight w:val="none"/>
        </w:rPr>
      </w:pPr>
      <w:r>
        <w:rPr>
          <w:rStyle w:val="89"/>
          <w:rFonts w:hint="eastAsia" w:ascii="宋体" w:hAnsi="宋体" w:eastAsia="宋体" w:cs="宋体"/>
          <w:color w:val="auto"/>
          <w:sz w:val="21"/>
          <w:szCs w:val="21"/>
          <w:highlight w:val="none"/>
          <w:lang w:val="en-US" w:eastAsia="zh-CN"/>
        </w:rPr>
        <w:t>8</w:t>
      </w:r>
      <w:r>
        <w:rPr>
          <w:rStyle w:val="89"/>
          <w:rFonts w:hint="eastAsia" w:ascii="宋体" w:hAnsi="宋体" w:eastAsia="宋体" w:cs="宋体"/>
          <w:color w:val="auto"/>
          <w:sz w:val="21"/>
          <w:szCs w:val="21"/>
          <w:highlight w:val="none"/>
        </w:rPr>
        <w:t>.2 评标期间评标委员会如要求投标人作出澄清、说明或者补正等，投标人应在评标委员会要求的评标期间合理的时间内通过电子邮件形式提供。</w:t>
      </w:r>
    </w:p>
    <w:p w14:paraId="3E022602">
      <w:pPr>
        <w:snapToGrid w:val="0"/>
        <w:spacing w:line="360" w:lineRule="auto"/>
        <w:ind w:firstLine="420" w:firstLineChars="200"/>
        <w:rPr>
          <w:rStyle w:val="89"/>
          <w:rFonts w:hint="eastAsia" w:ascii="宋体" w:hAnsi="宋体" w:eastAsia="宋体" w:cs="宋体"/>
          <w:color w:val="auto"/>
          <w:sz w:val="21"/>
          <w:szCs w:val="21"/>
          <w:highlight w:val="none"/>
        </w:rPr>
      </w:pPr>
      <w:r>
        <w:rPr>
          <w:rStyle w:val="89"/>
          <w:rFonts w:hint="eastAsia" w:ascii="宋体" w:hAnsi="宋体" w:eastAsia="宋体" w:cs="宋体"/>
          <w:color w:val="auto"/>
          <w:sz w:val="21"/>
          <w:szCs w:val="21"/>
          <w:highlight w:val="none"/>
        </w:rPr>
        <w:t>投标人通过电子邮件提供的书面说明或相关证明材料应加盖公章，或者由法定代表人或其授权的代表签字。</w:t>
      </w:r>
    </w:p>
    <w:p w14:paraId="0E0E481F">
      <w:pPr>
        <w:numPr>
          <w:ilvl w:val="0"/>
          <w:numId w:val="0"/>
        </w:numPr>
        <w:tabs>
          <w:tab w:val="left" w:pos="7095"/>
        </w:tabs>
        <w:spacing w:line="360" w:lineRule="auto"/>
        <w:ind w:left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相关事项</w:t>
      </w:r>
    </w:p>
    <w:p w14:paraId="657E5F01">
      <w:pPr>
        <w:numPr>
          <w:ilvl w:val="0"/>
          <w:numId w:val="0"/>
        </w:numPr>
        <w:tabs>
          <w:tab w:val="left" w:pos="7095"/>
        </w:tabs>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9.1</w:t>
      </w:r>
      <w:r>
        <w:rPr>
          <w:rFonts w:hint="eastAsia" w:ascii="宋体" w:hAnsi="宋体" w:eastAsia="宋体" w:cs="宋体"/>
          <w:color w:val="auto"/>
          <w:sz w:val="21"/>
          <w:szCs w:val="21"/>
          <w:highlight w:val="none"/>
        </w:rPr>
        <w:t>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35C6A9A3">
      <w:pPr>
        <w:numPr>
          <w:ilvl w:val="0"/>
          <w:numId w:val="0"/>
        </w:numPr>
        <w:tabs>
          <w:tab w:val="left" w:pos="7095"/>
        </w:tabs>
        <w:spacing w:line="360" w:lineRule="auto"/>
        <w:ind w:firstLine="420" w:firstLineChars="200"/>
        <w:contextualSpacing/>
        <w:rPr>
          <w:rStyle w:val="89"/>
          <w:rFonts w:hint="eastAsia" w:ascii="宋体" w:hAnsi="宋体" w:eastAsia="宋体" w:cs="宋体"/>
          <w:color w:val="auto"/>
          <w:sz w:val="21"/>
          <w:szCs w:val="21"/>
          <w:highlight w:val="none"/>
          <w:lang w:val="en-US" w:eastAsia="zh-CN"/>
        </w:rPr>
        <w:sectPr>
          <w:footerReference r:id="rId3" w:type="default"/>
          <w:pgSz w:w="11907" w:h="16839"/>
          <w:pgMar w:top="1431" w:right="1094" w:bottom="1155" w:left="1476" w:header="0" w:footer="1038" w:gutter="0"/>
          <w:pgNumType w:start="0"/>
          <w:cols w:space="720" w:num="1"/>
          <w:docGrid w:linePitch="1" w:charSpace="0"/>
        </w:sectPr>
      </w:pPr>
      <w:r>
        <w:rPr>
          <w:rFonts w:hint="eastAsia" w:ascii="宋体" w:hAnsi="宋体" w:eastAsia="宋体" w:cs="宋体"/>
          <w:color w:val="auto"/>
          <w:sz w:val="21"/>
          <w:szCs w:val="21"/>
          <w:highlight w:val="none"/>
          <w:lang w:val="en-US" w:eastAsia="zh-CN"/>
        </w:rPr>
        <w:t>9.2</w:t>
      </w:r>
      <w:r>
        <w:rPr>
          <w:rFonts w:hint="eastAsia" w:ascii="宋体" w:hAnsi="宋体" w:eastAsia="宋体" w:cs="宋体"/>
          <w:color w:val="auto"/>
          <w:sz w:val="21"/>
          <w:szCs w:val="21"/>
          <w:highlight w:val="none"/>
        </w:rPr>
        <w:t>“全国公共资源交易平台（河南省·许昌市）”采购公告栏提供的招标文件仅供浏览。供应商下载招标文件应使用 CA 数字证书或移动数字证书从“全国公共资源交易平台（河南省·许昌市）”的“投标人”登录入口获取本项目招标文件</w:t>
      </w:r>
    </w:p>
    <w:p w14:paraId="1103D4E0">
      <w:pPr>
        <w:pStyle w:val="39"/>
        <w:rPr>
          <w:rFonts w:hint="eastAsia" w:ascii="宋体" w:hAnsi="宋体" w:eastAsia="宋体" w:cs="宋体"/>
          <w:color w:val="auto"/>
          <w:highlight w:val="none"/>
        </w:rPr>
      </w:pPr>
    </w:p>
    <w:p w14:paraId="2F8CAA32">
      <w:pPr>
        <w:numPr>
          <w:ilvl w:val="0"/>
          <w:numId w:val="5"/>
        </w:numPr>
        <w:tabs>
          <w:tab w:val="left" w:pos="7095"/>
        </w:tabs>
        <w:spacing w:line="360" w:lineRule="auto"/>
        <w:ind w:firstLine="3213" w:firstLineChars="1000"/>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 xml:space="preserve"> 采购需求</w:t>
      </w:r>
    </w:p>
    <w:p w14:paraId="4F3132F7">
      <w:pPr>
        <w:pStyle w:val="27"/>
        <w:numPr>
          <w:ilvl w:val="0"/>
          <w:numId w:val="6"/>
        </w:numPr>
        <w:ind w:firstLine="0" w:firstLineChars="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本项目需实现的功能或者目标</w:t>
      </w:r>
    </w:p>
    <w:p w14:paraId="2E42B046">
      <w:pPr>
        <w:numPr>
          <w:ilvl w:val="0"/>
          <w:numId w:val="0"/>
        </w:numPr>
        <w:spacing w:line="360" w:lineRule="auto"/>
        <w:ind w:leftChars="0"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项目拟更新新能源（18吨多功能洗扫车、8吨洒水车、18吨抑尘车、小型路面养护车、3吨铲车、密闭转运车、小型可卸式清运车） 环卫作业车辆24辆，压缩转运设备10套，3立方可卸式垃圾箱31个。项目建成后，垃圾转运能力200 吨/日。实现垃圾清运，道路清扫保洁等功能。</w:t>
      </w:r>
    </w:p>
    <w:p w14:paraId="1ECEB6EC">
      <w:pPr>
        <w:numPr>
          <w:ilvl w:val="0"/>
          <w:numId w:val="6"/>
        </w:numPr>
        <w:spacing w:line="360" w:lineRule="auto"/>
        <w:ind w:left="0" w:leftChars="0" w:firstLine="0" w:firstLineChars="0"/>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项目需求清单</w:t>
      </w:r>
    </w:p>
    <w:tbl>
      <w:tblPr>
        <w:tblStyle w:val="30"/>
        <w:tblW w:w="8596"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0"/>
        <w:gridCol w:w="3495"/>
        <w:gridCol w:w="1050"/>
        <w:gridCol w:w="1201"/>
      </w:tblGrid>
      <w:tr w14:paraId="1D19C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850" w:type="dxa"/>
            <w:vAlign w:val="center"/>
          </w:tcPr>
          <w:p w14:paraId="7E3535F5">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eastAsia="zh-CN" w:bidi="ar"/>
              </w:rPr>
              <w:t>设施</w:t>
            </w:r>
            <w:r>
              <w:rPr>
                <w:rFonts w:hint="eastAsia" w:asciiTheme="minorEastAsia" w:hAnsiTheme="minorEastAsia" w:eastAsiaTheme="minorEastAsia" w:cstheme="minorEastAsia"/>
                <w:color w:val="auto"/>
                <w:kern w:val="0"/>
                <w:sz w:val="21"/>
                <w:szCs w:val="21"/>
                <w:highlight w:val="none"/>
                <w:lang w:bidi="ar"/>
              </w:rPr>
              <w:t>名称</w:t>
            </w:r>
          </w:p>
        </w:tc>
        <w:tc>
          <w:tcPr>
            <w:tcW w:w="3495" w:type="dxa"/>
            <w:vAlign w:val="center"/>
          </w:tcPr>
          <w:p w14:paraId="3D1A736E">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eastAsia="zh-CN" w:bidi="ar"/>
              </w:rPr>
              <w:t>设施</w:t>
            </w:r>
            <w:r>
              <w:rPr>
                <w:rFonts w:hint="eastAsia" w:asciiTheme="minorEastAsia" w:hAnsiTheme="minorEastAsia" w:eastAsiaTheme="minorEastAsia" w:cstheme="minorEastAsia"/>
                <w:color w:val="auto"/>
                <w:kern w:val="0"/>
                <w:sz w:val="21"/>
                <w:szCs w:val="21"/>
                <w:highlight w:val="none"/>
                <w:lang w:bidi="ar"/>
              </w:rPr>
              <w:t>用途</w:t>
            </w:r>
          </w:p>
        </w:tc>
        <w:tc>
          <w:tcPr>
            <w:tcW w:w="1050" w:type="dxa"/>
            <w:vAlign w:val="center"/>
          </w:tcPr>
          <w:p w14:paraId="005E74B1">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bidi="ar"/>
              </w:rPr>
              <w:t>数量</w:t>
            </w:r>
          </w:p>
        </w:tc>
        <w:tc>
          <w:tcPr>
            <w:tcW w:w="1201" w:type="dxa"/>
            <w:vAlign w:val="center"/>
          </w:tcPr>
          <w:p w14:paraId="76BEDA6C">
            <w:pPr>
              <w:widowControl/>
              <w:jc w:val="center"/>
              <w:textAlignment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备注</w:t>
            </w:r>
          </w:p>
        </w:tc>
      </w:tr>
      <w:tr w14:paraId="4944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850" w:type="dxa"/>
            <w:vAlign w:val="center"/>
          </w:tcPr>
          <w:p w14:paraId="08C4A514">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新能源18吨多功能洗扫车</w:t>
            </w:r>
          </w:p>
        </w:tc>
        <w:tc>
          <w:tcPr>
            <w:tcW w:w="3495" w:type="dxa"/>
            <w:vAlign w:val="center"/>
          </w:tcPr>
          <w:p w14:paraId="671FC2F2">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用于主次干道机械化清扫保洁作业</w:t>
            </w:r>
          </w:p>
        </w:tc>
        <w:tc>
          <w:tcPr>
            <w:tcW w:w="1050" w:type="dxa"/>
            <w:vAlign w:val="center"/>
          </w:tcPr>
          <w:p w14:paraId="20910790">
            <w:pPr>
              <w:widowControl/>
              <w:jc w:val="center"/>
              <w:textAlignment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4</w:t>
            </w:r>
          </w:p>
        </w:tc>
        <w:tc>
          <w:tcPr>
            <w:tcW w:w="1201" w:type="dxa"/>
            <w:vAlign w:val="center"/>
          </w:tcPr>
          <w:p w14:paraId="58725693">
            <w:pPr>
              <w:widowControl/>
              <w:jc w:val="center"/>
              <w:textAlignment w:val="center"/>
              <w:rPr>
                <w:rFonts w:hint="eastAsia" w:asciiTheme="minorEastAsia" w:hAnsiTheme="minorEastAsia" w:eastAsiaTheme="minorEastAsia" w:cstheme="minorEastAsia"/>
                <w:color w:val="auto"/>
                <w:kern w:val="0"/>
                <w:sz w:val="21"/>
                <w:szCs w:val="21"/>
                <w:highlight w:val="none"/>
                <w:lang w:val="en-US"/>
              </w:rPr>
            </w:pPr>
          </w:p>
        </w:tc>
      </w:tr>
      <w:tr w14:paraId="32BC4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850" w:type="dxa"/>
            <w:vAlign w:val="center"/>
          </w:tcPr>
          <w:p w14:paraId="492FACC2">
            <w:pPr>
              <w:widowControl/>
              <w:jc w:val="center"/>
              <w:textAlignment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eastAsia="zh-CN"/>
              </w:rPr>
              <w:t>新能源</w:t>
            </w:r>
            <w:r>
              <w:rPr>
                <w:rFonts w:hint="eastAsia" w:asciiTheme="minorEastAsia" w:hAnsiTheme="minorEastAsia" w:cstheme="minorEastAsia"/>
                <w:color w:val="auto"/>
                <w:kern w:val="0"/>
                <w:sz w:val="21"/>
                <w:szCs w:val="21"/>
                <w:highlight w:val="none"/>
                <w:lang w:val="en-US" w:eastAsia="zh-CN"/>
              </w:rPr>
              <w:t>8</w:t>
            </w:r>
            <w:r>
              <w:rPr>
                <w:rFonts w:hint="eastAsia" w:asciiTheme="minorEastAsia" w:hAnsiTheme="minorEastAsia" w:eastAsiaTheme="minorEastAsia" w:cstheme="minorEastAsia"/>
                <w:color w:val="auto"/>
                <w:kern w:val="0"/>
                <w:sz w:val="21"/>
                <w:szCs w:val="21"/>
                <w:highlight w:val="none"/>
                <w:lang w:val="en-US" w:eastAsia="zh-CN"/>
              </w:rPr>
              <w:t>吨洒水车</w:t>
            </w:r>
          </w:p>
        </w:tc>
        <w:tc>
          <w:tcPr>
            <w:tcW w:w="3495" w:type="dxa"/>
            <w:vAlign w:val="center"/>
          </w:tcPr>
          <w:p w14:paraId="054341B8">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用于道路洒水降尘和道路扬尘治理</w:t>
            </w:r>
          </w:p>
        </w:tc>
        <w:tc>
          <w:tcPr>
            <w:tcW w:w="1050" w:type="dxa"/>
            <w:vAlign w:val="center"/>
          </w:tcPr>
          <w:p w14:paraId="724E9127">
            <w:pPr>
              <w:widowControl/>
              <w:jc w:val="center"/>
              <w:textAlignment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w:t>
            </w:r>
          </w:p>
        </w:tc>
        <w:tc>
          <w:tcPr>
            <w:tcW w:w="1201" w:type="dxa"/>
            <w:vAlign w:val="center"/>
          </w:tcPr>
          <w:p w14:paraId="3027FEAD">
            <w:pPr>
              <w:widowControl/>
              <w:jc w:val="center"/>
              <w:textAlignment w:val="center"/>
              <w:rPr>
                <w:rFonts w:hint="eastAsia" w:asciiTheme="minorEastAsia" w:hAnsiTheme="minorEastAsia" w:eastAsiaTheme="minorEastAsia" w:cstheme="minorEastAsia"/>
                <w:color w:val="auto"/>
                <w:kern w:val="0"/>
                <w:sz w:val="21"/>
                <w:szCs w:val="21"/>
                <w:highlight w:val="none"/>
                <w:lang w:val="en-US" w:eastAsia="zh-CN"/>
              </w:rPr>
            </w:pPr>
          </w:p>
        </w:tc>
      </w:tr>
      <w:tr w14:paraId="7C645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850" w:type="dxa"/>
            <w:vAlign w:val="center"/>
          </w:tcPr>
          <w:p w14:paraId="555D9522">
            <w:pPr>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eastAsia="zh-CN"/>
              </w:rPr>
              <w:t>新能源</w:t>
            </w:r>
            <w:r>
              <w:rPr>
                <w:rFonts w:hint="eastAsia" w:asciiTheme="minorEastAsia" w:hAnsiTheme="minorEastAsia" w:eastAsiaTheme="minorEastAsia" w:cstheme="minorEastAsia"/>
                <w:color w:val="auto"/>
                <w:kern w:val="0"/>
                <w:sz w:val="21"/>
                <w:szCs w:val="21"/>
                <w:highlight w:val="none"/>
                <w:lang w:val="en-US" w:eastAsia="zh-CN"/>
              </w:rPr>
              <w:t>18吨抑尘车</w:t>
            </w:r>
          </w:p>
        </w:tc>
        <w:tc>
          <w:tcPr>
            <w:tcW w:w="3495" w:type="dxa"/>
            <w:vAlign w:val="center"/>
          </w:tcPr>
          <w:p w14:paraId="09B58BC3">
            <w:pPr>
              <w:jc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用于道路扬尘防治提升空气质量</w:t>
            </w:r>
          </w:p>
        </w:tc>
        <w:tc>
          <w:tcPr>
            <w:tcW w:w="1050" w:type="dxa"/>
            <w:vAlign w:val="center"/>
          </w:tcPr>
          <w:p w14:paraId="53C5C3C5">
            <w:pPr>
              <w:widowControl/>
              <w:jc w:val="center"/>
              <w:textAlignment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w:t>
            </w:r>
          </w:p>
        </w:tc>
        <w:tc>
          <w:tcPr>
            <w:tcW w:w="1201" w:type="dxa"/>
            <w:vAlign w:val="center"/>
          </w:tcPr>
          <w:p w14:paraId="1F1D52EA">
            <w:pPr>
              <w:widowControl/>
              <w:jc w:val="center"/>
              <w:textAlignment w:val="center"/>
              <w:rPr>
                <w:rFonts w:hint="eastAsia" w:asciiTheme="minorEastAsia" w:hAnsiTheme="minorEastAsia" w:eastAsiaTheme="minorEastAsia" w:cstheme="minorEastAsia"/>
                <w:color w:val="auto"/>
                <w:kern w:val="0"/>
                <w:sz w:val="21"/>
                <w:szCs w:val="21"/>
                <w:highlight w:val="none"/>
                <w:lang w:val="en-US" w:eastAsia="zh-CN"/>
              </w:rPr>
            </w:pPr>
          </w:p>
        </w:tc>
      </w:tr>
      <w:tr w14:paraId="1B772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2850" w:type="dxa"/>
            <w:vAlign w:val="center"/>
          </w:tcPr>
          <w:p w14:paraId="6158B5B2">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新能源小型路面养护车</w:t>
            </w:r>
          </w:p>
        </w:tc>
        <w:tc>
          <w:tcPr>
            <w:tcW w:w="3495" w:type="dxa"/>
            <w:vAlign w:val="center"/>
          </w:tcPr>
          <w:p w14:paraId="5E07FD88">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用于非机动车道、人行道路面及城市道路桥梁、转盘等设施的冲刷</w:t>
            </w:r>
          </w:p>
        </w:tc>
        <w:tc>
          <w:tcPr>
            <w:tcW w:w="1050" w:type="dxa"/>
            <w:vAlign w:val="center"/>
          </w:tcPr>
          <w:p w14:paraId="04809667">
            <w:pPr>
              <w:widowControl/>
              <w:jc w:val="center"/>
              <w:textAlignment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w:t>
            </w:r>
          </w:p>
        </w:tc>
        <w:tc>
          <w:tcPr>
            <w:tcW w:w="1201" w:type="dxa"/>
            <w:vAlign w:val="center"/>
          </w:tcPr>
          <w:p w14:paraId="3EEA3A61">
            <w:pPr>
              <w:widowControl/>
              <w:jc w:val="center"/>
              <w:textAlignment w:val="center"/>
              <w:rPr>
                <w:rFonts w:hint="eastAsia" w:asciiTheme="minorEastAsia" w:hAnsiTheme="minorEastAsia" w:eastAsiaTheme="minorEastAsia" w:cstheme="minorEastAsia"/>
                <w:color w:val="auto"/>
                <w:kern w:val="0"/>
                <w:sz w:val="21"/>
                <w:szCs w:val="21"/>
                <w:highlight w:val="none"/>
                <w:lang w:val="en-US" w:eastAsia="zh-CN"/>
              </w:rPr>
            </w:pPr>
          </w:p>
        </w:tc>
      </w:tr>
      <w:tr w14:paraId="5AFD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2850" w:type="dxa"/>
            <w:vAlign w:val="center"/>
          </w:tcPr>
          <w:p w14:paraId="4A4E18CC">
            <w:pPr>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eastAsia="zh-CN"/>
              </w:rPr>
              <w:t>新能源</w:t>
            </w:r>
            <w:r>
              <w:rPr>
                <w:rFonts w:hint="eastAsia" w:asciiTheme="minorEastAsia" w:hAnsiTheme="minorEastAsia" w:eastAsiaTheme="minorEastAsia" w:cstheme="minorEastAsia"/>
                <w:color w:val="auto"/>
                <w:kern w:val="0"/>
                <w:sz w:val="21"/>
                <w:szCs w:val="21"/>
                <w:highlight w:val="none"/>
                <w:lang w:val="en-US" w:eastAsia="zh-CN"/>
              </w:rPr>
              <w:t>3吨铲车</w:t>
            </w:r>
          </w:p>
        </w:tc>
        <w:tc>
          <w:tcPr>
            <w:tcW w:w="3495" w:type="dxa"/>
            <w:vAlign w:val="center"/>
          </w:tcPr>
          <w:p w14:paraId="40578AFF">
            <w:pPr>
              <w:jc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用于装载生活垃圾、积雪等</w:t>
            </w:r>
          </w:p>
        </w:tc>
        <w:tc>
          <w:tcPr>
            <w:tcW w:w="1050" w:type="dxa"/>
            <w:vAlign w:val="center"/>
          </w:tcPr>
          <w:p w14:paraId="180087A4">
            <w:pPr>
              <w:widowControl/>
              <w:jc w:val="center"/>
              <w:textAlignment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w:t>
            </w:r>
          </w:p>
        </w:tc>
        <w:tc>
          <w:tcPr>
            <w:tcW w:w="1201" w:type="dxa"/>
            <w:vAlign w:val="center"/>
          </w:tcPr>
          <w:p w14:paraId="6B2495D4">
            <w:pPr>
              <w:widowControl/>
              <w:jc w:val="center"/>
              <w:textAlignment w:val="center"/>
              <w:rPr>
                <w:rFonts w:hint="eastAsia" w:asciiTheme="minorEastAsia" w:hAnsiTheme="minorEastAsia" w:eastAsiaTheme="minorEastAsia" w:cstheme="minorEastAsia"/>
                <w:color w:val="auto"/>
                <w:kern w:val="0"/>
                <w:sz w:val="21"/>
                <w:szCs w:val="21"/>
                <w:highlight w:val="none"/>
                <w:lang w:val="en-US" w:eastAsia="zh-CN"/>
              </w:rPr>
            </w:pPr>
          </w:p>
        </w:tc>
      </w:tr>
      <w:tr w14:paraId="6761B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850" w:type="dxa"/>
            <w:vAlign w:val="center"/>
          </w:tcPr>
          <w:p w14:paraId="09672631">
            <w:pPr>
              <w:widowControl/>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新能源密闭转运车</w:t>
            </w:r>
          </w:p>
        </w:tc>
        <w:tc>
          <w:tcPr>
            <w:tcW w:w="3495" w:type="dxa"/>
            <w:vAlign w:val="center"/>
          </w:tcPr>
          <w:p w14:paraId="1AEE3621">
            <w:pPr>
              <w:jc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用于转运中转站生活垃圾</w:t>
            </w:r>
          </w:p>
        </w:tc>
        <w:tc>
          <w:tcPr>
            <w:tcW w:w="1050" w:type="dxa"/>
            <w:vAlign w:val="center"/>
          </w:tcPr>
          <w:p w14:paraId="38C55E8E">
            <w:pPr>
              <w:widowControl/>
              <w:jc w:val="center"/>
              <w:textAlignment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10</w:t>
            </w:r>
          </w:p>
        </w:tc>
        <w:tc>
          <w:tcPr>
            <w:tcW w:w="1201" w:type="dxa"/>
            <w:vAlign w:val="center"/>
          </w:tcPr>
          <w:p w14:paraId="0B240F25">
            <w:pPr>
              <w:widowControl/>
              <w:jc w:val="center"/>
              <w:textAlignment w:val="center"/>
              <w:rPr>
                <w:rFonts w:hint="eastAsia" w:asciiTheme="minorEastAsia" w:hAnsiTheme="minorEastAsia" w:eastAsiaTheme="minorEastAsia" w:cstheme="minorEastAsia"/>
                <w:color w:val="auto"/>
                <w:kern w:val="0"/>
                <w:sz w:val="21"/>
                <w:szCs w:val="21"/>
                <w:highlight w:val="none"/>
                <w:lang w:val="en-US" w:eastAsia="zh-CN"/>
              </w:rPr>
            </w:pPr>
          </w:p>
        </w:tc>
      </w:tr>
      <w:tr w14:paraId="51BB6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850" w:type="dxa"/>
            <w:vAlign w:val="center"/>
          </w:tcPr>
          <w:p w14:paraId="26543A85">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新能源小型可卸式清运车</w:t>
            </w:r>
          </w:p>
        </w:tc>
        <w:tc>
          <w:tcPr>
            <w:tcW w:w="3495" w:type="dxa"/>
            <w:vAlign w:val="center"/>
          </w:tcPr>
          <w:p w14:paraId="297A3592">
            <w:pPr>
              <w:widowControl/>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用于临时收集点生活垃圾清运</w:t>
            </w:r>
          </w:p>
        </w:tc>
        <w:tc>
          <w:tcPr>
            <w:tcW w:w="1050" w:type="dxa"/>
            <w:vAlign w:val="center"/>
          </w:tcPr>
          <w:p w14:paraId="39B28481">
            <w:pPr>
              <w:widowControl/>
              <w:jc w:val="center"/>
              <w:textAlignment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4</w:t>
            </w:r>
          </w:p>
        </w:tc>
        <w:tc>
          <w:tcPr>
            <w:tcW w:w="1201" w:type="dxa"/>
            <w:vAlign w:val="center"/>
          </w:tcPr>
          <w:p w14:paraId="139CD7A8">
            <w:pPr>
              <w:widowControl/>
              <w:jc w:val="center"/>
              <w:textAlignment w:val="center"/>
              <w:rPr>
                <w:rFonts w:hint="eastAsia" w:asciiTheme="minorEastAsia" w:hAnsiTheme="minorEastAsia" w:eastAsiaTheme="minorEastAsia" w:cstheme="minorEastAsia"/>
                <w:color w:val="auto"/>
                <w:kern w:val="0"/>
                <w:sz w:val="21"/>
                <w:szCs w:val="21"/>
                <w:highlight w:val="none"/>
                <w:lang w:val="en-US" w:eastAsia="zh-CN"/>
              </w:rPr>
            </w:pPr>
          </w:p>
        </w:tc>
      </w:tr>
      <w:tr w14:paraId="1AB8C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850" w:type="dxa"/>
            <w:vAlign w:val="center"/>
          </w:tcPr>
          <w:p w14:paraId="4544ADDC">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压缩转运设备</w:t>
            </w:r>
          </w:p>
        </w:tc>
        <w:tc>
          <w:tcPr>
            <w:tcW w:w="3495" w:type="dxa"/>
            <w:vAlign w:val="center"/>
          </w:tcPr>
          <w:p w14:paraId="1B2553D2">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用于压缩生活垃圾，提高转运效率</w:t>
            </w:r>
          </w:p>
        </w:tc>
        <w:tc>
          <w:tcPr>
            <w:tcW w:w="1050" w:type="dxa"/>
            <w:vAlign w:val="center"/>
          </w:tcPr>
          <w:p w14:paraId="33A4D5C3">
            <w:pPr>
              <w:widowControl/>
              <w:jc w:val="center"/>
              <w:textAlignment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10</w:t>
            </w:r>
          </w:p>
        </w:tc>
        <w:tc>
          <w:tcPr>
            <w:tcW w:w="1201" w:type="dxa"/>
            <w:vAlign w:val="center"/>
          </w:tcPr>
          <w:p w14:paraId="7FAC2880">
            <w:pPr>
              <w:widowControl/>
              <w:jc w:val="center"/>
              <w:textAlignment w:val="center"/>
              <w:rPr>
                <w:rFonts w:hint="eastAsia" w:asciiTheme="minorEastAsia" w:hAnsiTheme="minorEastAsia" w:eastAsiaTheme="minorEastAsia" w:cstheme="minorEastAsia"/>
                <w:color w:val="auto"/>
                <w:kern w:val="0"/>
                <w:sz w:val="21"/>
                <w:szCs w:val="21"/>
                <w:highlight w:val="none"/>
                <w:lang w:val="en-US" w:eastAsia="zh-CN"/>
              </w:rPr>
            </w:pPr>
          </w:p>
        </w:tc>
      </w:tr>
      <w:tr w14:paraId="7E02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850" w:type="dxa"/>
            <w:vAlign w:val="center"/>
          </w:tcPr>
          <w:p w14:paraId="18C70895">
            <w:pPr>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3立方可卸式垃圾箱</w:t>
            </w:r>
          </w:p>
        </w:tc>
        <w:tc>
          <w:tcPr>
            <w:tcW w:w="3495" w:type="dxa"/>
            <w:vAlign w:val="center"/>
          </w:tcPr>
          <w:p w14:paraId="0449CA14">
            <w:pPr>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用于收集生活垃圾</w:t>
            </w:r>
          </w:p>
        </w:tc>
        <w:tc>
          <w:tcPr>
            <w:tcW w:w="1050" w:type="dxa"/>
            <w:vAlign w:val="center"/>
          </w:tcPr>
          <w:p w14:paraId="6D2A7B6D">
            <w:pPr>
              <w:widowControl/>
              <w:jc w:val="center"/>
              <w:textAlignment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31</w:t>
            </w:r>
          </w:p>
        </w:tc>
        <w:tc>
          <w:tcPr>
            <w:tcW w:w="1201" w:type="dxa"/>
            <w:vAlign w:val="center"/>
          </w:tcPr>
          <w:p w14:paraId="5FC8C210">
            <w:pPr>
              <w:widowControl/>
              <w:jc w:val="center"/>
              <w:textAlignment w:val="center"/>
              <w:rPr>
                <w:rFonts w:hint="eastAsia" w:asciiTheme="minorEastAsia" w:hAnsiTheme="minorEastAsia" w:eastAsiaTheme="minorEastAsia" w:cstheme="minorEastAsia"/>
                <w:color w:val="auto"/>
                <w:kern w:val="0"/>
                <w:sz w:val="21"/>
                <w:szCs w:val="21"/>
                <w:highlight w:val="none"/>
                <w:lang w:val="en-US" w:eastAsia="zh-CN"/>
              </w:rPr>
            </w:pPr>
          </w:p>
        </w:tc>
      </w:tr>
    </w:tbl>
    <w:p w14:paraId="10FC2BBD">
      <w:pPr>
        <w:numPr>
          <w:ilvl w:val="0"/>
          <w:numId w:val="0"/>
        </w:numPr>
        <w:spacing w:line="360" w:lineRule="auto"/>
        <w:ind w:firstLine="420" w:firstLineChars="200"/>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kern w:val="2"/>
          <w:sz w:val="21"/>
          <w:szCs w:val="21"/>
          <w:highlight w:val="none"/>
          <w:lang w:val="en-US" w:eastAsia="zh-CN" w:bidi="ar-SA"/>
        </w:rPr>
        <w:t>详见参数附件</w:t>
      </w:r>
    </w:p>
    <w:p w14:paraId="7232EB45">
      <w:pPr>
        <w:pStyle w:val="11"/>
        <w:ind w:firstLine="420" w:firstLineChars="200"/>
        <w:rPr>
          <w:rFonts w:hint="eastAsia" w:ascii="宋体" w:hAnsi="宋体" w:eastAsia="宋体" w:cs="宋体"/>
          <w:b/>
          <w:color w:val="auto"/>
          <w:szCs w:val="21"/>
          <w:highlight w:val="none"/>
        </w:rPr>
      </w:pPr>
      <w:r>
        <w:rPr>
          <w:rFonts w:hint="eastAsia" w:ascii="宋体" w:hAnsi="宋体" w:eastAsia="宋体" w:cs="宋体"/>
          <w:b w:val="0"/>
          <w:bCs/>
          <w:color w:val="auto"/>
          <w:szCs w:val="21"/>
          <w:highlight w:val="none"/>
          <w:lang w:val="en-US" w:eastAsia="zh-CN"/>
        </w:rPr>
        <w:t>注：参数不允许负偏离，否则为无效投标。</w:t>
      </w:r>
    </w:p>
    <w:p w14:paraId="3AE0B508">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三、其他相关要求：</w:t>
      </w:r>
    </w:p>
    <w:p w14:paraId="35CD8022">
      <w:pPr>
        <w:keepNext w:val="0"/>
        <w:keepLines w:val="0"/>
        <w:pageBreakBefore w:val="0"/>
        <w:widowControl w:val="0"/>
        <w:kinsoku/>
        <w:wordWrap w:val="0"/>
        <w:overflowPunct/>
        <w:topLinePunct w:val="0"/>
        <w:autoSpaceDE/>
        <w:autoSpaceDN/>
        <w:bidi w:val="0"/>
        <w:spacing w:line="356" w:lineRule="auto"/>
        <w:ind w:firstLine="420" w:firstLineChars="200"/>
        <w:contextualSpacing/>
        <w:textAlignment w:val="auto"/>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zh-CN"/>
        </w:rPr>
        <w:t>投标人应就本项目完整投标，报价含税费等综合费用，</w:t>
      </w:r>
      <w:r>
        <w:rPr>
          <w:rFonts w:hint="eastAsia" w:ascii="宋体" w:hAnsi="宋体" w:eastAsia="宋体" w:cs="宋体"/>
          <w:b/>
          <w:bCs/>
          <w:color w:val="auto"/>
          <w:szCs w:val="21"/>
          <w:highlight w:val="none"/>
          <w:lang w:val="zh-CN"/>
        </w:rPr>
        <w:t>否则为无效投标</w:t>
      </w:r>
      <w:r>
        <w:rPr>
          <w:rFonts w:hint="eastAsia" w:ascii="宋体" w:hAnsi="宋体" w:eastAsia="宋体" w:cs="宋体"/>
          <w:color w:val="auto"/>
          <w:szCs w:val="21"/>
          <w:highlight w:val="none"/>
        </w:rPr>
        <w:t>。</w:t>
      </w:r>
    </w:p>
    <w:p w14:paraId="75FD63D1">
      <w:pPr>
        <w:keepNext w:val="0"/>
        <w:keepLines w:val="0"/>
        <w:pageBreakBefore w:val="0"/>
        <w:widowControl w:val="0"/>
        <w:kinsoku/>
        <w:wordWrap w:val="0"/>
        <w:overflowPunct/>
        <w:topLinePunct w:val="0"/>
        <w:autoSpaceDE/>
        <w:autoSpaceDN/>
        <w:bidi w:val="0"/>
        <w:spacing w:line="356" w:lineRule="auto"/>
        <w:ind w:firstLine="420" w:firstLineChars="200"/>
        <w:contextualSpacing/>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lang w:val="zh-CN"/>
        </w:rPr>
        <w:t>所投产品必须符合招标文件规定标准的全新正品现货，</w:t>
      </w:r>
      <w:r>
        <w:rPr>
          <w:rFonts w:hint="eastAsia" w:ascii="宋体" w:hAnsi="宋体" w:eastAsia="宋体" w:cs="宋体"/>
          <w:b/>
          <w:bCs/>
          <w:color w:val="auto"/>
          <w:szCs w:val="21"/>
          <w:highlight w:val="none"/>
          <w:lang w:val="zh-CN"/>
        </w:rPr>
        <w:t>否则为无效投标</w:t>
      </w:r>
      <w:r>
        <w:rPr>
          <w:rFonts w:hint="eastAsia" w:ascii="宋体" w:hAnsi="宋体" w:eastAsia="宋体" w:cs="宋体"/>
          <w:color w:val="auto"/>
          <w:szCs w:val="21"/>
          <w:highlight w:val="none"/>
        </w:rPr>
        <w:t>。</w:t>
      </w:r>
    </w:p>
    <w:p w14:paraId="3574EE02">
      <w:pPr>
        <w:keepNext w:val="0"/>
        <w:keepLines w:val="0"/>
        <w:pageBreakBefore w:val="0"/>
        <w:widowControl w:val="0"/>
        <w:kinsoku/>
        <w:wordWrap w:val="0"/>
        <w:overflowPunct/>
        <w:topLinePunct w:val="0"/>
        <w:autoSpaceDE/>
        <w:autoSpaceDN/>
        <w:bidi w:val="0"/>
        <w:spacing w:line="356" w:lineRule="auto"/>
        <w:ind w:firstLine="420" w:firstLineChars="200"/>
        <w:contextualSpacing/>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lang w:val="zh-CN"/>
        </w:rPr>
        <w:t>投标人须明确投标产品的厂家、产地、品牌、型号等参数，</w:t>
      </w:r>
      <w:r>
        <w:rPr>
          <w:rFonts w:hint="eastAsia" w:ascii="宋体" w:hAnsi="宋体" w:eastAsia="宋体" w:cs="宋体"/>
          <w:b/>
          <w:bCs/>
          <w:color w:val="auto"/>
          <w:szCs w:val="21"/>
          <w:highlight w:val="none"/>
          <w:lang w:val="zh-CN"/>
        </w:rPr>
        <w:t>否则为无效投标。</w:t>
      </w:r>
    </w:p>
    <w:p w14:paraId="2F486ECF">
      <w:pPr>
        <w:keepNext w:val="0"/>
        <w:keepLines w:val="0"/>
        <w:pageBreakBefore w:val="0"/>
        <w:widowControl w:val="0"/>
        <w:kinsoku/>
        <w:overflowPunct/>
        <w:topLinePunct w:val="0"/>
        <w:autoSpaceDE/>
        <w:autoSpaceDN/>
        <w:bidi w:val="0"/>
        <w:spacing w:line="35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接到报修后8小时内响应，24小时内到场，除需更换配件外，48小时内解决故障。</w:t>
      </w:r>
    </w:p>
    <w:p w14:paraId="3ED24B99">
      <w:pPr>
        <w:keepNext w:val="0"/>
        <w:keepLines w:val="0"/>
        <w:pageBreakBefore w:val="0"/>
        <w:widowControl w:val="0"/>
        <w:kinsoku/>
        <w:overflowPunct/>
        <w:topLinePunct w:val="0"/>
        <w:autoSpaceDE/>
        <w:autoSpaceDN/>
        <w:bidi w:val="0"/>
        <w:spacing w:line="356"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lang w:eastAsia="zh-CN"/>
        </w:rPr>
        <w:t>车辆</w:t>
      </w:r>
      <w:r>
        <w:rPr>
          <w:rFonts w:hint="eastAsia" w:ascii="宋体" w:hAnsi="宋体" w:eastAsia="宋体" w:cs="宋体"/>
          <w:color w:val="auto"/>
          <w:szCs w:val="21"/>
          <w:highlight w:val="none"/>
        </w:rPr>
        <w:t>整体</w:t>
      </w:r>
      <w:r>
        <w:rPr>
          <w:rFonts w:hint="eastAsia" w:ascii="宋体" w:hAnsi="宋体" w:eastAsia="宋体" w:cs="宋体"/>
          <w:color w:val="auto"/>
          <w:szCs w:val="21"/>
          <w:highlight w:val="none"/>
          <w:lang w:eastAsia="zh-CN"/>
        </w:rPr>
        <w:t>质</w:t>
      </w:r>
      <w:r>
        <w:rPr>
          <w:rFonts w:hint="eastAsia" w:ascii="宋体" w:hAnsi="宋体" w:eastAsia="宋体" w:cs="宋体"/>
          <w:color w:val="auto"/>
          <w:szCs w:val="21"/>
          <w:highlight w:val="none"/>
        </w:rPr>
        <w:t>保1年（包括所有部件、耗材），</w:t>
      </w:r>
      <w:r>
        <w:rPr>
          <w:rFonts w:hint="eastAsia" w:ascii="宋体" w:hAnsi="宋体" w:eastAsia="宋体" w:cs="宋体"/>
          <w:color w:val="auto"/>
          <w:szCs w:val="21"/>
          <w:highlight w:val="none"/>
          <w:lang w:eastAsia="zh-CN"/>
        </w:rPr>
        <w:t>电池质保</w:t>
      </w:r>
      <w:r>
        <w:rPr>
          <w:rFonts w:hint="eastAsia" w:ascii="宋体" w:hAnsi="宋体" w:eastAsia="宋体" w:cs="宋体"/>
          <w:color w:val="auto"/>
          <w:szCs w:val="21"/>
          <w:highlight w:val="none"/>
          <w:lang w:val="en-US" w:eastAsia="zh-CN"/>
        </w:rPr>
        <w:t>5年，</w:t>
      </w:r>
      <w:r>
        <w:rPr>
          <w:rFonts w:hint="eastAsia" w:ascii="宋体" w:hAnsi="宋体" w:eastAsia="宋体" w:cs="宋体"/>
          <w:color w:val="auto"/>
          <w:szCs w:val="21"/>
          <w:highlight w:val="none"/>
        </w:rPr>
        <w:t>终身维修，</w:t>
      </w:r>
      <w:r>
        <w:rPr>
          <w:rFonts w:hint="eastAsia" w:ascii="宋体" w:hAnsi="宋体" w:eastAsia="宋体" w:cs="宋体"/>
          <w:color w:val="auto"/>
          <w:szCs w:val="21"/>
          <w:highlight w:val="none"/>
          <w:lang w:eastAsia="zh-CN"/>
        </w:rPr>
        <w:t>质保期外</w:t>
      </w:r>
      <w:r>
        <w:rPr>
          <w:rFonts w:hint="eastAsia" w:ascii="宋体" w:hAnsi="宋体" w:eastAsia="宋体" w:cs="宋体"/>
          <w:color w:val="auto"/>
          <w:szCs w:val="21"/>
          <w:highlight w:val="none"/>
        </w:rPr>
        <w:t>免除人工费用只收取材料及耗材费。</w:t>
      </w:r>
    </w:p>
    <w:p w14:paraId="03BD7A9B">
      <w:pPr>
        <w:keepNext w:val="0"/>
        <w:keepLines w:val="0"/>
        <w:pageBreakBefore w:val="0"/>
        <w:widowControl w:val="0"/>
        <w:kinsoku/>
        <w:wordWrap w:val="0"/>
        <w:overflowPunct/>
        <w:topLinePunct w:val="0"/>
        <w:autoSpaceDE/>
        <w:autoSpaceDN/>
        <w:bidi w:val="0"/>
        <w:spacing w:line="356" w:lineRule="auto"/>
        <w:ind w:firstLine="420" w:firstLineChars="200"/>
        <w:contextualSpacing/>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6.设备的质量保证期，从设备安装调试验收合格之日起计</w:t>
      </w:r>
      <w:r>
        <w:rPr>
          <w:rFonts w:hint="eastAsia" w:ascii="宋体" w:hAnsi="宋体" w:eastAsia="宋体" w:cs="宋体"/>
          <w:color w:val="auto"/>
          <w:kern w:val="0"/>
          <w:szCs w:val="21"/>
          <w:highlight w:val="none"/>
          <w:lang w:val="en-US" w:eastAsia="zh-CN"/>
        </w:rPr>
        <w:t>算</w:t>
      </w:r>
      <w:r>
        <w:rPr>
          <w:rFonts w:hint="eastAsia" w:ascii="宋体" w:hAnsi="宋体" w:eastAsia="宋体" w:cs="宋体"/>
          <w:color w:val="auto"/>
          <w:kern w:val="0"/>
          <w:szCs w:val="21"/>
          <w:highlight w:val="none"/>
          <w:lang w:val="zh-CN"/>
        </w:rPr>
        <w:t>。在保证期内因设备本身的质量问题发生故障，负责免费修理和更换零部件。对达不到使用要求者，经双方协商，可以更换设备，由中标单位承担所发生的全部费用。</w:t>
      </w:r>
    </w:p>
    <w:p w14:paraId="3D6C5FFF">
      <w:pPr>
        <w:keepNext w:val="0"/>
        <w:keepLines w:val="0"/>
        <w:pageBreakBefore w:val="0"/>
        <w:widowControl w:val="0"/>
        <w:kinsoku/>
        <w:wordWrap w:val="0"/>
        <w:overflowPunct/>
        <w:topLinePunct w:val="0"/>
        <w:autoSpaceDE/>
        <w:autoSpaceDN/>
        <w:bidi w:val="0"/>
        <w:spacing w:line="356" w:lineRule="auto"/>
        <w:ind w:firstLine="420" w:firstLineChars="200"/>
        <w:contextualSpacing/>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7.在质保期内到设备使用寿命止，由中标</w:t>
      </w:r>
      <w:r>
        <w:rPr>
          <w:rFonts w:hint="eastAsia" w:ascii="宋体" w:hAnsi="宋体" w:eastAsia="宋体" w:cs="宋体"/>
          <w:color w:val="auto"/>
          <w:kern w:val="0"/>
          <w:szCs w:val="21"/>
          <w:highlight w:val="none"/>
          <w:lang w:val="en-US" w:eastAsia="zh-CN"/>
        </w:rPr>
        <w:t>人</w:t>
      </w:r>
      <w:r>
        <w:rPr>
          <w:rFonts w:hint="eastAsia" w:ascii="宋体" w:hAnsi="宋体" w:eastAsia="宋体" w:cs="宋体"/>
          <w:color w:val="auto"/>
          <w:kern w:val="0"/>
          <w:szCs w:val="21"/>
          <w:highlight w:val="none"/>
          <w:lang w:val="zh-CN"/>
        </w:rPr>
        <w:t>对设备出现的质量问题负责处理解决。</w:t>
      </w:r>
    </w:p>
    <w:p w14:paraId="7A2DDE8A">
      <w:pPr>
        <w:keepNext w:val="0"/>
        <w:keepLines w:val="0"/>
        <w:pageBreakBefore w:val="0"/>
        <w:widowControl w:val="0"/>
        <w:kinsoku/>
        <w:wordWrap w:val="0"/>
        <w:overflowPunct/>
        <w:topLinePunct w:val="0"/>
        <w:autoSpaceDE/>
        <w:autoSpaceDN/>
        <w:bidi w:val="0"/>
        <w:spacing w:line="356" w:lineRule="auto"/>
        <w:ind w:firstLine="420" w:firstLineChars="200"/>
        <w:contextualSpacing/>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8.本项目为交钥匙工程（包括设备、材料、元件等购置、安装调试、验收、与其他施工单位协作所产生的费用等）。</w:t>
      </w:r>
    </w:p>
    <w:p w14:paraId="0C62EEE6">
      <w:pPr>
        <w:keepNext w:val="0"/>
        <w:keepLines w:val="0"/>
        <w:pageBreakBefore w:val="0"/>
        <w:widowControl w:val="0"/>
        <w:kinsoku/>
        <w:wordWrap w:val="0"/>
        <w:overflowPunct/>
        <w:topLinePunct w:val="0"/>
        <w:autoSpaceDE/>
        <w:autoSpaceDN/>
        <w:bidi w:val="0"/>
        <w:spacing w:line="356" w:lineRule="auto"/>
        <w:ind w:firstLine="420" w:firstLineChars="200"/>
        <w:contextualSpacing/>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9.交货地点：采购人指定地点，现场交货，中标人负责办理运输，保证运输到户，并提供免费安装调试，对此项作出承诺。为了确保项目按时按质完成，实施方案应由项目负责人签字，否则无效投标。</w:t>
      </w:r>
    </w:p>
    <w:p w14:paraId="029C4919">
      <w:pPr>
        <w:keepNext w:val="0"/>
        <w:keepLines w:val="0"/>
        <w:pageBreakBefore w:val="0"/>
        <w:widowControl w:val="0"/>
        <w:kinsoku/>
        <w:wordWrap w:val="0"/>
        <w:overflowPunct/>
        <w:topLinePunct w:val="0"/>
        <w:autoSpaceDE/>
        <w:autoSpaceDN/>
        <w:bidi w:val="0"/>
        <w:spacing w:line="356" w:lineRule="auto"/>
        <w:ind w:firstLine="420" w:firstLineChars="200"/>
        <w:contextualSpacing/>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10.中标人需按合同约定时间供货，逾期1天扣除合同额的5%，中标人须现场提供技术指导，直至配合完成整个项目的竣工验收等工作。</w:t>
      </w:r>
    </w:p>
    <w:p w14:paraId="0BC1718B">
      <w:pPr>
        <w:pStyle w:val="11"/>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lang w:val="en-US" w:eastAsia="zh-CN"/>
        </w:rPr>
        <w:t xml:space="preserve">    11.质量标准：</w:t>
      </w:r>
      <w:r>
        <w:rPr>
          <w:rFonts w:hint="eastAsia" w:ascii="宋体" w:hAnsi="宋体" w:eastAsia="宋体" w:cs="宋体"/>
          <w:color w:val="auto"/>
          <w:szCs w:val="21"/>
          <w:highlight w:val="none"/>
        </w:rPr>
        <w:t>合格（符合国家现行的验收规范和标准）</w:t>
      </w:r>
      <w:r>
        <w:rPr>
          <w:rFonts w:hint="eastAsia" w:ascii="宋体" w:hAnsi="宋体" w:eastAsia="宋体" w:cs="宋体"/>
          <w:color w:val="auto"/>
          <w:szCs w:val="21"/>
          <w:highlight w:val="none"/>
          <w:lang w:eastAsia="zh-CN"/>
        </w:rPr>
        <w:t>。</w:t>
      </w:r>
    </w:p>
    <w:p w14:paraId="621C5B5A">
      <w:pPr>
        <w:pStyle w:val="11"/>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四、采购标的执行标准、其他技术服务等要求</w:t>
      </w:r>
    </w:p>
    <w:p w14:paraId="4F42850A">
      <w:pPr>
        <w:keepNext w:val="0"/>
        <w:keepLines w:val="0"/>
        <w:pageBreakBefore w:val="0"/>
        <w:widowControl w:val="0"/>
        <w:kinsoku/>
        <w:overflowPunct/>
        <w:topLinePunct w:val="0"/>
        <w:autoSpaceDE/>
        <w:autoSpaceDN/>
        <w:bidi w:val="0"/>
        <w:spacing w:line="356"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1.本次招标某些技术标准与国家所要求的标准不统一或有不兼容的地方，均以国家强制性标准或最新出台的标准为准。</w:t>
      </w:r>
    </w:p>
    <w:p w14:paraId="150FC13C">
      <w:pPr>
        <w:keepNext w:val="0"/>
        <w:keepLines w:val="0"/>
        <w:pageBreakBefore w:val="0"/>
        <w:widowControl w:val="0"/>
        <w:kinsoku/>
        <w:overflowPunct/>
        <w:topLinePunct w:val="0"/>
        <w:autoSpaceDE/>
        <w:autoSpaceDN/>
        <w:bidi w:val="0"/>
        <w:spacing w:line="356"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2.如果未在招标文件中要求提供其相关行业标准或国家强制性标准的，则投标人有责任给予补充说明。</w:t>
      </w:r>
    </w:p>
    <w:p w14:paraId="3192E2F3">
      <w:pPr>
        <w:keepNext w:val="0"/>
        <w:keepLines w:val="0"/>
        <w:pageBreakBefore w:val="0"/>
        <w:widowControl w:val="0"/>
        <w:kinsoku/>
        <w:overflowPunct/>
        <w:topLinePunct w:val="0"/>
        <w:autoSpaceDE/>
        <w:autoSpaceDN/>
        <w:bidi w:val="0"/>
        <w:spacing w:line="356"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3.中标人未达到作业计划标准及工作违规或引起纠纷、被上级部门处罚等不良后果，造成重大经济损失或服务严重失误，招标方有权终止本合同，并追究中标方的经济责任。</w:t>
      </w:r>
    </w:p>
    <w:p w14:paraId="27A0C627">
      <w:pPr>
        <w:pStyle w:val="1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五、验收标准</w:t>
      </w:r>
    </w:p>
    <w:p w14:paraId="76A90AE4">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有权要求中标候选人提供所有与本次投标相关资料原件进行查验，无法提供或有造假等违法违规行为根据相关规定执行处理。</w:t>
      </w:r>
    </w:p>
    <w:p w14:paraId="3AA6CCE6">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采购人</w:t>
      </w:r>
      <w:r>
        <w:rPr>
          <w:rFonts w:hint="eastAsia" w:ascii="宋体" w:hAnsi="宋体" w:eastAsia="宋体" w:cs="宋体"/>
          <w:color w:val="auto"/>
          <w:szCs w:val="21"/>
          <w:highlight w:val="none"/>
          <w:lang w:eastAsia="zh-CN"/>
        </w:rPr>
        <w:t>在收到供应商货物验收合格后</w:t>
      </w:r>
      <w:r>
        <w:rPr>
          <w:rFonts w:hint="eastAsia" w:ascii="宋体" w:hAnsi="宋体" w:eastAsia="宋体" w:cs="宋体"/>
          <w:color w:val="auto"/>
          <w:szCs w:val="21"/>
          <w:highlight w:val="none"/>
          <w:lang w:val="en-US" w:eastAsia="zh-CN"/>
        </w:rPr>
        <w:t>7个工作日内，</w:t>
      </w:r>
      <w:r>
        <w:rPr>
          <w:rFonts w:hint="eastAsia" w:ascii="宋体" w:hAnsi="宋体" w:eastAsia="宋体" w:cs="宋体"/>
          <w:color w:val="auto"/>
          <w:szCs w:val="21"/>
          <w:highlight w:val="none"/>
        </w:rPr>
        <w:t>由采购人成立验收小组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按照采购合同的约定对中标人履约情况进行验收。验收时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按照采购合同的约定对每一项技术、服务、安全标准的履约情况进行确认。验收结束后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出具验收书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列明各项标准的验收情况及项目总体评价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由验收双方共同签署。</w:t>
      </w:r>
    </w:p>
    <w:p w14:paraId="3AA92883">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符合招标文件要求和投标文件承诺。</w:t>
      </w:r>
    </w:p>
    <w:p w14:paraId="6D7C648D">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eastAsia="zh-CN"/>
        </w:rPr>
        <w:t>六</w:t>
      </w:r>
      <w:r>
        <w:rPr>
          <w:rFonts w:hint="eastAsia" w:ascii="宋体" w:hAnsi="宋体" w:eastAsia="宋体" w:cs="宋体"/>
          <w:b/>
          <w:bCs/>
          <w:color w:val="auto"/>
          <w:szCs w:val="21"/>
          <w:highlight w:val="none"/>
          <w:lang w:val="zh-CN"/>
        </w:rPr>
        <w:t>、资金支付</w:t>
      </w:r>
    </w:p>
    <w:p w14:paraId="54206C6E">
      <w:pPr>
        <w:pStyle w:val="11"/>
        <w:ind w:firstLine="420" w:firstLineChars="20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zh-CN" w:eastAsia="zh-CN" w:bidi="ar-SA"/>
        </w:rPr>
        <w:t>交付（实施）时间（期限）：自合同签订之日起30个工作日。</w:t>
      </w:r>
    </w:p>
    <w:p w14:paraId="3FB563B5">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zh-CN" w:eastAsia="zh-CN" w:bidi="ar-SA"/>
        </w:rPr>
        <w:t>交付（实施）地点（范围）：禹州市环境卫生服务中心。</w:t>
      </w:r>
    </w:p>
    <w:p w14:paraId="0B441DA0">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3.支付方式：银行转账。</w:t>
      </w:r>
    </w:p>
    <w:p w14:paraId="42DA95DE">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4.支付时间及条件：验收合格具备支付条件的，采购人收到发票后5个工作日内一次付清</w:t>
      </w:r>
      <w:r>
        <w:rPr>
          <w:rFonts w:hint="eastAsia" w:ascii="宋体" w:hAnsi="宋体" w:eastAsia="宋体" w:cs="宋体"/>
          <w:color w:val="auto"/>
          <w:kern w:val="2"/>
          <w:sz w:val="21"/>
          <w:szCs w:val="21"/>
          <w:highlight w:val="none"/>
          <w:lang w:val="zh-CN" w:eastAsia="zh-CN" w:bidi="ar-SA"/>
        </w:rPr>
        <w:t>。</w:t>
      </w:r>
    </w:p>
    <w:p w14:paraId="4FFB7101">
      <w:pPr>
        <w:pStyle w:val="38"/>
        <w:rPr>
          <w:rFonts w:hint="eastAsia" w:ascii="宋体" w:hAnsi="宋体" w:eastAsia="宋体" w:cs="宋体"/>
          <w:color w:val="auto"/>
          <w:kern w:val="2"/>
          <w:sz w:val="21"/>
          <w:szCs w:val="21"/>
          <w:highlight w:val="none"/>
          <w:lang w:val="en-US" w:eastAsia="zh-CN" w:bidi="ar-SA"/>
        </w:rPr>
      </w:pPr>
    </w:p>
    <w:p w14:paraId="3DF4E144">
      <w:pPr>
        <w:rPr>
          <w:rFonts w:hint="eastAsia" w:ascii="宋体" w:hAnsi="宋体" w:eastAsia="宋体" w:cs="宋体"/>
          <w:color w:val="auto"/>
          <w:kern w:val="2"/>
          <w:sz w:val="21"/>
          <w:szCs w:val="21"/>
          <w:highlight w:val="none"/>
          <w:lang w:val="en-US" w:eastAsia="zh-CN" w:bidi="ar-SA"/>
        </w:rPr>
      </w:pPr>
    </w:p>
    <w:p w14:paraId="44031F7E">
      <w:pPr>
        <w:pStyle w:val="11"/>
        <w:rPr>
          <w:rFonts w:hint="eastAsia" w:ascii="宋体" w:hAnsi="宋体" w:eastAsia="宋体" w:cs="宋体"/>
          <w:color w:val="auto"/>
          <w:kern w:val="2"/>
          <w:sz w:val="21"/>
          <w:szCs w:val="21"/>
          <w:highlight w:val="none"/>
          <w:lang w:val="en-US" w:eastAsia="zh-CN" w:bidi="ar-SA"/>
        </w:rPr>
      </w:pPr>
    </w:p>
    <w:p w14:paraId="56001345">
      <w:pPr>
        <w:pStyle w:val="28"/>
        <w:ind w:left="0" w:leftChars="0" w:firstLine="0" w:firstLineChars="0"/>
        <w:rPr>
          <w:rFonts w:hint="eastAsia" w:ascii="宋体" w:hAnsi="宋体" w:eastAsia="宋体" w:cs="宋体"/>
          <w:color w:val="auto"/>
          <w:highlight w:val="none"/>
        </w:rPr>
      </w:pPr>
    </w:p>
    <w:p w14:paraId="26E53C49">
      <w:pPr>
        <w:rPr>
          <w:rFonts w:hint="eastAsia" w:ascii="宋体" w:hAnsi="宋体" w:eastAsia="宋体" w:cs="宋体"/>
          <w:color w:val="auto"/>
          <w:highlight w:val="none"/>
        </w:rPr>
      </w:pPr>
    </w:p>
    <w:p w14:paraId="649F4949">
      <w:pPr>
        <w:autoSpaceDE w:val="0"/>
        <w:autoSpaceDN w:val="0"/>
        <w:adjustRightInd w:val="0"/>
        <w:jc w:val="center"/>
        <w:rPr>
          <w:rFonts w:hint="eastAsia" w:ascii="宋体" w:hAnsi="宋体" w:eastAsia="宋体" w:cs="宋体"/>
          <w:b/>
          <w:color w:val="auto"/>
          <w:kern w:val="0"/>
          <w:sz w:val="32"/>
          <w:szCs w:val="32"/>
          <w:highlight w:val="none"/>
        </w:rPr>
      </w:pPr>
    </w:p>
    <w:p w14:paraId="53BDFE0D">
      <w:pPr>
        <w:autoSpaceDE w:val="0"/>
        <w:autoSpaceDN w:val="0"/>
        <w:adjustRightInd w:val="0"/>
        <w:jc w:val="center"/>
        <w:rPr>
          <w:rFonts w:hint="eastAsia" w:ascii="宋体" w:hAnsi="宋体" w:eastAsia="宋体" w:cs="宋体"/>
          <w:b/>
          <w:color w:val="auto"/>
          <w:kern w:val="0"/>
          <w:sz w:val="32"/>
          <w:szCs w:val="32"/>
          <w:highlight w:val="none"/>
        </w:rPr>
      </w:pPr>
    </w:p>
    <w:p w14:paraId="4C979A46">
      <w:pPr>
        <w:autoSpaceDE w:val="0"/>
        <w:autoSpaceDN w:val="0"/>
        <w:adjustRightInd w:val="0"/>
        <w:jc w:val="center"/>
        <w:rPr>
          <w:rFonts w:hint="eastAsia" w:ascii="宋体" w:hAnsi="宋体" w:eastAsia="宋体" w:cs="宋体"/>
          <w:b/>
          <w:color w:val="auto"/>
          <w:kern w:val="0"/>
          <w:sz w:val="32"/>
          <w:szCs w:val="32"/>
          <w:highlight w:val="none"/>
        </w:rPr>
      </w:pPr>
    </w:p>
    <w:p w14:paraId="2BB05C01">
      <w:pPr>
        <w:autoSpaceDE w:val="0"/>
        <w:autoSpaceDN w:val="0"/>
        <w:adjustRightInd w:val="0"/>
        <w:jc w:val="center"/>
        <w:rPr>
          <w:rFonts w:hint="eastAsia" w:ascii="宋体" w:hAnsi="宋体" w:eastAsia="宋体" w:cs="宋体"/>
          <w:b/>
          <w:color w:val="auto"/>
          <w:kern w:val="0"/>
          <w:sz w:val="32"/>
          <w:szCs w:val="32"/>
          <w:highlight w:val="none"/>
        </w:rPr>
      </w:pPr>
    </w:p>
    <w:p w14:paraId="7B4D5755">
      <w:pPr>
        <w:autoSpaceDE w:val="0"/>
        <w:autoSpaceDN w:val="0"/>
        <w:adjustRightInd w:val="0"/>
        <w:jc w:val="center"/>
        <w:rPr>
          <w:rFonts w:hint="eastAsia" w:ascii="宋体" w:hAnsi="宋体" w:eastAsia="宋体" w:cs="宋体"/>
          <w:b/>
          <w:color w:val="auto"/>
          <w:kern w:val="0"/>
          <w:sz w:val="32"/>
          <w:szCs w:val="32"/>
          <w:highlight w:val="none"/>
        </w:rPr>
      </w:pPr>
    </w:p>
    <w:p w14:paraId="663CC460">
      <w:pPr>
        <w:autoSpaceDE w:val="0"/>
        <w:autoSpaceDN w:val="0"/>
        <w:adjustRightInd w:val="0"/>
        <w:jc w:val="center"/>
        <w:rPr>
          <w:rFonts w:hint="eastAsia" w:ascii="宋体" w:hAnsi="宋体" w:eastAsia="宋体" w:cs="宋体"/>
          <w:b/>
          <w:color w:val="auto"/>
          <w:kern w:val="0"/>
          <w:sz w:val="32"/>
          <w:szCs w:val="32"/>
          <w:highlight w:val="none"/>
        </w:rPr>
      </w:pPr>
    </w:p>
    <w:p w14:paraId="6CF2FDA4">
      <w:pPr>
        <w:autoSpaceDE w:val="0"/>
        <w:autoSpaceDN w:val="0"/>
        <w:adjustRightInd w:val="0"/>
        <w:jc w:val="center"/>
        <w:rPr>
          <w:rFonts w:hint="eastAsia" w:ascii="宋体" w:hAnsi="宋体" w:eastAsia="宋体" w:cs="宋体"/>
          <w:b/>
          <w:color w:val="auto"/>
          <w:kern w:val="0"/>
          <w:sz w:val="32"/>
          <w:szCs w:val="32"/>
          <w:highlight w:val="none"/>
        </w:rPr>
      </w:pPr>
    </w:p>
    <w:p w14:paraId="19511E7E">
      <w:pPr>
        <w:autoSpaceDE w:val="0"/>
        <w:autoSpaceDN w:val="0"/>
        <w:adjustRightInd w:val="0"/>
        <w:jc w:val="center"/>
        <w:rPr>
          <w:rFonts w:hint="eastAsia" w:ascii="宋体" w:hAnsi="宋体" w:eastAsia="宋体" w:cs="宋体"/>
          <w:b/>
          <w:color w:val="auto"/>
          <w:kern w:val="0"/>
          <w:sz w:val="32"/>
          <w:szCs w:val="32"/>
          <w:highlight w:val="none"/>
        </w:rPr>
      </w:pPr>
    </w:p>
    <w:p w14:paraId="3056A9A9">
      <w:pPr>
        <w:autoSpaceDE w:val="0"/>
        <w:autoSpaceDN w:val="0"/>
        <w:adjustRightInd w:val="0"/>
        <w:jc w:val="center"/>
        <w:rPr>
          <w:rFonts w:hint="eastAsia" w:ascii="宋体" w:hAnsi="宋体" w:eastAsia="宋体" w:cs="宋体"/>
          <w:b/>
          <w:color w:val="auto"/>
          <w:kern w:val="0"/>
          <w:sz w:val="32"/>
          <w:szCs w:val="32"/>
          <w:highlight w:val="none"/>
        </w:rPr>
      </w:pPr>
    </w:p>
    <w:p w14:paraId="797A8057">
      <w:pPr>
        <w:autoSpaceDE w:val="0"/>
        <w:autoSpaceDN w:val="0"/>
        <w:adjustRightInd w:val="0"/>
        <w:jc w:val="center"/>
        <w:rPr>
          <w:rFonts w:hint="eastAsia" w:ascii="宋体" w:hAnsi="宋体" w:eastAsia="宋体" w:cs="宋体"/>
          <w:b/>
          <w:color w:val="auto"/>
          <w:kern w:val="0"/>
          <w:sz w:val="32"/>
          <w:szCs w:val="32"/>
          <w:highlight w:val="none"/>
        </w:rPr>
      </w:pPr>
    </w:p>
    <w:p w14:paraId="592438DE">
      <w:pPr>
        <w:autoSpaceDE w:val="0"/>
        <w:autoSpaceDN w:val="0"/>
        <w:adjustRightInd w:val="0"/>
        <w:jc w:val="center"/>
        <w:rPr>
          <w:rFonts w:hint="eastAsia" w:ascii="宋体" w:hAnsi="宋体" w:eastAsia="宋体" w:cs="宋体"/>
          <w:b/>
          <w:color w:val="auto"/>
          <w:kern w:val="0"/>
          <w:sz w:val="32"/>
          <w:szCs w:val="32"/>
          <w:highlight w:val="none"/>
        </w:rPr>
      </w:pPr>
    </w:p>
    <w:p w14:paraId="0ABFE9BA">
      <w:pPr>
        <w:autoSpaceDE w:val="0"/>
        <w:autoSpaceDN w:val="0"/>
        <w:adjustRightInd w:val="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第三章 投标人须知前附表</w:t>
      </w:r>
    </w:p>
    <w:p w14:paraId="0837EA7D">
      <w:pPr>
        <w:autoSpaceDE w:val="0"/>
        <w:autoSpaceDN w:val="0"/>
        <w:adjustRightInd w:val="0"/>
        <w:spacing w:line="360" w:lineRule="auto"/>
        <w:ind w:right="-11"/>
        <w:jc w:val="left"/>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t>招标文件中凡标有★条款均为实质性要求条款，投标文件须完全响应，未实质响应的，按照无效投标处理。</w:t>
      </w:r>
    </w:p>
    <w:tbl>
      <w:tblPr>
        <w:tblStyle w:val="29"/>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0407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67C4F52B">
            <w:pPr>
              <w:autoSpaceDE w:val="0"/>
              <w:autoSpaceDN w:val="0"/>
              <w:adjustRightInd w:val="0"/>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268" w:type="dxa"/>
            <w:vAlign w:val="center"/>
          </w:tcPr>
          <w:p w14:paraId="7CA0A73B">
            <w:pPr>
              <w:autoSpaceDE w:val="0"/>
              <w:autoSpaceDN w:val="0"/>
              <w:adjustRightInd w:val="0"/>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6813" w:type="dxa"/>
            <w:vAlign w:val="center"/>
          </w:tcPr>
          <w:p w14:paraId="0A5BDCD0">
            <w:pPr>
              <w:autoSpaceDE w:val="0"/>
              <w:autoSpaceDN w:val="0"/>
              <w:adjustRightInd w:val="0"/>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说明和要求</w:t>
            </w:r>
          </w:p>
        </w:tc>
      </w:tr>
      <w:tr w14:paraId="3F138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06" w:type="dxa"/>
            <w:vAlign w:val="center"/>
          </w:tcPr>
          <w:p w14:paraId="433205DC">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268" w:type="dxa"/>
            <w:vAlign w:val="center"/>
          </w:tcPr>
          <w:p w14:paraId="278082B1">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采购项目</w:t>
            </w:r>
          </w:p>
        </w:tc>
        <w:tc>
          <w:tcPr>
            <w:tcW w:w="6813" w:type="dxa"/>
          </w:tcPr>
          <w:p w14:paraId="05D5B041">
            <w:pPr>
              <w:tabs>
                <w:tab w:val="left" w:pos="7095"/>
              </w:tabs>
              <w:spacing w:line="360" w:lineRule="auto"/>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rPr>
              <w:t>禹州市环境卫生服务中心禹州市环卫作业车辆设备更新项目</w:t>
            </w:r>
          </w:p>
        </w:tc>
      </w:tr>
      <w:tr w14:paraId="5A824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0CB06793">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268" w:type="dxa"/>
            <w:vAlign w:val="center"/>
          </w:tcPr>
          <w:p w14:paraId="26196B61">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w:t>
            </w:r>
          </w:p>
        </w:tc>
        <w:tc>
          <w:tcPr>
            <w:tcW w:w="6813" w:type="dxa"/>
            <w:vAlign w:val="center"/>
          </w:tcPr>
          <w:p w14:paraId="58F0060F">
            <w:pPr>
              <w:spacing w:line="384"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名称：禹州市环境卫生服务中心</w:t>
            </w:r>
          </w:p>
          <w:p w14:paraId="6A3A1FFA">
            <w:pPr>
              <w:spacing w:line="384"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地址：禹州市钧官窑路185号</w:t>
            </w:r>
          </w:p>
          <w:p w14:paraId="71DC9DFD">
            <w:pPr>
              <w:spacing w:line="384"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联系人：赵先生</w:t>
            </w:r>
          </w:p>
          <w:p w14:paraId="76E5A7D2">
            <w:pPr>
              <w:spacing w:line="384"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联系电话：13782221972</w:t>
            </w:r>
          </w:p>
        </w:tc>
      </w:tr>
      <w:tr w14:paraId="78C1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3E9C9656">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268" w:type="dxa"/>
            <w:vAlign w:val="center"/>
          </w:tcPr>
          <w:p w14:paraId="7EEDA4F0">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采购机构</w:t>
            </w:r>
          </w:p>
        </w:tc>
        <w:tc>
          <w:tcPr>
            <w:tcW w:w="6813" w:type="dxa"/>
            <w:vAlign w:val="center"/>
          </w:tcPr>
          <w:p w14:paraId="5CEF7C49">
            <w:pPr>
              <w:autoSpaceDE w:val="0"/>
              <w:autoSpaceDN w:val="0"/>
              <w:adjustRightIn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名称：河南昊之伟工程管理有限公司</w:t>
            </w:r>
          </w:p>
          <w:p w14:paraId="1E43DDF1">
            <w:pPr>
              <w:autoSpaceDE w:val="0"/>
              <w:autoSpaceDN w:val="0"/>
              <w:adjustRightIn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地址：河南省郑州市郑东新区郑开大道71号恒通国际9层911室</w:t>
            </w:r>
          </w:p>
          <w:p w14:paraId="31E0067C">
            <w:pPr>
              <w:autoSpaceDE w:val="0"/>
              <w:autoSpaceDN w:val="0"/>
              <w:adjustRightInd w:val="0"/>
              <w:spacing w:line="360" w:lineRule="auto"/>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联系人：张女士</w:t>
            </w:r>
          </w:p>
          <w:p w14:paraId="00A4DFBF">
            <w:pPr>
              <w:autoSpaceDE w:val="0"/>
              <w:autoSpaceDN w:val="0"/>
              <w:adjustRightInd w:val="0"/>
              <w:spacing w:line="360" w:lineRule="auto"/>
              <w:jc w:val="left"/>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电话：19903741882</w:t>
            </w:r>
          </w:p>
        </w:tc>
      </w:tr>
      <w:tr w14:paraId="1EA5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restart"/>
            <w:vAlign w:val="center"/>
          </w:tcPr>
          <w:p w14:paraId="45283649">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268" w:type="dxa"/>
            <w:vMerge w:val="restart"/>
            <w:vAlign w:val="center"/>
          </w:tcPr>
          <w:p w14:paraId="0D10B985">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供应商资格</w:t>
            </w:r>
          </w:p>
        </w:tc>
        <w:tc>
          <w:tcPr>
            <w:tcW w:w="6813" w:type="dxa"/>
            <w:vAlign w:val="center"/>
          </w:tcPr>
          <w:p w14:paraId="37E07633">
            <w:pPr>
              <w:autoSpaceDE w:val="0"/>
              <w:autoSpaceDN w:val="0"/>
              <w:adjustRightInd w:val="0"/>
              <w:spacing w:line="360" w:lineRule="auto"/>
              <w:ind w:right="-11"/>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符合《</w:t>
            </w:r>
            <w:r>
              <w:rPr>
                <w:rFonts w:hint="eastAsia" w:cs="宋体" w:asciiTheme="minorEastAsia" w:hAnsiTheme="minorEastAsia"/>
                <w:bCs/>
                <w:color w:val="auto"/>
                <w:szCs w:val="21"/>
                <w:highlight w:val="none"/>
                <w:lang w:val="en-US" w:eastAsia="zh-CN"/>
              </w:rPr>
              <w:t>中华人民共和国</w:t>
            </w:r>
            <w:r>
              <w:rPr>
                <w:rFonts w:hint="eastAsia" w:cs="宋体" w:asciiTheme="minorEastAsia" w:hAnsiTheme="minorEastAsia"/>
                <w:bCs/>
                <w:color w:val="auto"/>
                <w:szCs w:val="21"/>
                <w:highlight w:val="none"/>
                <w:lang w:val="zh-CN"/>
              </w:rPr>
              <w:t>政府采购法》第二十二条规定</w:t>
            </w:r>
          </w:p>
          <w:p w14:paraId="5C602D85">
            <w:pPr>
              <w:pStyle w:val="11"/>
              <w:rPr>
                <w:rFonts w:hint="eastAsia"/>
                <w:color w:val="auto"/>
                <w:highlight w:val="none"/>
                <w:lang w:val="zh-CN"/>
              </w:rPr>
            </w:pPr>
            <w:r>
              <w:rPr>
                <w:rFonts w:hint="eastAsia"/>
                <w:color w:val="auto"/>
                <w:highlight w:val="none"/>
                <w:lang w:val="en-US" w:eastAsia="zh-CN"/>
              </w:rPr>
              <w:t>1.</w:t>
            </w:r>
            <w:r>
              <w:rPr>
                <w:rFonts w:hint="eastAsia"/>
                <w:color w:val="auto"/>
                <w:highlight w:val="none"/>
                <w:lang w:val="zh-CN" w:eastAsia="zh-CN"/>
              </w:rPr>
              <w:t xml:space="preserve">具有独立承担民事责任的能力； </w:t>
            </w:r>
          </w:p>
          <w:p w14:paraId="40BC6EE3">
            <w:pPr>
              <w:pStyle w:val="11"/>
              <w:rPr>
                <w:rFonts w:hint="eastAsia"/>
                <w:color w:val="auto"/>
                <w:highlight w:val="none"/>
                <w:lang w:val="zh-CN"/>
              </w:rPr>
            </w:pPr>
            <w:r>
              <w:rPr>
                <w:rFonts w:hint="eastAsia"/>
                <w:color w:val="auto"/>
                <w:highlight w:val="none"/>
                <w:lang w:val="en-US" w:eastAsia="zh-CN"/>
              </w:rPr>
              <w:t>2.</w:t>
            </w:r>
            <w:r>
              <w:rPr>
                <w:rFonts w:hint="eastAsia"/>
                <w:color w:val="auto"/>
                <w:highlight w:val="none"/>
                <w:lang w:val="zh-CN" w:eastAsia="zh-CN"/>
              </w:rPr>
              <w:t xml:space="preserve">具有良好的商业信誉和健全的财务会计制度； </w:t>
            </w:r>
          </w:p>
          <w:p w14:paraId="1408C712">
            <w:pPr>
              <w:pStyle w:val="11"/>
              <w:rPr>
                <w:rFonts w:hint="eastAsia"/>
                <w:color w:val="auto"/>
                <w:highlight w:val="none"/>
                <w:lang w:val="zh-CN"/>
              </w:rPr>
            </w:pPr>
            <w:r>
              <w:rPr>
                <w:rFonts w:hint="eastAsia"/>
                <w:color w:val="auto"/>
                <w:highlight w:val="none"/>
                <w:lang w:val="en-US" w:eastAsia="zh-CN"/>
              </w:rPr>
              <w:t>3.</w:t>
            </w:r>
            <w:r>
              <w:rPr>
                <w:rFonts w:hint="eastAsia"/>
                <w:color w:val="auto"/>
                <w:highlight w:val="none"/>
                <w:lang w:val="zh-CN" w:eastAsia="zh-CN"/>
              </w:rPr>
              <w:t xml:space="preserve">具有履行合同所必需的设备和专业技术能力； </w:t>
            </w:r>
          </w:p>
          <w:p w14:paraId="0762C60A">
            <w:pPr>
              <w:pStyle w:val="11"/>
              <w:rPr>
                <w:rFonts w:hint="eastAsia"/>
                <w:color w:val="auto"/>
                <w:highlight w:val="none"/>
                <w:lang w:val="zh-CN"/>
              </w:rPr>
            </w:pPr>
            <w:r>
              <w:rPr>
                <w:rFonts w:hint="eastAsia"/>
                <w:color w:val="auto"/>
                <w:highlight w:val="none"/>
                <w:lang w:val="en-US" w:eastAsia="zh-CN"/>
              </w:rPr>
              <w:t>4.</w:t>
            </w:r>
            <w:r>
              <w:rPr>
                <w:rFonts w:hint="eastAsia"/>
                <w:color w:val="auto"/>
                <w:highlight w:val="none"/>
                <w:lang w:val="zh-CN" w:eastAsia="zh-CN"/>
              </w:rPr>
              <w:t xml:space="preserve">具有依法缴纳税收和社会保障资金的良好记录； </w:t>
            </w:r>
          </w:p>
          <w:p w14:paraId="3FB3854B">
            <w:pPr>
              <w:pStyle w:val="11"/>
              <w:rPr>
                <w:rFonts w:hint="eastAsia"/>
                <w:color w:val="auto"/>
                <w:highlight w:val="none"/>
                <w:lang w:val="zh-CN"/>
              </w:rPr>
            </w:pPr>
            <w:r>
              <w:rPr>
                <w:rFonts w:hint="eastAsia"/>
                <w:color w:val="auto"/>
                <w:highlight w:val="none"/>
                <w:lang w:val="en-US" w:eastAsia="zh-CN"/>
              </w:rPr>
              <w:t>5.</w:t>
            </w:r>
            <w:r>
              <w:rPr>
                <w:rFonts w:hint="eastAsia"/>
                <w:color w:val="auto"/>
                <w:highlight w:val="none"/>
                <w:lang w:val="zh-CN" w:eastAsia="zh-CN"/>
              </w:rPr>
              <w:t xml:space="preserve">参加政府采购活动前三年内，在经营活动中没有重大违法记录； </w:t>
            </w:r>
          </w:p>
          <w:p w14:paraId="6599612B">
            <w:pPr>
              <w:autoSpaceDE w:val="0"/>
              <w:autoSpaceDN w:val="0"/>
              <w:adjustRightInd w:val="0"/>
              <w:spacing w:line="360" w:lineRule="auto"/>
              <w:ind w:right="-11" w:rightChars="0"/>
              <w:rPr>
                <w:rFonts w:hint="eastAsia" w:ascii="宋体" w:hAnsi="宋体" w:eastAsia="宋体" w:cs="宋体"/>
                <w:color w:val="auto"/>
                <w:highlight w:val="none"/>
              </w:rPr>
            </w:pPr>
            <w:r>
              <w:rPr>
                <w:rFonts w:hint="eastAsia"/>
                <w:color w:val="auto"/>
                <w:highlight w:val="none"/>
                <w:lang w:val="en-US" w:eastAsia="zh-CN"/>
              </w:rPr>
              <w:t>6.投标人应具</w:t>
            </w:r>
            <w:r>
              <w:rPr>
                <w:rFonts w:hint="eastAsia"/>
                <w:color w:val="auto"/>
                <w:highlight w:val="none"/>
                <w:lang w:val="en-US" w:eastAsia="zh-CN"/>
              </w:rPr>
              <w:t>备的特殊要求：无</w:t>
            </w:r>
          </w:p>
        </w:tc>
      </w:tr>
      <w:tr w14:paraId="33A7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3D3F4D08">
            <w:pPr>
              <w:autoSpaceDE w:val="0"/>
              <w:autoSpaceDN w:val="0"/>
              <w:adjustRightInd w:val="0"/>
              <w:spacing w:line="276" w:lineRule="auto"/>
              <w:jc w:val="center"/>
              <w:rPr>
                <w:rFonts w:hint="eastAsia" w:ascii="宋体" w:hAnsi="宋体" w:eastAsia="宋体" w:cs="宋体"/>
                <w:color w:val="auto"/>
                <w:szCs w:val="21"/>
                <w:highlight w:val="none"/>
              </w:rPr>
            </w:pPr>
          </w:p>
        </w:tc>
        <w:tc>
          <w:tcPr>
            <w:tcW w:w="2268" w:type="dxa"/>
            <w:vMerge w:val="continue"/>
            <w:vAlign w:val="center"/>
          </w:tcPr>
          <w:p w14:paraId="077AC42E">
            <w:pPr>
              <w:autoSpaceDE w:val="0"/>
              <w:autoSpaceDN w:val="0"/>
              <w:adjustRightInd w:val="0"/>
              <w:spacing w:line="276" w:lineRule="auto"/>
              <w:jc w:val="center"/>
              <w:rPr>
                <w:rFonts w:hint="eastAsia" w:ascii="宋体" w:hAnsi="宋体" w:eastAsia="宋体" w:cs="宋体"/>
                <w:b/>
                <w:color w:val="auto"/>
                <w:szCs w:val="21"/>
                <w:highlight w:val="none"/>
              </w:rPr>
            </w:pPr>
          </w:p>
        </w:tc>
        <w:tc>
          <w:tcPr>
            <w:tcW w:w="6813" w:type="dxa"/>
            <w:vAlign w:val="center"/>
          </w:tcPr>
          <w:p w14:paraId="1901A554">
            <w:pPr>
              <w:autoSpaceDE w:val="0"/>
              <w:autoSpaceDN w:val="0"/>
              <w:spacing w:line="360" w:lineRule="auto"/>
              <w:contextualSpacing/>
              <w:rPr>
                <w:rFonts w:ascii="宋体" w:hAnsi="宋体" w:eastAsia="宋体" w:cs="宋体"/>
                <w:b/>
                <w:bCs/>
                <w:color w:val="auto"/>
                <w:szCs w:val="21"/>
                <w:highlight w:val="none"/>
              </w:rPr>
            </w:pPr>
            <w:r>
              <w:rPr>
                <w:rFonts w:hint="eastAsia" w:cs="宋体" w:asciiTheme="minorEastAsia" w:hAnsiTheme="minorEastAsia"/>
                <w:b/>
                <w:bCs/>
                <w:color w:val="auto"/>
                <w:szCs w:val="21"/>
                <w:highlight w:val="none"/>
              </w:rPr>
              <w:t>注：</w:t>
            </w:r>
            <w:r>
              <w:rPr>
                <w:rFonts w:hint="eastAsia" w:cs="宋体" w:asciiTheme="minorEastAsia" w:hAnsiTheme="minorEastAsia"/>
                <w:b/>
                <w:bCs/>
                <w:color w:val="auto"/>
                <w:szCs w:val="21"/>
                <w:highlight w:val="none"/>
                <w:lang w:val="en-US" w:eastAsia="zh-CN"/>
              </w:rPr>
              <w:t>1.</w:t>
            </w:r>
            <w:r>
              <w:rPr>
                <w:rFonts w:hint="eastAsia" w:ascii="宋体" w:hAnsi="宋体" w:eastAsia="宋体" w:cs="宋体"/>
                <w:b/>
                <w:bCs/>
                <w:color w:val="auto"/>
                <w:szCs w:val="21"/>
                <w:highlight w:val="none"/>
              </w:rPr>
              <w:t>供应商在投标时，提供《禹州市政府采购供应商信用承诺函》（详见招标文件第八章格式），无需再提交上述证明材料。</w:t>
            </w:r>
          </w:p>
          <w:p w14:paraId="19F980BD">
            <w:pPr>
              <w:autoSpaceDE w:val="0"/>
              <w:autoSpaceDN w:val="0"/>
              <w:spacing w:line="360" w:lineRule="auto"/>
              <w:contextualSpacing/>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采购人有权在签订合同前要求中标供应商提供相关证明材料以核实中标供应商承诺事项的真实性。</w:t>
            </w:r>
          </w:p>
          <w:p w14:paraId="5B4D08F1">
            <w:pPr>
              <w:autoSpaceDE w:val="0"/>
              <w:autoSpaceDN w:val="0"/>
              <w:adjustRightInd w:val="0"/>
              <w:spacing w:line="360" w:lineRule="auto"/>
              <w:jc w:val="left"/>
              <w:rPr>
                <w:rFonts w:hint="eastAsia" w:ascii="宋体" w:hAnsi="宋体" w:eastAsia="宋体" w:cs="宋体"/>
                <w:b/>
                <w:color w:val="auto"/>
                <w:szCs w:val="21"/>
                <w:highlight w:val="none"/>
                <w:shd w:val="clear" w:color="auto" w:fill="FFFFFF"/>
              </w:rPr>
            </w:pP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供应商对信用承诺内容的真实性、合法性、有效性负责。如作出虚假信用承诺，视同为“提供虚假材料谋取中标”的违法行为。</w:t>
            </w:r>
          </w:p>
        </w:tc>
      </w:tr>
      <w:tr w14:paraId="39A0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473F0C0">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268" w:type="dxa"/>
            <w:vAlign w:val="center"/>
          </w:tcPr>
          <w:p w14:paraId="3CFFCE4C">
            <w:pPr>
              <w:autoSpaceDE w:val="0"/>
              <w:autoSpaceDN w:val="0"/>
              <w:adjustRightInd w:val="0"/>
              <w:spacing w:line="276" w:lineRule="auto"/>
              <w:jc w:val="center"/>
              <w:rPr>
                <w:rFonts w:hint="eastAsia" w:ascii="宋体" w:hAnsi="宋体" w:eastAsia="宋体" w:cs="宋体"/>
                <w:bCs/>
                <w:color w:val="auto"/>
                <w:szCs w:val="21"/>
                <w:highlight w:val="none"/>
                <w:lang w:val="zh-CN"/>
              </w:rPr>
            </w:pPr>
            <w:r>
              <w:rPr>
                <w:rFonts w:hint="eastAsia" w:ascii="宋体" w:hAnsi="宋体" w:eastAsia="宋体" w:cs="宋体"/>
                <w:b/>
                <w:color w:val="auto"/>
                <w:szCs w:val="21"/>
                <w:highlight w:val="none"/>
              </w:rPr>
              <w:t>★</w:t>
            </w:r>
            <w:r>
              <w:rPr>
                <w:rFonts w:hint="eastAsia" w:ascii="宋体" w:hAnsi="宋体" w:eastAsia="宋体" w:cs="宋体"/>
                <w:bCs/>
                <w:color w:val="auto"/>
                <w:szCs w:val="21"/>
                <w:highlight w:val="none"/>
                <w:lang w:val="zh-CN"/>
              </w:rPr>
              <w:t>联合体投标</w:t>
            </w:r>
          </w:p>
        </w:tc>
        <w:tc>
          <w:tcPr>
            <w:tcW w:w="6813" w:type="dxa"/>
            <w:vAlign w:val="center"/>
          </w:tcPr>
          <w:p w14:paraId="1D0E1F90">
            <w:pPr>
              <w:autoSpaceDE w:val="0"/>
              <w:autoSpaceDN w:val="0"/>
              <w:adjustRightInd w:val="0"/>
              <w:spacing w:line="276" w:lineRule="auto"/>
              <w:rPr>
                <w:rFonts w:hint="eastAsia" w:ascii="宋体" w:hAnsi="宋体" w:eastAsia="宋体" w:cs="宋体"/>
                <w:bCs/>
                <w:color w:val="auto"/>
                <w:szCs w:val="21"/>
                <w:highlight w:val="none"/>
                <w:lang w:val="zh-CN"/>
              </w:rPr>
            </w:pPr>
            <w:r>
              <w:rPr>
                <w:rFonts w:hint="eastAsia" w:ascii="宋体" w:hAnsi="宋体" w:eastAsia="宋体" w:cs="宋体"/>
                <w:color w:val="auto"/>
                <w:kern w:val="0"/>
                <w:szCs w:val="21"/>
                <w:highlight w:val="none"/>
              </w:rPr>
              <w:t>本项目</w:t>
            </w:r>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szCs w:val="21"/>
                <w:highlight w:val="none"/>
                <w:lang w:val="zh-CN"/>
              </w:rPr>
              <w:fldChar w:fldCharType="end"/>
            </w:r>
            <w:r>
              <w:rPr>
                <w:rFonts w:hint="eastAsia" w:ascii="宋体" w:hAnsi="宋体" w:eastAsia="宋体" w:cs="宋体"/>
                <w:color w:val="auto"/>
                <w:kern w:val="0"/>
                <w:szCs w:val="21"/>
                <w:highlight w:val="none"/>
              </w:rPr>
              <w:t>不接受</w:t>
            </w:r>
            <w:r>
              <w:rPr>
                <w:rFonts w:hint="eastAsia" w:ascii="宋体" w:hAnsi="宋体" w:eastAsia="宋体" w:cs="宋体"/>
                <w:bCs/>
                <w:color w:val="auto"/>
                <w:szCs w:val="21"/>
                <w:highlight w:val="none"/>
                <w:lang w:val="zh-CN"/>
              </w:rPr>
              <w:t>☑接受</w:t>
            </w:r>
            <w:r>
              <w:rPr>
                <w:rFonts w:hint="eastAsia" w:ascii="宋体" w:hAnsi="宋体" w:eastAsia="宋体" w:cs="宋体"/>
                <w:color w:val="auto"/>
                <w:kern w:val="0"/>
                <w:szCs w:val="21"/>
                <w:highlight w:val="none"/>
              </w:rPr>
              <w:t>联合体</w:t>
            </w:r>
          </w:p>
        </w:tc>
      </w:tr>
      <w:tr w14:paraId="4A90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08A7BB5">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268" w:type="dxa"/>
            <w:vAlign w:val="center"/>
          </w:tcPr>
          <w:p w14:paraId="780D8B03">
            <w:pPr>
              <w:autoSpaceDE w:val="0"/>
              <w:autoSpaceDN w:val="0"/>
              <w:adjustRightInd w:val="0"/>
              <w:spacing w:line="276"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最高限价</w:t>
            </w:r>
          </w:p>
        </w:tc>
        <w:tc>
          <w:tcPr>
            <w:tcW w:w="6813" w:type="dxa"/>
            <w:vAlign w:val="center"/>
          </w:tcPr>
          <w:p w14:paraId="2B49DA5A">
            <w:pPr>
              <w:tabs>
                <w:tab w:val="left" w:pos="7095"/>
              </w:tabs>
              <w:spacing w:line="384" w:lineRule="auto"/>
              <w:contextualSpacing/>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lang w:val="en-US" w:eastAsia="zh-CN"/>
              </w:rPr>
              <w:t>36500000.00元，超过最高限价投标无效</w:t>
            </w:r>
            <w:r>
              <w:rPr>
                <w:rFonts w:hint="eastAsia" w:ascii="宋体" w:hAnsi="宋体" w:eastAsia="宋体" w:cs="宋体"/>
                <w:bCs/>
                <w:color w:val="auto"/>
                <w:szCs w:val="21"/>
                <w:highlight w:val="none"/>
                <w:lang w:val="zh-CN"/>
              </w:rPr>
              <w:t>。</w:t>
            </w:r>
          </w:p>
        </w:tc>
      </w:tr>
      <w:tr w14:paraId="2223F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1DABFA1A">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2268" w:type="dxa"/>
            <w:vAlign w:val="center"/>
          </w:tcPr>
          <w:p w14:paraId="43501947">
            <w:pPr>
              <w:autoSpaceDE w:val="0"/>
              <w:autoSpaceDN w:val="0"/>
              <w:adjustRightInd w:val="0"/>
              <w:spacing w:line="276"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现场考察</w:t>
            </w:r>
          </w:p>
        </w:tc>
        <w:tc>
          <w:tcPr>
            <w:tcW w:w="6813" w:type="dxa"/>
            <w:vAlign w:val="center"/>
          </w:tcPr>
          <w:p w14:paraId="76C1F63E">
            <w:pPr>
              <w:autoSpaceDE w:val="0"/>
              <w:autoSpaceDN w:val="0"/>
              <w:adjustRightInd w:val="0"/>
              <w:spacing w:line="360" w:lineRule="auto"/>
              <w:rPr>
                <w:rFonts w:hint="eastAsia"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position w:val="2"/>
                <w:szCs w:val="21"/>
                <w:highlight w:val="none"/>
                <w:lang w:val="zh-CN"/>
              </w:rPr>
              <w:instrText xml:space="preserve">√</w:instrText>
            </w:r>
            <w:r>
              <w:rPr>
                <w:rFonts w:hint="eastAsia" w:ascii="宋体" w:hAnsi="宋体" w:eastAsia="宋体" w:cs="宋体"/>
                <w:b/>
                <w:color w:val="auto"/>
                <w:kern w:val="0"/>
                <w:szCs w:val="21"/>
                <w:highlight w:val="none"/>
                <w:lang w:val="zh-CN"/>
              </w:rPr>
              <w:instrText xml:space="preserve">)</w:instrText>
            </w:r>
            <w:r>
              <w:rPr>
                <w:rFonts w:hint="eastAsia" w:ascii="宋体" w:hAnsi="宋体" w:eastAsia="宋体" w:cs="宋体"/>
                <w:b/>
                <w:color w:val="auto"/>
                <w:kern w:val="0"/>
                <w:szCs w:val="21"/>
                <w:highlight w:val="none"/>
                <w:lang w:val="zh-CN"/>
              </w:rPr>
              <w:fldChar w:fldCharType="end"/>
            </w:r>
            <w:r>
              <w:rPr>
                <w:rFonts w:hint="eastAsia" w:ascii="宋体" w:hAnsi="宋体" w:eastAsia="宋体" w:cs="宋体"/>
                <w:bCs/>
                <w:color w:val="auto"/>
                <w:szCs w:val="21"/>
                <w:highlight w:val="none"/>
                <w:lang w:val="zh-CN"/>
              </w:rPr>
              <w:t>不组织</w:t>
            </w:r>
          </w:p>
          <w:p w14:paraId="7E111B72">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
                <w:bCs/>
                <w:color w:val="auto"/>
                <w:szCs w:val="21"/>
                <w:highlight w:val="none"/>
                <w:lang w:val="zh-CN"/>
              </w:rPr>
              <w:t>□</w:t>
            </w:r>
            <w:r>
              <w:rPr>
                <w:rFonts w:hint="eastAsia" w:ascii="宋体" w:hAnsi="宋体" w:eastAsia="宋体" w:cs="宋体"/>
                <w:bCs/>
                <w:color w:val="auto"/>
                <w:szCs w:val="21"/>
                <w:highlight w:val="none"/>
                <w:lang w:val="zh-CN"/>
              </w:rPr>
              <w:t>组织，时间：      地点：</w:t>
            </w:r>
          </w:p>
        </w:tc>
      </w:tr>
      <w:tr w14:paraId="0752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683C92FC">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2268" w:type="dxa"/>
            <w:vAlign w:val="center"/>
          </w:tcPr>
          <w:p w14:paraId="3FAD82D0">
            <w:pPr>
              <w:autoSpaceDE w:val="0"/>
              <w:autoSpaceDN w:val="0"/>
              <w:adjustRightInd w:val="0"/>
              <w:spacing w:line="276"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开标前答疑会</w:t>
            </w:r>
          </w:p>
        </w:tc>
        <w:tc>
          <w:tcPr>
            <w:tcW w:w="6813" w:type="dxa"/>
            <w:vAlign w:val="center"/>
          </w:tcPr>
          <w:p w14:paraId="1B2EE8E0">
            <w:pPr>
              <w:autoSpaceDE w:val="0"/>
              <w:autoSpaceDN w:val="0"/>
              <w:adjustRightInd w:val="0"/>
              <w:spacing w:line="360" w:lineRule="auto"/>
              <w:rPr>
                <w:rFonts w:hint="eastAsia"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position w:val="2"/>
                <w:szCs w:val="21"/>
                <w:highlight w:val="none"/>
                <w:lang w:val="zh-CN"/>
              </w:rPr>
              <w:instrText xml:space="preserve">√</w:instrText>
            </w:r>
            <w:r>
              <w:rPr>
                <w:rFonts w:hint="eastAsia" w:ascii="宋体" w:hAnsi="宋体" w:eastAsia="宋体" w:cs="宋体"/>
                <w:b/>
                <w:color w:val="auto"/>
                <w:kern w:val="0"/>
                <w:szCs w:val="21"/>
                <w:highlight w:val="none"/>
                <w:lang w:val="zh-CN"/>
              </w:rPr>
              <w:instrText xml:space="preserve">)</w:instrText>
            </w:r>
            <w:r>
              <w:rPr>
                <w:rFonts w:hint="eastAsia" w:ascii="宋体" w:hAnsi="宋体" w:eastAsia="宋体" w:cs="宋体"/>
                <w:b/>
                <w:color w:val="auto"/>
                <w:kern w:val="0"/>
                <w:szCs w:val="21"/>
                <w:highlight w:val="none"/>
                <w:lang w:val="zh-CN"/>
              </w:rPr>
              <w:fldChar w:fldCharType="end"/>
            </w:r>
            <w:r>
              <w:rPr>
                <w:rFonts w:hint="eastAsia" w:ascii="宋体" w:hAnsi="宋体" w:eastAsia="宋体" w:cs="宋体"/>
                <w:bCs/>
                <w:color w:val="auto"/>
                <w:szCs w:val="21"/>
                <w:highlight w:val="none"/>
                <w:lang w:val="zh-CN"/>
              </w:rPr>
              <w:t>不召开</w:t>
            </w:r>
          </w:p>
          <w:p w14:paraId="578C2C80">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□召开，时间：      地点：</w:t>
            </w:r>
          </w:p>
        </w:tc>
      </w:tr>
      <w:tr w14:paraId="0E3B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9A736B6">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2268" w:type="dxa"/>
            <w:vAlign w:val="center"/>
          </w:tcPr>
          <w:p w14:paraId="5F4FC614">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进口产品参与</w:t>
            </w:r>
          </w:p>
        </w:tc>
        <w:tc>
          <w:tcPr>
            <w:tcW w:w="6813" w:type="dxa"/>
            <w:vAlign w:val="center"/>
          </w:tcPr>
          <w:p w14:paraId="59B8F553">
            <w:pPr>
              <w:autoSpaceDE w:val="0"/>
              <w:autoSpaceDN w:val="0"/>
              <w:adjustRightInd w:val="0"/>
              <w:spacing w:line="276" w:lineRule="auto"/>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position w:val="2"/>
                <w:szCs w:val="21"/>
                <w:highlight w:val="none"/>
                <w:lang w:val="zh-CN"/>
              </w:rPr>
              <w:instrText xml:space="preserve">√</w:instrText>
            </w:r>
            <w:r>
              <w:rPr>
                <w:rFonts w:hint="eastAsia" w:ascii="宋体" w:hAnsi="宋体" w:eastAsia="宋体" w:cs="宋体"/>
                <w:b/>
                <w:color w:val="auto"/>
                <w:kern w:val="0"/>
                <w:szCs w:val="21"/>
                <w:highlight w:val="none"/>
                <w:lang w:val="zh-CN"/>
              </w:rPr>
              <w:instrText xml:space="preserve">)</w:instrText>
            </w:r>
            <w:r>
              <w:rPr>
                <w:rFonts w:hint="eastAsia" w:ascii="宋体" w:hAnsi="宋体" w:eastAsia="宋体" w:cs="宋体"/>
                <w:b/>
                <w:color w:val="auto"/>
                <w:kern w:val="0"/>
                <w:szCs w:val="21"/>
                <w:highlight w:val="none"/>
                <w:lang w:val="zh-CN"/>
              </w:rPr>
              <w:fldChar w:fldCharType="end"/>
            </w:r>
            <w:r>
              <w:rPr>
                <w:rFonts w:hint="eastAsia" w:ascii="宋体" w:hAnsi="宋体" w:eastAsia="宋体" w:cs="宋体"/>
                <w:bCs/>
                <w:color w:val="auto"/>
                <w:szCs w:val="21"/>
                <w:highlight w:val="none"/>
                <w:lang w:val="zh-CN"/>
              </w:rPr>
              <w:t xml:space="preserve">不允许    </w:t>
            </w:r>
            <w:r>
              <w:rPr>
                <w:rFonts w:hint="eastAsia" w:ascii="宋体" w:hAnsi="宋体" w:eastAsia="宋体" w:cs="宋体"/>
                <w:b/>
                <w:bCs/>
                <w:color w:val="auto"/>
                <w:szCs w:val="21"/>
                <w:highlight w:val="none"/>
                <w:lang w:val="zh-CN"/>
              </w:rPr>
              <w:t>□</w:t>
            </w:r>
            <w:r>
              <w:rPr>
                <w:rFonts w:hint="eastAsia" w:ascii="宋体" w:hAnsi="宋体" w:eastAsia="宋体" w:cs="宋体"/>
                <w:color w:val="auto"/>
                <w:szCs w:val="21"/>
                <w:highlight w:val="none"/>
              </w:rPr>
              <w:t>允许</w:t>
            </w:r>
          </w:p>
        </w:tc>
      </w:tr>
      <w:tr w14:paraId="7AB6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9279B12">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2268" w:type="dxa"/>
            <w:vAlign w:val="center"/>
          </w:tcPr>
          <w:p w14:paraId="3ABF4339">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投标有效期</w:t>
            </w:r>
          </w:p>
        </w:tc>
        <w:tc>
          <w:tcPr>
            <w:tcW w:w="6813" w:type="dxa"/>
            <w:vAlign w:val="center"/>
          </w:tcPr>
          <w:p w14:paraId="7D8E8F7F">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90天（自</w:t>
            </w:r>
            <w:r>
              <w:rPr>
                <w:rFonts w:hint="eastAsia" w:ascii="宋体" w:hAnsi="宋体" w:eastAsia="宋体" w:cs="宋体"/>
                <w:color w:val="auto"/>
                <w:kern w:val="0"/>
                <w:szCs w:val="21"/>
                <w:highlight w:val="none"/>
              </w:rPr>
              <w:t>提交投标文件的截止之日起算</w:t>
            </w:r>
            <w:r>
              <w:rPr>
                <w:rFonts w:hint="eastAsia" w:ascii="宋体" w:hAnsi="宋体" w:eastAsia="宋体" w:cs="宋体"/>
                <w:color w:val="auto"/>
                <w:szCs w:val="21"/>
                <w:highlight w:val="none"/>
              </w:rPr>
              <w:t>）</w:t>
            </w:r>
          </w:p>
          <w:p w14:paraId="64929A3B">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中标人投标有效期延至合同验收之日，</w:t>
            </w:r>
            <w:r>
              <w:rPr>
                <w:rFonts w:hint="eastAsia" w:ascii="宋体" w:hAnsi="宋体" w:eastAsia="宋体" w:cs="宋体"/>
                <w:color w:val="auto"/>
                <w:kern w:val="0"/>
                <w:szCs w:val="21"/>
                <w:highlight w:val="none"/>
              </w:rPr>
              <w:t>中标人全部合同义务履行完毕为止。</w:t>
            </w:r>
          </w:p>
        </w:tc>
      </w:tr>
      <w:tr w14:paraId="2E2D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7A142C3">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2268" w:type="dxa"/>
            <w:vAlign w:val="center"/>
          </w:tcPr>
          <w:p w14:paraId="39B2D649">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成交供应商将本项目非主体、非关键性工作分包</w:t>
            </w:r>
          </w:p>
        </w:tc>
        <w:tc>
          <w:tcPr>
            <w:tcW w:w="6813" w:type="dxa"/>
            <w:vAlign w:val="center"/>
          </w:tcPr>
          <w:p w14:paraId="4831356B">
            <w:pPr>
              <w:autoSpaceDE w:val="0"/>
              <w:autoSpaceDN w:val="0"/>
              <w:adjustRightInd w:val="0"/>
              <w:spacing w:line="276" w:lineRule="auto"/>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position w:val="2"/>
                <w:szCs w:val="21"/>
                <w:highlight w:val="none"/>
                <w:lang w:val="zh-CN"/>
              </w:rPr>
              <w:instrText xml:space="preserve">√</w:instrText>
            </w:r>
            <w:r>
              <w:rPr>
                <w:rFonts w:hint="eastAsia" w:ascii="宋体" w:hAnsi="宋体" w:eastAsia="宋体" w:cs="宋体"/>
                <w:b/>
                <w:color w:val="auto"/>
                <w:kern w:val="0"/>
                <w:szCs w:val="21"/>
                <w:highlight w:val="none"/>
                <w:lang w:val="zh-CN"/>
              </w:rPr>
              <w:instrText xml:space="preserve">)</w:instrText>
            </w:r>
            <w:r>
              <w:rPr>
                <w:rFonts w:hint="eastAsia" w:ascii="宋体" w:hAnsi="宋体" w:eastAsia="宋体" w:cs="宋体"/>
                <w:b/>
                <w:color w:val="auto"/>
                <w:kern w:val="0"/>
                <w:szCs w:val="21"/>
                <w:highlight w:val="none"/>
                <w:lang w:val="zh-CN"/>
              </w:rPr>
              <w:fldChar w:fldCharType="end"/>
            </w:r>
            <w:r>
              <w:rPr>
                <w:rFonts w:hint="eastAsia" w:ascii="宋体" w:hAnsi="宋体" w:eastAsia="宋体" w:cs="宋体"/>
                <w:bCs/>
                <w:color w:val="auto"/>
                <w:szCs w:val="21"/>
                <w:highlight w:val="none"/>
                <w:lang w:val="zh-CN"/>
              </w:rPr>
              <w:t xml:space="preserve">不允许   </w:t>
            </w:r>
            <w:r>
              <w:rPr>
                <w:rFonts w:hint="eastAsia" w:ascii="宋体" w:hAnsi="宋体" w:eastAsia="宋体" w:cs="宋体"/>
                <w:b/>
                <w:bCs/>
                <w:color w:val="auto"/>
                <w:szCs w:val="21"/>
                <w:highlight w:val="none"/>
                <w:lang w:val="zh-CN"/>
              </w:rPr>
              <w:t>□</w:t>
            </w:r>
            <w:r>
              <w:rPr>
                <w:rFonts w:hint="eastAsia" w:ascii="宋体" w:hAnsi="宋体" w:eastAsia="宋体" w:cs="宋体"/>
                <w:color w:val="auto"/>
                <w:szCs w:val="21"/>
                <w:highlight w:val="none"/>
              </w:rPr>
              <w:t>允许</w:t>
            </w:r>
          </w:p>
        </w:tc>
      </w:tr>
      <w:tr w14:paraId="5296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D02B819">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2268" w:type="dxa"/>
            <w:vAlign w:val="center"/>
          </w:tcPr>
          <w:p w14:paraId="3E63F95D">
            <w:pPr>
              <w:autoSpaceDE w:val="0"/>
              <w:autoSpaceDN w:val="0"/>
              <w:adjustRightInd w:val="0"/>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shd w:val="clear" w:color="auto" w:fill="FFFFFF"/>
              </w:rPr>
              <w:t>投标文件提交截止</w:t>
            </w:r>
            <w:r>
              <w:rPr>
                <w:rFonts w:hint="eastAsia" w:ascii="宋体" w:hAnsi="宋体" w:eastAsia="宋体" w:cs="宋体"/>
                <w:bCs/>
                <w:color w:val="auto"/>
                <w:szCs w:val="21"/>
                <w:highlight w:val="none"/>
                <w:lang w:val="zh-CN"/>
              </w:rPr>
              <w:t>及开标时间</w:t>
            </w:r>
          </w:p>
        </w:tc>
        <w:tc>
          <w:tcPr>
            <w:tcW w:w="6813" w:type="dxa"/>
            <w:vAlign w:val="center"/>
          </w:tcPr>
          <w:p w14:paraId="6F3436E1">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08</w:t>
            </w:r>
            <w:r>
              <w:rPr>
                <w:rFonts w:hint="eastAsia" w:ascii="宋体" w:hAnsi="宋体" w:eastAsia="宋体" w:cs="宋体"/>
                <w:color w:val="auto"/>
                <w:szCs w:val="21"/>
                <w:highlight w:val="none"/>
                <w:lang w:val="zh-CN"/>
              </w:rPr>
              <w:t>时30分（北京时间）</w:t>
            </w:r>
          </w:p>
        </w:tc>
      </w:tr>
      <w:tr w14:paraId="28C6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BC94A5D">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2268" w:type="dxa"/>
            <w:vAlign w:val="center"/>
          </w:tcPr>
          <w:p w14:paraId="786FC862">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w:t>
            </w:r>
          </w:p>
          <w:p w14:paraId="7B99DD45">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开启地点</w:t>
            </w:r>
          </w:p>
        </w:tc>
        <w:tc>
          <w:tcPr>
            <w:tcW w:w="6813" w:type="dxa"/>
            <w:vAlign w:val="center"/>
          </w:tcPr>
          <w:p w14:paraId="623C938A">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禹州市公共资源交易中心开标</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室（地址：禹州市行政服务中心楼九楼）（</w:t>
            </w:r>
            <w:r>
              <w:rPr>
                <w:rFonts w:hint="eastAsia" w:ascii="宋体" w:hAnsi="宋体" w:eastAsia="宋体" w:cs="宋体"/>
                <w:b/>
                <w:color w:val="auto"/>
                <w:szCs w:val="21"/>
                <w:highlight w:val="none"/>
              </w:rPr>
              <w:t>本项目采用远程不见面开标，供应商无须到达现场</w:t>
            </w:r>
            <w:r>
              <w:rPr>
                <w:rFonts w:hint="eastAsia" w:ascii="宋体" w:hAnsi="宋体" w:eastAsia="宋体" w:cs="宋体"/>
                <w:color w:val="auto"/>
                <w:szCs w:val="21"/>
                <w:highlight w:val="none"/>
              </w:rPr>
              <w:t>）</w:t>
            </w:r>
          </w:p>
        </w:tc>
      </w:tr>
      <w:tr w14:paraId="6F83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698D4C1">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2268" w:type="dxa"/>
            <w:vAlign w:val="center"/>
          </w:tcPr>
          <w:p w14:paraId="7D740F4C">
            <w:pPr>
              <w:autoSpaceDE w:val="0"/>
              <w:autoSpaceDN w:val="0"/>
              <w:adjustRightInd w:val="0"/>
              <w:spacing w:line="276" w:lineRule="auto"/>
              <w:jc w:val="center"/>
              <w:rPr>
                <w:rFonts w:hint="eastAsia" w:ascii="宋体" w:hAnsi="宋体" w:eastAsia="宋体" w:cs="宋体"/>
                <w:bCs/>
                <w:color w:val="auto"/>
                <w:szCs w:val="21"/>
                <w:highlight w:val="none"/>
                <w:lang w:val="zh-CN"/>
              </w:rPr>
            </w:pPr>
            <w:r>
              <w:rPr>
                <w:rFonts w:hint="eastAsia" w:ascii="宋体" w:hAnsi="宋体" w:eastAsia="宋体" w:cs="宋体"/>
                <w:color w:val="auto"/>
                <w:kern w:val="0"/>
                <w:szCs w:val="21"/>
                <w:highlight w:val="none"/>
              </w:rPr>
              <w:t>投标保证金</w:t>
            </w:r>
          </w:p>
        </w:tc>
        <w:tc>
          <w:tcPr>
            <w:tcW w:w="6813" w:type="dxa"/>
            <w:vAlign w:val="center"/>
          </w:tcPr>
          <w:p w14:paraId="378BF668">
            <w:pPr>
              <w:tabs>
                <w:tab w:val="left" w:pos="1260"/>
              </w:tabs>
              <w:autoSpaceDE w:val="0"/>
              <w:autoSpaceDN w:val="0"/>
              <w:adjustRightInd w:val="0"/>
              <w:spacing w:line="360" w:lineRule="auto"/>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本项目不收取。</w:t>
            </w:r>
          </w:p>
          <w:p w14:paraId="31BBE3E3">
            <w:pPr>
              <w:tabs>
                <w:tab w:val="left" w:pos="1260"/>
              </w:tabs>
              <w:autoSpaceDE w:val="0"/>
              <w:autoSpaceDN w:val="0"/>
              <w:spacing w:line="360" w:lineRule="auto"/>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供应商应提供投标承诺函。</w:t>
            </w:r>
          </w:p>
        </w:tc>
      </w:tr>
      <w:tr w14:paraId="113B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386E7D4A">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2268" w:type="dxa"/>
            <w:vAlign w:val="center"/>
          </w:tcPr>
          <w:p w14:paraId="4AE88646">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公告发布</w:t>
            </w:r>
          </w:p>
        </w:tc>
        <w:tc>
          <w:tcPr>
            <w:tcW w:w="6813" w:type="dxa"/>
            <w:tcBorders>
              <w:top w:val="single" w:color="auto" w:sz="4" w:space="0"/>
            </w:tcBorders>
            <w:vAlign w:val="center"/>
          </w:tcPr>
          <w:p w14:paraId="6E03D0B8">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采购公告、成交公告、变更（更正）公告、现场勘察答复等相关信息同时在以下网站发布：《河南省政府采购网》《许昌市政府采购网》《全国公共资源交易平台（河南省·许昌市）》。</w:t>
            </w:r>
          </w:p>
        </w:tc>
      </w:tr>
      <w:tr w14:paraId="5086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223BD76">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2268" w:type="dxa"/>
            <w:vAlign w:val="center"/>
          </w:tcPr>
          <w:p w14:paraId="387CB543">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采购人澄清或修改</w:t>
            </w:r>
          </w:p>
          <w:p w14:paraId="7DB8966B">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招标文件时间</w:t>
            </w:r>
          </w:p>
        </w:tc>
        <w:tc>
          <w:tcPr>
            <w:tcW w:w="6813" w:type="dxa"/>
            <w:vAlign w:val="center"/>
          </w:tcPr>
          <w:p w14:paraId="630C8E9C">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投标截</w:t>
            </w:r>
            <w:r>
              <w:rPr>
                <w:rFonts w:hint="eastAsia" w:ascii="宋体" w:hAnsi="宋体" w:eastAsia="宋体" w:cs="宋体"/>
                <w:bCs/>
                <w:color w:val="auto"/>
                <w:szCs w:val="21"/>
                <w:highlight w:val="none"/>
                <w:lang w:val="zh-CN"/>
              </w:rPr>
              <w:t>止时间</w:t>
            </w:r>
            <w:r>
              <w:rPr>
                <w:rFonts w:hint="eastAsia" w:ascii="宋体" w:hAnsi="宋体" w:eastAsia="宋体" w:cs="宋体"/>
                <w:bCs/>
                <w:color w:val="auto"/>
                <w:szCs w:val="21"/>
                <w:highlight w:val="none"/>
              </w:rPr>
              <w:t>15</w:t>
            </w:r>
            <w:r>
              <w:rPr>
                <w:rFonts w:hint="eastAsia" w:ascii="宋体" w:hAnsi="宋体" w:eastAsia="宋体" w:cs="宋体"/>
                <w:bCs/>
                <w:color w:val="auto"/>
                <w:szCs w:val="21"/>
                <w:highlight w:val="none"/>
                <w:lang w:val="zh-CN"/>
              </w:rPr>
              <w:t>日前（</w:t>
            </w:r>
            <w:r>
              <w:rPr>
                <w:rFonts w:hint="eastAsia" w:ascii="宋体" w:hAnsi="宋体" w:eastAsia="宋体" w:cs="宋体"/>
                <w:color w:val="auto"/>
                <w:szCs w:val="21"/>
                <w:highlight w:val="none"/>
                <w:lang w:val="zh-CN"/>
              </w:rPr>
              <w:t>澄清内</w:t>
            </w:r>
            <w:r>
              <w:rPr>
                <w:rFonts w:hint="eastAsia" w:ascii="宋体" w:hAnsi="宋体" w:eastAsia="宋体" w:cs="宋体"/>
                <w:color w:val="auto"/>
                <w:szCs w:val="21"/>
                <w:highlight w:val="none"/>
                <w:lang w:val="zh-CN"/>
              </w:rPr>
              <w:t>容可能影响投标文件编制的）</w:t>
            </w:r>
          </w:p>
        </w:tc>
      </w:tr>
      <w:tr w14:paraId="31034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FC201AB">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2268" w:type="dxa"/>
            <w:vAlign w:val="center"/>
          </w:tcPr>
          <w:p w14:paraId="46F39216">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供应商对招标文件</w:t>
            </w:r>
          </w:p>
          <w:p w14:paraId="29DB1FFF">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质疑截止时间</w:t>
            </w:r>
          </w:p>
        </w:tc>
        <w:tc>
          <w:tcPr>
            <w:tcW w:w="6813" w:type="dxa"/>
            <w:vAlign w:val="center"/>
          </w:tcPr>
          <w:p w14:paraId="63766A6D">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采购公告期满之日起七个工作日</w:t>
            </w:r>
          </w:p>
        </w:tc>
      </w:tr>
      <w:tr w14:paraId="70DF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CD9EE8D">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2268" w:type="dxa"/>
            <w:vAlign w:val="center"/>
          </w:tcPr>
          <w:p w14:paraId="6AE73226">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投标文件份数</w:t>
            </w:r>
          </w:p>
        </w:tc>
        <w:tc>
          <w:tcPr>
            <w:tcW w:w="6813" w:type="dxa"/>
            <w:vAlign w:val="center"/>
          </w:tcPr>
          <w:p w14:paraId="2B17E794">
            <w:pPr>
              <w:autoSpaceDE w:val="0"/>
              <w:autoSpaceDN w:val="0"/>
              <w:adjustRightInd w:val="0"/>
              <w:spacing w:line="340" w:lineRule="exact"/>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eq \o\ac(</w:instrText>
            </w:r>
            <w:r>
              <w:rPr>
                <w:rFonts w:hint="eastAsia" w:ascii="宋体" w:hAnsi="宋体" w:eastAsia="宋体" w:cs="宋体"/>
                <w:b w:val="0"/>
                <w:bCs/>
                <w:color w:val="auto"/>
                <w:position w:val="-4"/>
                <w:sz w:val="31"/>
                <w:szCs w:val="21"/>
                <w:highlight w:val="none"/>
              </w:rPr>
              <w:instrText xml:space="preserve">□</w:instrText>
            </w:r>
            <w:r>
              <w:rPr>
                <w:rFonts w:hint="eastAsia" w:ascii="宋体" w:hAnsi="宋体" w:eastAsia="宋体" w:cs="宋体"/>
                <w:b w:val="0"/>
                <w:bCs/>
                <w:color w:val="auto"/>
                <w:position w:val="0"/>
                <w:sz w:val="21"/>
                <w:szCs w:val="21"/>
                <w:highlight w:val="none"/>
              </w:rPr>
              <w:instrText xml:space="preserve">,√)</w:instrText>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olor w:val="auto"/>
                <w:sz w:val="21"/>
                <w:szCs w:val="21"/>
                <w:highlight w:val="none"/>
              </w:rPr>
              <w:t>电子投标文件</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zh-CN"/>
              </w:rPr>
              <w:t>成功上传至《全国公共资源交易平台（河南省·许昌市）》公共资源交易系统加密电子投标文件1份（后缀格式为“</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zh-CN"/>
              </w:rPr>
              <w:t>XCSTF”的加密电子响应文件）。</w:t>
            </w:r>
          </w:p>
          <w:p w14:paraId="2B0CCE7F">
            <w:pPr>
              <w:autoSpaceDE w:val="0"/>
              <w:autoSpaceDN w:val="0"/>
              <w:adjustRightInd w:val="0"/>
              <w:spacing w:line="340" w:lineRule="exact"/>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注：供应商登录“全国公共资源交易平台（河南省·许昌市）”下载“新点投标文件制作软件（河南省版）”的最新版本制作电子响应文件。</w:t>
            </w:r>
          </w:p>
          <w:p w14:paraId="6789C201">
            <w:pPr>
              <w:autoSpaceDE w:val="0"/>
              <w:autoSpaceDN w:val="0"/>
              <w:adjustRightInd w:val="0"/>
              <w:spacing w:line="360" w:lineRule="auto"/>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供应商对同一项目多个标段进行响应的，应分别下载所投标段的招标文件，按标段制作响应文件。一个标段对应生成2份电子响应文件（后缀格式为</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zh-CN"/>
              </w:rPr>
              <w:t>XCSTF和</w:t>
            </w:r>
            <w:r>
              <w:rPr>
                <w:rFonts w:hint="eastAsia" w:ascii="宋体" w:hAnsi="宋体" w:eastAsia="宋体" w:cs="宋体"/>
                <w:b w:val="0"/>
                <w:bCs/>
                <w:color w:val="auto"/>
                <w:sz w:val="21"/>
                <w:szCs w:val="21"/>
                <w:highlight w:val="none"/>
                <w:lang w:val="en-US" w:eastAsia="zh-CN"/>
              </w:rPr>
              <w:t>.n</w:t>
            </w:r>
            <w:r>
              <w:rPr>
                <w:rFonts w:hint="eastAsia" w:ascii="宋体" w:hAnsi="宋体" w:eastAsia="宋体" w:cs="宋体"/>
                <w:b w:val="0"/>
                <w:bCs/>
                <w:color w:val="auto"/>
                <w:sz w:val="21"/>
                <w:szCs w:val="21"/>
                <w:highlight w:val="none"/>
                <w:lang w:val="zh-CN"/>
              </w:rPr>
              <w:t>XCSTF），其中后缀格式为</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zh-CN"/>
              </w:rPr>
              <w:t>XCSTF的加密电子响应文件用于上传至交易系统中投标。</w:t>
            </w:r>
          </w:p>
        </w:tc>
      </w:tr>
      <w:tr w14:paraId="2FFA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EDB6D82">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2268" w:type="dxa"/>
            <w:vAlign w:val="center"/>
          </w:tcPr>
          <w:p w14:paraId="52059DCC">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投标文件的</w:t>
            </w:r>
          </w:p>
          <w:p w14:paraId="0172C5A6">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签署盖章</w:t>
            </w:r>
          </w:p>
        </w:tc>
        <w:tc>
          <w:tcPr>
            <w:tcW w:w="6813" w:type="dxa"/>
            <w:vAlign w:val="center"/>
          </w:tcPr>
          <w:p w14:paraId="5B03809A">
            <w:pPr>
              <w:autoSpaceDE w:val="0"/>
              <w:autoSpaceDN w:val="0"/>
              <w:adjustRightInd w:val="0"/>
              <w:spacing w:line="420" w:lineRule="exac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fldChar w:fldCharType="begin"/>
            </w:r>
            <w:r>
              <w:rPr>
                <w:rFonts w:hint="eastAsia" w:ascii="宋体" w:hAnsi="宋体" w:eastAsia="宋体" w:cs="宋体"/>
                <w:b/>
                <w:color w:val="auto"/>
                <w:szCs w:val="21"/>
                <w:highlight w:val="none"/>
              </w:rPr>
              <w:instrText xml:space="preserve">eq \o\ac(□,√)</w:instrText>
            </w:r>
            <w:r>
              <w:rPr>
                <w:rFonts w:hint="eastAsia" w:ascii="宋体" w:hAnsi="宋体" w:eastAsia="宋体" w:cs="宋体"/>
                <w:b/>
                <w:color w:val="auto"/>
                <w:szCs w:val="21"/>
                <w:highlight w:val="none"/>
              </w:rPr>
              <w:fldChar w:fldCharType="end"/>
            </w:r>
            <w:r>
              <w:rPr>
                <w:rFonts w:hint="eastAsia" w:ascii="宋体" w:hAnsi="宋体" w:eastAsia="宋体" w:cs="宋体"/>
                <w:color w:val="auto"/>
                <w:szCs w:val="21"/>
                <w:highlight w:val="none"/>
              </w:rPr>
              <w:t>电子投标文件：按招标文件要求加盖供应商电子印章和法人电子印章。</w:t>
            </w:r>
          </w:p>
          <w:p w14:paraId="0BBC75CE">
            <w:pPr>
              <w:autoSpaceDE w:val="0"/>
              <w:autoSpaceDN w:val="0"/>
              <w:adjustRightInd w:val="0"/>
              <w:spacing w:line="420" w:lineRule="exa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zh-CN"/>
              </w:rPr>
              <w:t>□</w:t>
            </w:r>
            <w:r>
              <w:rPr>
                <w:rFonts w:hint="eastAsia" w:ascii="宋体" w:hAnsi="宋体" w:eastAsia="宋体" w:cs="宋体"/>
                <w:color w:val="auto"/>
                <w:szCs w:val="21"/>
                <w:highlight w:val="none"/>
              </w:rPr>
              <w:t>纸质投标文件：投标文件封面加盖投标人公章（投标文件是指投标人电子投标文件制作完成后生成的后缀名为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PDF”的文件打印的纸质投标文件）。</w:t>
            </w:r>
          </w:p>
        </w:tc>
      </w:tr>
      <w:tr w14:paraId="3455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69FB9C6">
            <w:pPr>
              <w:autoSpaceDE w:val="0"/>
              <w:autoSpaceDN w:val="0"/>
              <w:adjustRightInd w:val="0"/>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w:t>
            </w:r>
          </w:p>
        </w:tc>
        <w:tc>
          <w:tcPr>
            <w:tcW w:w="2268" w:type="dxa"/>
            <w:vAlign w:val="center"/>
          </w:tcPr>
          <w:p w14:paraId="5DBA1F94">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开标程序</w:t>
            </w:r>
          </w:p>
        </w:tc>
        <w:tc>
          <w:tcPr>
            <w:tcW w:w="6813" w:type="dxa"/>
            <w:vAlign w:val="center"/>
          </w:tcPr>
          <w:p w14:paraId="367AB4CE">
            <w:pPr>
              <w:numPr>
                <w:ilvl w:val="0"/>
                <w:numId w:val="7"/>
              </w:numPr>
              <w:autoSpaceDE w:val="0"/>
              <w:autoSpaceDN w:val="0"/>
              <w:adjustRightInd w:val="0"/>
              <w:spacing w:line="340" w:lineRule="exac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本项目采用远程“不见面”开标方式，投标前请详细阅读“全国公共资源交易平台（河南省·许昌市）”的“服务指南”栏目下《新交易平台使用手册》中的相关内容。</w:t>
            </w:r>
          </w:p>
          <w:p w14:paraId="41C6E393">
            <w:pPr>
              <w:numPr>
                <w:ilvl w:val="0"/>
                <w:numId w:val="7"/>
              </w:numPr>
              <w:autoSpaceDE w:val="0"/>
              <w:autoSpaceDN w:val="0"/>
              <w:adjustRightInd w:val="0"/>
              <w:spacing w:line="340" w:lineRule="exac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供应商应按新交易平台使用手册提前设置好浏览器，并于开标时间前登录本项目网上开标大厅，按照规定的开标时间准时参加网上开标。</w:t>
            </w:r>
          </w:p>
          <w:p w14:paraId="4DE9F55B">
            <w:pPr>
              <w:numPr>
                <w:ilvl w:val="0"/>
                <w:numId w:val="7"/>
              </w:numPr>
              <w:autoSpaceDE w:val="0"/>
              <w:autoSpaceDN w:val="0"/>
              <w:adjustRightInd w:val="0"/>
              <w:spacing w:line="340" w:lineRule="exac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根据开标大厅界面右侧“公告栏”中的系统提示，供应商应在“标书解密”环节完成解密操作。供应商未解密或因供应商原因解密失败的，其响应文件将被退回。</w:t>
            </w:r>
          </w:p>
          <w:p w14:paraId="03E8FB20">
            <w:pPr>
              <w:numPr>
                <w:ilvl w:val="0"/>
                <w:numId w:val="7"/>
              </w:numPr>
              <w:autoSpaceDE w:val="0"/>
              <w:autoSpaceDN w:val="0"/>
              <w:adjustRightInd w:val="0"/>
              <w:spacing w:line="340" w:lineRule="exac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在“唱标”环节，供应商应对唱标信息进行确认，供应商未进行唱标确认操作的，视同认可唱标结果。</w:t>
            </w:r>
          </w:p>
          <w:p w14:paraId="7F29C3E0">
            <w:pPr>
              <w:numPr>
                <w:ilvl w:val="0"/>
                <w:numId w:val="7"/>
              </w:numPr>
              <w:autoSpaceDE w:val="0"/>
              <w:autoSpaceDN w:val="0"/>
              <w:adjustRightInd w:val="0"/>
              <w:spacing w:line="340" w:lineRule="exact"/>
              <w:rPr>
                <w:rFonts w:hint="eastAsia" w:ascii="宋体" w:hAnsi="宋体" w:eastAsia="宋体" w:cs="宋体"/>
                <w:color w:val="auto"/>
                <w:sz w:val="21"/>
                <w:szCs w:val="21"/>
                <w:highlight w:val="none"/>
                <w:lang w:val="zh-CN"/>
              </w:rPr>
            </w:pPr>
            <w:r>
              <w:rPr>
                <w:rFonts w:hint="eastAsia" w:ascii="宋体" w:hAnsi="宋体" w:eastAsia="宋体" w:cs="宋体"/>
                <w:bCs/>
                <w:color w:val="auto"/>
                <w:sz w:val="21"/>
                <w:szCs w:val="21"/>
                <w:highlight w:val="none"/>
                <w:lang w:val="zh-CN"/>
              </w:rPr>
              <w:t>在“开标结束”环节，供应商应在《开标情况记录表》上进行电子签章。供应商未签章的，视同认可开标结果。</w:t>
            </w:r>
          </w:p>
          <w:p w14:paraId="04B00AB8">
            <w:pPr>
              <w:autoSpaceDE w:val="0"/>
              <w:autoSpaceDN w:val="0"/>
              <w:adjustRightInd w:val="0"/>
              <w:spacing w:line="420" w:lineRule="exact"/>
              <w:rPr>
                <w:rFonts w:hint="eastAsia" w:ascii="宋体" w:hAnsi="宋体" w:eastAsia="宋体" w:cs="宋体"/>
                <w:b/>
                <w:bCs/>
                <w:color w:val="auto"/>
                <w:szCs w:val="21"/>
                <w:highlight w:val="none"/>
                <w:lang w:val="zh-CN"/>
              </w:rPr>
            </w:pPr>
            <w:r>
              <w:rPr>
                <w:rFonts w:hint="eastAsia" w:ascii="宋体" w:hAnsi="宋体" w:eastAsia="宋体" w:cs="宋体"/>
                <w:bCs/>
                <w:color w:val="auto"/>
                <w:sz w:val="21"/>
                <w:szCs w:val="21"/>
                <w:highlight w:val="none"/>
                <w:lang w:val="zh-CN"/>
              </w:rPr>
              <w:t>供应商对开标过程和开标记录如有异议，可在本项目开标大厅界面右下方“发起异议”中提出异议。</w:t>
            </w:r>
          </w:p>
        </w:tc>
      </w:tr>
      <w:tr w14:paraId="1AAB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4EC14BE">
            <w:pPr>
              <w:autoSpaceDE w:val="0"/>
              <w:autoSpaceDN w:val="0"/>
              <w:adjustRightInd w:val="0"/>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w:t>
            </w:r>
          </w:p>
        </w:tc>
        <w:tc>
          <w:tcPr>
            <w:tcW w:w="2268" w:type="dxa"/>
            <w:vAlign w:val="center"/>
          </w:tcPr>
          <w:p w14:paraId="47554965">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评标委员会组建</w:t>
            </w:r>
          </w:p>
        </w:tc>
        <w:tc>
          <w:tcPr>
            <w:tcW w:w="6813" w:type="dxa"/>
            <w:vAlign w:val="center"/>
          </w:tcPr>
          <w:p w14:paraId="491D86CE">
            <w:pPr>
              <w:autoSpaceDE w:val="0"/>
              <w:autoSpaceDN w:val="0"/>
              <w:adjustRightInd w:val="0"/>
              <w:spacing w:line="360" w:lineRule="auto"/>
              <w:rPr>
                <w:rFonts w:hint="eastAsia" w:ascii="宋体" w:hAnsi="宋体" w:eastAsia="宋体" w:cs="宋体"/>
                <w:color w:val="auto"/>
                <w:szCs w:val="21"/>
                <w:highlight w:val="none"/>
                <w:lang w:val="zh-CN"/>
              </w:rPr>
            </w:pPr>
            <w:r>
              <w:rPr>
                <w:rFonts w:hint="eastAsia" w:ascii="宋体" w:hAnsi="宋体" w:eastAsia="宋体" w:cs="宋体"/>
                <w:b/>
                <w:color w:val="auto"/>
                <w:szCs w:val="21"/>
                <w:highlight w:val="none"/>
              </w:rPr>
              <w:fldChar w:fldCharType="begin"/>
            </w:r>
            <w:r>
              <w:rPr>
                <w:rFonts w:hint="eastAsia" w:ascii="宋体" w:hAnsi="宋体" w:eastAsia="宋体" w:cs="宋体"/>
                <w:b/>
                <w:color w:val="auto"/>
                <w:szCs w:val="21"/>
                <w:highlight w:val="none"/>
              </w:rPr>
              <w:instrText xml:space="preserve">eq \o\ac(□,</w:instrText>
            </w:r>
            <w:r>
              <w:rPr>
                <w:rFonts w:hint="eastAsia" w:ascii="宋体" w:hAnsi="宋体" w:eastAsia="宋体" w:cs="宋体"/>
                <w:b/>
                <w:color w:val="auto"/>
                <w:position w:val="2"/>
                <w:sz w:val="13"/>
                <w:szCs w:val="21"/>
                <w:highlight w:val="none"/>
              </w:rPr>
              <w:instrText xml:space="preserve">√</w:instrText>
            </w:r>
            <w:r>
              <w:rPr>
                <w:rFonts w:hint="eastAsia" w:ascii="宋体" w:hAnsi="宋体" w:eastAsia="宋体" w:cs="宋体"/>
                <w:b/>
                <w:color w:val="auto"/>
                <w:szCs w:val="21"/>
                <w:highlight w:val="none"/>
              </w:rPr>
              <w:instrText xml:space="preserve">)</w:instrText>
            </w:r>
            <w:r>
              <w:rPr>
                <w:rFonts w:hint="eastAsia" w:ascii="宋体" w:hAnsi="宋体" w:eastAsia="宋体" w:cs="宋体"/>
                <w:b/>
                <w:color w:val="auto"/>
                <w:szCs w:val="21"/>
                <w:highlight w:val="none"/>
              </w:rPr>
              <w:fldChar w:fldCharType="end"/>
            </w:r>
            <w:r>
              <w:rPr>
                <w:rFonts w:hint="eastAsia" w:ascii="宋体" w:hAnsi="宋体" w:eastAsia="宋体" w:cs="宋体"/>
                <w:color w:val="auto"/>
                <w:szCs w:val="21"/>
                <w:highlight w:val="none"/>
                <w:lang w:val="zh-CN"/>
              </w:rPr>
              <w:t>由采购人代表和评审专家组成，其中评审专家的人数不少于评标委员会成员总数的三分之二。评审专家从政府采购评审专家库中随机抽取。</w:t>
            </w:r>
          </w:p>
          <w:p w14:paraId="6DA1DE8A">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
                <w:color w:val="auto"/>
                <w:szCs w:val="21"/>
                <w:highlight w:val="none"/>
              </w:rPr>
              <w:fldChar w:fldCharType="begin"/>
            </w:r>
            <w:r>
              <w:rPr>
                <w:rFonts w:hint="eastAsia" w:ascii="宋体" w:hAnsi="宋体" w:eastAsia="宋体" w:cs="宋体"/>
                <w:b/>
                <w:color w:val="auto"/>
                <w:szCs w:val="21"/>
                <w:highlight w:val="none"/>
              </w:rPr>
              <w:instrText xml:space="preserve">eq \o\ac(□)</w:instrText>
            </w:r>
            <w:r>
              <w:rPr>
                <w:rFonts w:hint="eastAsia" w:ascii="宋体" w:hAnsi="宋体" w:eastAsia="宋体" w:cs="宋体"/>
                <w:b/>
                <w:color w:val="auto"/>
                <w:szCs w:val="21"/>
                <w:highlight w:val="none"/>
              </w:rPr>
              <w:fldChar w:fldCharType="end"/>
            </w:r>
            <w:r>
              <w:rPr>
                <w:rFonts w:hint="eastAsia" w:ascii="宋体" w:hAnsi="宋体" w:eastAsia="宋体" w:cs="宋体"/>
                <w:color w:val="auto"/>
                <w:szCs w:val="21"/>
                <w:highlight w:val="none"/>
                <w:lang w:val="zh-CN"/>
              </w:rPr>
              <w:t>由评审专家组成。评审专家从政府采购评审专家库中随机抽取。</w:t>
            </w:r>
          </w:p>
        </w:tc>
      </w:tr>
      <w:tr w14:paraId="2C86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AB660DA">
            <w:pPr>
              <w:autoSpaceDE w:val="0"/>
              <w:autoSpaceDN w:val="0"/>
              <w:adjustRightInd w:val="0"/>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p>
        </w:tc>
        <w:tc>
          <w:tcPr>
            <w:tcW w:w="2268" w:type="dxa"/>
            <w:vAlign w:val="center"/>
          </w:tcPr>
          <w:p w14:paraId="61A12475">
            <w:pPr>
              <w:autoSpaceDE w:val="0"/>
              <w:autoSpaceDN w:val="0"/>
              <w:adjustRightInd w:val="0"/>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评标方法</w:t>
            </w:r>
          </w:p>
        </w:tc>
        <w:tc>
          <w:tcPr>
            <w:tcW w:w="6813" w:type="dxa"/>
            <w:vAlign w:val="center"/>
          </w:tcPr>
          <w:p w14:paraId="3CB382CD">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position w:val="2"/>
                <w:szCs w:val="21"/>
                <w:highlight w:val="none"/>
                <w:lang w:val="zh-CN"/>
              </w:rPr>
              <w:instrText xml:space="preserve">√</w:instrText>
            </w:r>
            <w:r>
              <w:rPr>
                <w:rFonts w:hint="eastAsia" w:ascii="宋体" w:hAnsi="宋体" w:eastAsia="宋体" w:cs="宋体"/>
                <w:b/>
                <w:color w:val="auto"/>
                <w:kern w:val="0"/>
                <w:szCs w:val="21"/>
                <w:highlight w:val="none"/>
                <w:lang w:val="zh-CN"/>
              </w:rPr>
              <w:instrText xml:space="preserve">)</w:instrText>
            </w:r>
            <w:r>
              <w:rPr>
                <w:rFonts w:hint="eastAsia" w:ascii="宋体" w:hAnsi="宋体" w:eastAsia="宋体" w:cs="宋体"/>
                <w:b/>
                <w:color w:val="auto"/>
                <w:kern w:val="0"/>
                <w:szCs w:val="21"/>
                <w:highlight w:val="none"/>
                <w:lang w:val="zh-CN"/>
              </w:rPr>
              <w:fldChar w:fldCharType="end"/>
            </w:r>
            <w:r>
              <w:rPr>
                <w:rFonts w:hint="eastAsia" w:ascii="宋体" w:hAnsi="宋体" w:eastAsia="宋体" w:cs="宋体"/>
                <w:bCs/>
                <w:color w:val="auto"/>
                <w:szCs w:val="21"/>
                <w:highlight w:val="none"/>
                <w:lang w:val="zh-CN"/>
              </w:rPr>
              <w:t>综合评分法</w:t>
            </w:r>
            <w:r>
              <w:rPr>
                <w:rFonts w:hint="eastAsia" w:ascii="宋体" w:hAnsi="宋体" w:eastAsia="宋体" w:cs="宋体"/>
                <w:b/>
                <w:bCs/>
                <w:color w:val="auto"/>
                <w:szCs w:val="21"/>
                <w:highlight w:val="none"/>
                <w:lang w:val="zh-CN"/>
              </w:rPr>
              <w:t>□</w:t>
            </w:r>
            <w:r>
              <w:rPr>
                <w:rFonts w:hint="eastAsia" w:ascii="宋体" w:hAnsi="宋体" w:eastAsia="宋体" w:cs="宋体"/>
                <w:color w:val="auto"/>
                <w:szCs w:val="21"/>
                <w:highlight w:val="none"/>
                <w:lang w:val="zh-CN"/>
              </w:rPr>
              <w:t>最低评标价法</w:t>
            </w:r>
          </w:p>
        </w:tc>
      </w:tr>
      <w:tr w14:paraId="2A49D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9F46F7F">
            <w:pPr>
              <w:autoSpaceDE w:val="0"/>
              <w:autoSpaceDN w:val="0"/>
              <w:adjustRightInd w:val="0"/>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p>
        </w:tc>
        <w:tc>
          <w:tcPr>
            <w:tcW w:w="2268" w:type="dxa"/>
            <w:vAlign w:val="center"/>
          </w:tcPr>
          <w:p w14:paraId="13C39BB7">
            <w:pPr>
              <w:autoSpaceDE w:val="0"/>
              <w:autoSpaceDN w:val="0"/>
              <w:adjustRightInd w:val="0"/>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授权函</w:t>
            </w:r>
          </w:p>
        </w:tc>
        <w:tc>
          <w:tcPr>
            <w:tcW w:w="6813" w:type="dxa"/>
            <w:vAlign w:val="center"/>
          </w:tcPr>
          <w:p w14:paraId="1F26D208">
            <w:pPr>
              <w:pStyle w:val="40"/>
              <w:spacing w:line="360" w:lineRule="auto"/>
              <w:rPr>
                <w:rFonts w:hint="eastAsia" w:ascii="宋体" w:hAnsi="宋体" w:eastAsia="宋体" w:cs="宋体"/>
                <w:color w:val="auto"/>
                <w:highlight w:val="none"/>
                <w:lang w:val="zh-CN"/>
              </w:rPr>
            </w:pPr>
            <w:r>
              <w:rPr>
                <w:rFonts w:hint="eastAsia" w:ascii="宋体" w:hAnsi="宋体" w:eastAsia="宋体" w:cs="宋体"/>
                <w:color w:val="auto"/>
                <w:szCs w:val="21"/>
                <w:highlight w:val="none"/>
                <w:lang w:val="zh-CN"/>
              </w:rPr>
              <w:t>采购单位委派代表参加资格审查、评审委员会的，须向采购代理机构出具授权函。除授权代表外，采购单位委派纪检监察人员对评标过程实施监督的须进入禹州市公共资源交易中心九楼电子监督室，并向采购代理机构出具授权函，且不得超过2人。</w:t>
            </w:r>
          </w:p>
        </w:tc>
      </w:tr>
      <w:tr w14:paraId="64C3A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16BBA6EB">
            <w:pPr>
              <w:autoSpaceDE w:val="0"/>
              <w:autoSpaceDN w:val="0"/>
              <w:adjustRightInd w:val="0"/>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4</w:t>
            </w:r>
          </w:p>
        </w:tc>
        <w:tc>
          <w:tcPr>
            <w:tcW w:w="2268" w:type="dxa"/>
            <w:vAlign w:val="center"/>
          </w:tcPr>
          <w:p w14:paraId="1837A42B">
            <w:pPr>
              <w:autoSpaceDE w:val="0"/>
              <w:autoSpaceDN w:val="0"/>
              <w:adjustRightInd w:val="0"/>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中小企业有关政策</w:t>
            </w:r>
          </w:p>
        </w:tc>
        <w:tc>
          <w:tcPr>
            <w:tcW w:w="6813" w:type="dxa"/>
            <w:vAlign w:val="center"/>
          </w:tcPr>
          <w:p w14:paraId="07833DBD">
            <w:pPr>
              <w:autoSpaceDE w:val="0"/>
              <w:autoSpaceDN w:val="0"/>
              <w:adjustRightInd w:val="0"/>
              <w:spacing w:line="360" w:lineRule="auto"/>
              <w:contextualSpacing/>
              <w:rPr>
                <w:rFonts w:hint="eastAsia" w:ascii="宋体" w:hAnsi="宋体" w:eastAsia="宋体" w:cs="宋体"/>
                <w:color w:val="auto"/>
                <w:highlight w:val="none"/>
              </w:rPr>
            </w:pPr>
            <w:r>
              <w:rPr>
                <w:rFonts w:hint="eastAsia" w:ascii="宋体" w:hAnsi="宋体" w:eastAsia="宋体" w:cs="宋体"/>
                <w:color w:val="auto"/>
                <w:highlight w:val="none"/>
                <w:lang w:eastAsia="zh-CN"/>
              </w:rPr>
              <w:t>1.</w:t>
            </w:r>
            <w:r>
              <w:rPr>
                <w:rFonts w:hint="eastAsia" w:ascii="宋体" w:hAnsi="宋体" w:eastAsia="宋体" w:cs="宋体"/>
                <w:color w:val="auto"/>
                <w:highlight w:val="none"/>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59F0BADD">
            <w:pPr>
              <w:autoSpaceDE w:val="0"/>
              <w:autoSpaceDN w:val="0"/>
              <w:adjustRightInd w:val="0"/>
              <w:spacing w:line="360" w:lineRule="auto"/>
              <w:contextualSpacing/>
              <w:rPr>
                <w:rFonts w:hint="eastAsia" w:ascii="宋体" w:hAnsi="宋体" w:eastAsia="宋体" w:cs="宋体"/>
                <w:color w:val="auto"/>
                <w:highlight w:val="none"/>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rPr>
              <w:t>根据财政部、工业和信息化部发布的《政府采购促进中小企业发展管理办法》（财库〔2020〕46号）、《关于进一步加大政府采购支持中小企业力度的通知》（财库〔2022〕19号）规定，对小型和微型企业投标价格给予20%的扣除，用扣除后的价格参与评审。</w:t>
            </w:r>
          </w:p>
          <w:p w14:paraId="1900D6ED">
            <w:pPr>
              <w:numPr>
                <w:ilvl w:val="0"/>
                <w:numId w:val="0"/>
              </w:numPr>
              <w:autoSpaceDE w:val="0"/>
              <w:autoSpaceDN w:val="0"/>
              <w:adjustRightInd w:val="0"/>
              <w:spacing w:line="360" w:lineRule="auto"/>
              <w:contextualSpacing/>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本次采购标的对应的中小企业划分标准所属行业：</w:t>
            </w:r>
            <w:r>
              <w:rPr>
                <w:rFonts w:hint="eastAsia" w:ascii="宋体" w:hAnsi="宋体" w:eastAsia="宋体" w:cs="宋体"/>
                <w:color w:val="auto"/>
                <w:highlight w:val="none"/>
                <w:lang w:eastAsia="zh-CN"/>
              </w:rPr>
              <w:t>制造业</w:t>
            </w:r>
            <w:r>
              <w:rPr>
                <w:rFonts w:hint="eastAsia" w:ascii="宋体" w:hAnsi="宋体" w:eastAsia="宋体" w:cs="宋体"/>
                <w:color w:val="auto"/>
                <w:highlight w:val="none"/>
              </w:rPr>
              <w:t>。</w:t>
            </w:r>
          </w:p>
          <w:p w14:paraId="174EAED5">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本项目接受联合体投标。</w:t>
            </w:r>
          </w:p>
          <w:p w14:paraId="7F5CD0C1">
            <w:pPr>
              <w:autoSpaceDE w:val="0"/>
              <w:autoSpaceDN w:val="0"/>
              <w:adjustRightInd w:val="0"/>
              <w:spacing w:line="360" w:lineRule="auto"/>
              <w:contextualSpacing/>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提供由省级以上监狱管理局、戒毒管理局（含新疆生产建设兵团）出具的属于监狱企业证明文件的，视同为小型和微型企业。</w:t>
            </w:r>
          </w:p>
          <w:p w14:paraId="2C2AE0AB">
            <w:pPr>
              <w:autoSpaceDE w:val="0"/>
              <w:autoSpaceDN w:val="0"/>
              <w:adjustRightInd w:val="0"/>
              <w:spacing w:line="360" w:lineRule="auto"/>
              <w:contextualSpacing/>
              <w:rPr>
                <w:rFonts w:hint="eastAsia" w:ascii="宋体" w:hAnsi="宋体" w:eastAsia="宋体" w:cs="宋体"/>
                <w:b/>
                <w:color w:val="auto"/>
                <w:kern w:val="0"/>
                <w:szCs w:val="21"/>
                <w:highlight w:val="none"/>
                <w:lang w:val="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符合享受政府采购支持政策的残疾人福利性单位条件且提供《残疾人福利性单位声明函》的，视同为小型和微型企业。</w:t>
            </w:r>
          </w:p>
        </w:tc>
      </w:tr>
      <w:tr w14:paraId="1BAA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0BB2A8ED">
            <w:pPr>
              <w:autoSpaceDE w:val="0"/>
              <w:autoSpaceDN w:val="0"/>
              <w:adjustRightInd w:val="0"/>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p>
        </w:tc>
        <w:tc>
          <w:tcPr>
            <w:tcW w:w="2268" w:type="dxa"/>
            <w:vAlign w:val="center"/>
          </w:tcPr>
          <w:p w14:paraId="324DE061">
            <w:pPr>
              <w:autoSpaceDE w:val="0"/>
              <w:autoSpaceDN w:val="0"/>
              <w:adjustRightInd w:val="0"/>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节能环保要求</w:t>
            </w:r>
          </w:p>
        </w:tc>
        <w:tc>
          <w:tcPr>
            <w:tcW w:w="6813" w:type="dxa"/>
            <w:vAlign w:val="center"/>
          </w:tcPr>
          <w:p w14:paraId="1F9A3E04">
            <w:pPr>
              <w:autoSpaceDE w:val="0"/>
              <w:autoSpaceDN w:val="0"/>
              <w:adjustRightInd w:val="0"/>
              <w:spacing w:line="360" w:lineRule="auto"/>
              <w:rPr>
                <w:rFonts w:hint="eastAsia" w:ascii="宋体" w:hAnsi="宋体" w:eastAsia="宋体" w:cs="宋体"/>
                <w:color w:val="auto"/>
                <w:highlight w:val="none"/>
                <w:lang w:val="zh-CN"/>
              </w:rPr>
            </w:pPr>
            <w:r>
              <w:rPr>
                <w:rFonts w:hint="eastAsia" w:ascii="宋体" w:hAnsi="宋体" w:eastAsia="宋体" w:cs="宋体"/>
                <w:bCs/>
                <w:color w:val="auto"/>
                <w:szCs w:val="21"/>
                <w:highlight w:val="none"/>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14:paraId="576B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1BD12503">
            <w:pPr>
              <w:autoSpaceDE w:val="0"/>
              <w:autoSpaceDN w:val="0"/>
              <w:adjustRightInd w:val="0"/>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p>
        </w:tc>
        <w:tc>
          <w:tcPr>
            <w:tcW w:w="2268" w:type="dxa"/>
            <w:vAlign w:val="center"/>
          </w:tcPr>
          <w:p w14:paraId="445C042A">
            <w:pPr>
              <w:autoSpaceDE w:val="0"/>
              <w:autoSpaceDN w:val="0"/>
              <w:adjustRightInd w:val="0"/>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网络关键设备、网络安全专用产品要求</w:t>
            </w:r>
          </w:p>
        </w:tc>
        <w:tc>
          <w:tcPr>
            <w:tcW w:w="6813" w:type="dxa"/>
            <w:vAlign w:val="center"/>
          </w:tcPr>
          <w:p w14:paraId="76C68DF8">
            <w:pPr>
              <w:numPr>
                <w:ilvl w:val="0"/>
                <w:numId w:val="8"/>
              </w:numPr>
              <w:autoSpaceDE w:val="0"/>
              <w:autoSpaceDN w:val="0"/>
              <w:adjustRightInd w:val="0"/>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本项目网络关键设备：（无）；网络安全专用产品：（无）</w:t>
            </w:r>
          </w:p>
          <w:p w14:paraId="1D7698DA">
            <w:pPr>
              <w:numPr>
                <w:ilvl w:val="0"/>
                <w:numId w:val="8"/>
              </w:numPr>
              <w:autoSpaceDE w:val="0"/>
              <w:autoSpaceDN w:val="0"/>
              <w:adjustRightInd w:val="0"/>
              <w:spacing w:line="420" w:lineRule="exact"/>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项目中涉及网络关键设备或网络安全专用产品的，执行国家互联网信息办公室、工业和信息化部、公安部和国家认证认可监督管理委员会2023 年第 2 号《关于调整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网络关键设备和网络安全专用产品目录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5E05024B">
            <w:pPr>
              <w:numPr>
                <w:ilvl w:val="0"/>
                <w:numId w:val="0"/>
              </w:numPr>
              <w:autoSpaceDE w:val="0"/>
              <w:autoSpaceDN w:val="0"/>
              <w:adjustRightInd w:val="0"/>
              <w:spacing w:line="420" w:lineRule="exact"/>
              <w:ind w:left="0" w:leftChars="0" w:firstLine="0" w:firstLineChars="0"/>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提供资料（下列资料任意一项）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r>
      <w:tr w14:paraId="3C93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55744EDC">
            <w:pPr>
              <w:autoSpaceDE w:val="0"/>
              <w:autoSpaceDN w:val="0"/>
              <w:adjustRightInd w:val="0"/>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p>
        </w:tc>
        <w:tc>
          <w:tcPr>
            <w:tcW w:w="2268" w:type="dxa"/>
            <w:vAlign w:val="center"/>
          </w:tcPr>
          <w:p w14:paraId="7273ACB3">
            <w:pPr>
              <w:autoSpaceDE w:val="0"/>
              <w:autoSpaceDN w:val="0"/>
              <w:adjustRightIn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政府采购合同融资 </w:t>
            </w:r>
          </w:p>
          <w:p w14:paraId="28C23AEC">
            <w:pPr>
              <w:autoSpaceDE w:val="0"/>
              <w:autoSpaceDN w:val="0"/>
              <w:adjustRightIn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政策告知函</w:t>
            </w:r>
          </w:p>
        </w:tc>
        <w:tc>
          <w:tcPr>
            <w:tcW w:w="6813" w:type="dxa"/>
            <w:vAlign w:val="center"/>
          </w:tcPr>
          <w:p w14:paraId="3D17FAF7">
            <w:pPr>
              <w:autoSpaceDE w:val="0"/>
              <w:autoSpaceDN w:val="0"/>
              <w:adjustRightIn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3ED1C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67DC08C">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p>
        </w:tc>
        <w:tc>
          <w:tcPr>
            <w:tcW w:w="2268" w:type="dxa"/>
            <w:vAlign w:val="center"/>
          </w:tcPr>
          <w:p w14:paraId="7567E2A9">
            <w:pPr>
              <w:pageBreakBefore w:val="0"/>
              <w:kinsoku/>
              <w:overflowPunct/>
              <w:autoSpaceDE w:val="0"/>
              <w:autoSpaceDN w:val="0"/>
              <w:bidi w:val="0"/>
              <w:adjustRightInd w:val="0"/>
              <w:snapToGrid/>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0"/>
                <w:szCs w:val="21"/>
                <w:highlight w:val="none"/>
              </w:rPr>
              <w:t>加快推广绿色建材发展应用</w:t>
            </w:r>
          </w:p>
        </w:tc>
        <w:tc>
          <w:tcPr>
            <w:tcW w:w="6813" w:type="dxa"/>
            <w:vAlign w:val="center"/>
          </w:tcPr>
          <w:p w14:paraId="523EE0A2">
            <w:pPr>
              <w:pageBreakBefore w:val="0"/>
              <w:kinsoku/>
              <w:overflowPunct/>
              <w:autoSpaceDE w:val="0"/>
              <w:autoSpaceDN w:val="0"/>
              <w:bidi w:val="0"/>
              <w:adjustRightInd w:val="0"/>
              <w:snapToGrid/>
              <w:spacing w:line="360" w:lineRule="auto"/>
              <w:ind w:right="-11" w:right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本项目绿</w:t>
            </w:r>
            <w:r>
              <w:rPr>
                <w:rFonts w:hint="eastAsia" w:ascii="宋体" w:hAnsi="宋体" w:eastAsia="宋体" w:cs="宋体"/>
                <w:color w:val="auto"/>
                <w:kern w:val="0"/>
                <w:szCs w:val="21"/>
                <w:highlight w:val="none"/>
                <w:lang w:val="en-US" w:eastAsia="zh-CN"/>
              </w:rPr>
              <w:t>色</w:t>
            </w:r>
            <w:r>
              <w:rPr>
                <w:rFonts w:hint="eastAsia" w:ascii="宋体" w:hAnsi="宋体" w:eastAsia="宋体" w:cs="宋体"/>
                <w:color w:val="auto"/>
                <w:kern w:val="0"/>
                <w:szCs w:val="21"/>
                <w:highlight w:val="none"/>
                <w:lang w:eastAsia="zh-CN"/>
              </w:rPr>
              <w:t>建材产品为：（无）</w:t>
            </w:r>
          </w:p>
          <w:p w14:paraId="7B47145E">
            <w:pPr>
              <w:pageBreakBefore w:val="0"/>
              <w:kinsoku/>
              <w:overflowPunct/>
              <w:autoSpaceDE w:val="0"/>
              <w:autoSpaceDN w:val="0"/>
              <w:bidi w:val="0"/>
              <w:adjustRightInd w:val="0"/>
              <w:snapToGrid/>
              <w:spacing w:line="360" w:lineRule="auto"/>
              <w:ind w:right="-11"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根据财政部、住房和城乡建设部《关于政府采购支持绿色建材促进建筑品质提升试点工作的通知》（财库〔2020〕31号）要求，该项目应优先使用可循环</w:t>
            </w:r>
            <w:r>
              <w:rPr>
                <w:rFonts w:hint="eastAsia" w:ascii="宋体" w:hAnsi="宋体" w:eastAsia="宋体" w:cs="宋体"/>
                <w:color w:val="auto"/>
                <w:kern w:val="0"/>
                <w:szCs w:val="21"/>
                <w:highlight w:val="none"/>
                <w:lang w:val="en-US" w:eastAsia="zh-CN"/>
              </w:rPr>
              <w:t>可</w:t>
            </w:r>
            <w:r>
              <w:rPr>
                <w:rFonts w:hint="eastAsia" w:ascii="宋体" w:hAnsi="宋体" w:eastAsia="宋体" w:cs="宋体"/>
                <w:color w:val="auto"/>
                <w:kern w:val="0"/>
                <w:szCs w:val="21"/>
                <w:highlight w:val="none"/>
              </w:rPr>
              <w:t>利用建材、高强度高耐久建材、绿色部品部件、绿色装修装饰材料、节水节能建材等绿色建材产品。</w:t>
            </w:r>
          </w:p>
        </w:tc>
      </w:tr>
      <w:tr w14:paraId="1E51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D0E218C">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p>
        </w:tc>
        <w:tc>
          <w:tcPr>
            <w:tcW w:w="2268" w:type="dxa"/>
            <w:vAlign w:val="center"/>
          </w:tcPr>
          <w:p w14:paraId="3B5B1BE6">
            <w:pPr>
              <w:autoSpaceDE w:val="0"/>
              <w:autoSpaceDN w:val="0"/>
              <w:adjustRightInd w:val="0"/>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履约保证金</w:t>
            </w:r>
          </w:p>
        </w:tc>
        <w:tc>
          <w:tcPr>
            <w:tcW w:w="6813" w:type="dxa"/>
            <w:vAlign w:val="center"/>
          </w:tcPr>
          <w:p w14:paraId="3CFB5295">
            <w:pPr>
              <w:autoSpaceDE w:val="0"/>
              <w:autoSpaceDN w:val="0"/>
              <w:adjustRightInd w:val="0"/>
              <w:spacing w:line="360" w:lineRule="auto"/>
              <w:rPr>
                <w:rFonts w:hint="eastAsia"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position w:val="2"/>
                <w:szCs w:val="21"/>
                <w:highlight w:val="none"/>
                <w:lang w:val="zh-CN"/>
              </w:rPr>
              <w:instrText xml:space="preserve">√</w:instrText>
            </w:r>
            <w:r>
              <w:rPr>
                <w:rFonts w:hint="eastAsia" w:ascii="宋体" w:hAnsi="宋体" w:eastAsia="宋体" w:cs="宋体"/>
                <w:b/>
                <w:color w:val="auto"/>
                <w:kern w:val="0"/>
                <w:szCs w:val="21"/>
                <w:highlight w:val="none"/>
                <w:lang w:val="zh-CN"/>
              </w:rPr>
              <w:instrText xml:space="preserve">)</w:instrText>
            </w:r>
            <w:r>
              <w:rPr>
                <w:rFonts w:hint="eastAsia" w:ascii="宋体" w:hAnsi="宋体" w:eastAsia="宋体" w:cs="宋体"/>
                <w:b/>
                <w:color w:val="auto"/>
                <w:kern w:val="0"/>
                <w:szCs w:val="21"/>
                <w:highlight w:val="none"/>
                <w:lang w:val="zh-CN"/>
              </w:rPr>
              <w:fldChar w:fldCharType="end"/>
            </w:r>
            <w:r>
              <w:rPr>
                <w:rFonts w:hint="eastAsia" w:ascii="宋体" w:hAnsi="宋体" w:eastAsia="宋体" w:cs="宋体"/>
                <w:bCs/>
                <w:color w:val="auto"/>
                <w:szCs w:val="21"/>
                <w:highlight w:val="none"/>
                <w:lang w:val="zh-CN"/>
              </w:rPr>
              <w:t>无要求</w:t>
            </w:r>
          </w:p>
          <w:p w14:paraId="16032EEB">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b/>
                <w:bCs/>
                <w:color w:val="auto"/>
                <w:szCs w:val="21"/>
                <w:highlight w:val="none"/>
                <w:lang w:val="zh-CN"/>
              </w:rPr>
              <w:t>□</w:t>
            </w:r>
            <w:r>
              <w:rPr>
                <w:rFonts w:hint="eastAsia" w:ascii="宋体" w:hAnsi="宋体" w:eastAsia="宋体" w:cs="宋体"/>
                <w:color w:val="auto"/>
                <w:szCs w:val="21"/>
                <w:highlight w:val="none"/>
                <w:lang w:val="zh-CN"/>
              </w:rPr>
              <w:t>要求提交。履约保证金的数额为合同金额的%。成交供应商以支票、汇票、本票或者金融机构、担保机构出具的保函等非现金形式向采购人提交。</w:t>
            </w:r>
          </w:p>
        </w:tc>
      </w:tr>
      <w:tr w14:paraId="4281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AE24EE3">
            <w:pPr>
              <w:autoSpaceDE w:val="0"/>
              <w:autoSpaceDN w:val="0"/>
              <w:adjustRightInd w:val="0"/>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30</w:t>
            </w:r>
          </w:p>
        </w:tc>
        <w:tc>
          <w:tcPr>
            <w:tcW w:w="2268" w:type="dxa"/>
            <w:vAlign w:val="center"/>
          </w:tcPr>
          <w:p w14:paraId="2304C572">
            <w:pPr>
              <w:autoSpaceDE w:val="0"/>
              <w:autoSpaceDN w:val="0"/>
              <w:adjustRightInd w:val="0"/>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代理服务费</w:t>
            </w:r>
          </w:p>
        </w:tc>
        <w:tc>
          <w:tcPr>
            <w:tcW w:w="6813" w:type="dxa"/>
            <w:vAlign w:val="center"/>
          </w:tcPr>
          <w:p w14:paraId="5DA3D0B3">
            <w:pPr>
              <w:autoSpaceDE w:val="0"/>
              <w:autoSpaceDN w:val="0"/>
              <w:spacing w:line="360" w:lineRule="auto"/>
              <w:contextualSpacing/>
              <w:rPr>
                <w:rFonts w:hint="eastAsia" w:ascii="宋体" w:hAnsi="宋体" w:eastAsia="宋体" w:cs="宋体"/>
                <w:color w:val="auto"/>
                <w:highlight w:val="none"/>
                <w:lang w:eastAsia="zh-CN"/>
              </w:rPr>
            </w:pPr>
            <w:r>
              <w:rPr>
                <w:rFonts w:hint="eastAsia" w:ascii="宋体" w:hAnsi="宋体" w:eastAsia="宋体" w:cs="宋体"/>
                <w:color w:val="auto"/>
                <w:highlight w:val="none"/>
                <w:lang w:val="zh-CN"/>
              </w:rPr>
              <w:fldChar w:fldCharType="begin"/>
            </w:r>
            <w:r>
              <w:rPr>
                <w:rFonts w:hint="eastAsia" w:ascii="宋体" w:hAnsi="宋体" w:eastAsia="宋体" w:cs="宋体"/>
                <w:color w:val="auto"/>
                <w:highlight w:val="none"/>
                <w:lang w:val="zh-CN"/>
              </w:rPr>
              <w:instrText xml:space="preserve">eq \o\ac(□,√)</w:instrText>
            </w:r>
            <w:r>
              <w:rPr>
                <w:rFonts w:hint="eastAsia" w:ascii="宋体" w:hAnsi="宋体" w:eastAsia="宋体" w:cs="宋体"/>
                <w:color w:val="auto"/>
                <w:highlight w:val="none"/>
                <w:lang w:val="zh-CN"/>
              </w:rPr>
              <w:fldChar w:fldCharType="end"/>
            </w:r>
            <w:r>
              <w:rPr>
                <w:rFonts w:hint="eastAsia" w:ascii="宋体" w:hAnsi="宋体" w:eastAsia="宋体" w:cs="宋体"/>
                <w:color w:val="auto"/>
                <w:highlight w:val="none"/>
                <w:lang w:val="zh-CN"/>
              </w:rPr>
              <w:t>收取，</w:t>
            </w:r>
            <w:r>
              <w:rPr>
                <w:rFonts w:hint="eastAsia" w:ascii="宋体" w:hAnsi="宋体" w:eastAsia="宋体" w:cs="宋体"/>
                <w:color w:val="auto"/>
                <w:highlight w:val="none"/>
              </w:rPr>
              <w:t>招标代理服务费由中标人支付，</w:t>
            </w:r>
            <w:r>
              <w:rPr>
                <w:rFonts w:hint="eastAsia" w:ascii="宋体" w:hAnsi="宋体" w:eastAsia="宋体" w:cs="宋体"/>
                <w:color w:val="auto"/>
                <w:highlight w:val="none"/>
                <w:lang w:eastAsia="zh-CN"/>
              </w:rPr>
              <w:t>按照豫招协</w:t>
            </w:r>
            <w:r>
              <w:rPr>
                <w:rFonts w:hint="eastAsia" w:ascii="宋体" w:hAnsi="宋体" w:eastAsia="宋体" w:cs="宋体"/>
                <w:color w:val="auto"/>
                <w:highlight w:val="none"/>
              </w:rPr>
              <w:t>〔20</w:t>
            </w:r>
            <w:r>
              <w:rPr>
                <w:rFonts w:hint="eastAsia" w:ascii="宋体" w:hAnsi="宋体" w:eastAsia="宋体" w:cs="宋体"/>
                <w:color w:val="auto"/>
                <w:highlight w:val="none"/>
                <w:lang w:val="en-US" w:eastAsia="zh-CN"/>
              </w:rPr>
              <w:t>23</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002</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河南省招标代理服务收费指导意见</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收取，由中标单位在领取中标通知书时一次性支付给代理机构。</w:t>
            </w:r>
          </w:p>
          <w:p w14:paraId="7A9DDEE3">
            <w:pPr>
              <w:autoSpaceDE w:val="0"/>
              <w:autoSpaceDN w:val="0"/>
              <w:spacing w:line="360" w:lineRule="auto"/>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招标代理服务收费按差额定率累计法计算：</w:t>
            </w:r>
          </w:p>
          <w:p w14:paraId="6CB211D7">
            <w:pPr>
              <w:pStyle w:val="27"/>
              <w:ind w:firstLine="340" w:firstLineChars="100"/>
              <w:rPr>
                <w:rFonts w:hint="eastAsia" w:ascii="宋体" w:hAnsi="宋体" w:eastAsia="宋体" w:cs="宋体"/>
                <w:bCs/>
                <w:color w:val="auto"/>
                <w:szCs w:val="21"/>
                <w:highlight w:val="none"/>
                <w:lang w:val="zh-CN"/>
              </w:rPr>
            </w:pPr>
            <w:r>
              <w:rPr>
                <w:rFonts w:hint="eastAsia" w:ascii="宋体" w:hAnsi="宋体" w:eastAsia="宋体" w:cs="宋体"/>
                <w:color w:val="auto"/>
                <w:highlight w:val="none"/>
                <w:lang w:eastAsia="zh-CN"/>
              </w:rPr>
              <w:drawing>
                <wp:inline distT="0" distB="0" distL="114300" distR="114300">
                  <wp:extent cx="3945255" cy="2764790"/>
                  <wp:effectExtent l="0" t="0" r="17145" b="16510"/>
                  <wp:docPr id="2" name="图片 2" descr="beb982d9b13b73535a8dfa2cb990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eb982d9b13b73535a8dfa2cb990fd7"/>
                          <pic:cNvPicPr>
                            <a:picLocks noChangeAspect="1"/>
                          </pic:cNvPicPr>
                        </pic:nvPicPr>
                        <pic:blipFill>
                          <a:blip r:embed="rId6"/>
                          <a:stretch>
                            <a:fillRect/>
                          </a:stretch>
                        </pic:blipFill>
                        <pic:spPr>
                          <a:xfrm>
                            <a:off x="0" y="0"/>
                            <a:ext cx="3945255" cy="2764790"/>
                          </a:xfrm>
                          <a:prstGeom prst="rect">
                            <a:avLst/>
                          </a:prstGeom>
                          <a:noFill/>
                          <a:ln>
                            <a:noFill/>
                          </a:ln>
                        </pic:spPr>
                      </pic:pic>
                    </a:graphicData>
                  </a:graphic>
                </wp:inline>
              </w:drawing>
            </w:r>
          </w:p>
        </w:tc>
      </w:tr>
      <w:tr w14:paraId="7F87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CF572E4">
            <w:pPr>
              <w:autoSpaceDE w:val="0"/>
              <w:autoSpaceDN w:val="0"/>
              <w:adjustRightInd w:val="0"/>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31</w:t>
            </w:r>
          </w:p>
        </w:tc>
        <w:tc>
          <w:tcPr>
            <w:tcW w:w="2268" w:type="dxa"/>
            <w:vAlign w:val="center"/>
          </w:tcPr>
          <w:p w14:paraId="0EB218A4">
            <w:pPr>
              <w:autoSpaceDE w:val="0"/>
              <w:autoSpaceDN w:val="0"/>
              <w:adjustRightInd w:val="0"/>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成交供应商需提交</w:t>
            </w:r>
          </w:p>
          <w:p w14:paraId="188B9034">
            <w:pPr>
              <w:autoSpaceDE w:val="0"/>
              <w:autoSpaceDN w:val="0"/>
              <w:adjustRightInd w:val="0"/>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的资料</w:t>
            </w:r>
          </w:p>
        </w:tc>
        <w:tc>
          <w:tcPr>
            <w:tcW w:w="6813" w:type="dxa"/>
            <w:vAlign w:val="center"/>
          </w:tcPr>
          <w:p w14:paraId="0B9F08F4">
            <w:pPr>
              <w:autoSpaceDE w:val="0"/>
              <w:autoSpaceDN w:val="0"/>
              <w:adjustRightInd w:val="0"/>
              <w:spacing w:line="360" w:lineRule="auto"/>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中标人在接到中标通知时，须向代理机构发送投标报价及分项报价一览表（包含主要中标标的的名称、规格型号、数量、单价、服务要求等）电子文档，联系电话：</w:t>
            </w:r>
            <w:r>
              <w:rPr>
                <w:rFonts w:hint="eastAsia" w:ascii="宋体" w:hAnsi="宋体" w:eastAsia="宋体" w:cs="宋体"/>
                <w:color w:val="auto"/>
                <w:highlight w:val="none"/>
              </w:rPr>
              <w:t>0374-8281999</w:t>
            </w:r>
            <w:r>
              <w:rPr>
                <w:rFonts w:hint="eastAsia" w:ascii="宋体" w:hAnsi="宋体" w:eastAsia="宋体" w:cs="宋体"/>
                <w:color w:val="auto"/>
                <w:szCs w:val="21"/>
                <w:highlight w:val="none"/>
                <w:lang w:val="zh-CN"/>
              </w:rPr>
              <w:t>，邮箱：</w:t>
            </w:r>
            <w:r>
              <w:rPr>
                <w:rFonts w:hint="eastAsia" w:ascii="宋体" w:hAnsi="宋体" w:eastAsia="宋体" w:cs="宋体"/>
                <w:color w:val="auto"/>
                <w:szCs w:val="21"/>
                <w:highlight w:val="none"/>
              </w:rPr>
              <w:t>xcfyzxgl@126.com</w:t>
            </w:r>
            <w:r>
              <w:rPr>
                <w:rFonts w:hint="eastAsia" w:ascii="宋体" w:hAnsi="宋体" w:eastAsia="宋体" w:cs="宋体"/>
                <w:color w:val="auto"/>
                <w:szCs w:val="21"/>
                <w:highlight w:val="none"/>
                <w:lang w:val="zh-CN"/>
              </w:rPr>
              <w:t>。并配合业主需要提供纸质投标文件。</w:t>
            </w:r>
          </w:p>
        </w:tc>
      </w:tr>
      <w:tr w14:paraId="63CF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AA8A29A">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2</w:t>
            </w:r>
          </w:p>
        </w:tc>
        <w:tc>
          <w:tcPr>
            <w:tcW w:w="2268" w:type="dxa"/>
            <w:vAlign w:val="center"/>
          </w:tcPr>
          <w:p w14:paraId="65C08519">
            <w:pPr>
              <w:autoSpaceDE w:val="0"/>
              <w:autoSpaceDN w:val="0"/>
              <w:adjustRightInd w:val="0"/>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电子化采购模式</w:t>
            </w:r>
          </w:p>
        </w:tc>
        <w:tc>
          <w:tcPr>
            <w:tcW w:w="6813" w:type="dxa"/>
            <w:vAlign w:val="center"/>
          </w:tcPr>
          <w:p w14:paraId="16C24E20">
            <w:pPr>
              <w:autoSpaceDE w:val="0"/>
              <w:autoSpaceDN w:val="0"/>
              <w:adjustRightInd w:val="0"/>
              <w:spacing w:line="360" w:lineRule="auto"/>
              <w:contextualSpacing/>
              <w:rPr>
                <w:rFonts w:hint="eastAsia" w:ascii="宋体" w:hAnsi="宋体" w:eastAsia="宋体" w:cs="宋体"/>
                <w:color w:val="auto"/>
                <w:szCs w:val="21"/>
                <w:highlight w:val="none"/>
                <w:lang w:val="zh-CN"/>
              </w:rPr>
            </w:pPr>
            <w:r>
              <w:rPr>
                <w:rFonts w:hint="eastAsia" w:ascii="宋体" w:hAnsi="宋体" w:eastAsia="宋体" w:cs="宋体"/>
                <w:b/>
                <w:color w:val="auto"/>
                <w:kern w:val="0"/>
                <w:szCs w:val="21"/>
                <w:highlight w:val="none"/>
                <w:lang w:val="zh-CN"/>
              </w:rPr>
              <w:fldChar w:fldCharType="begin"/>
            </w:r>
            <w:r>
              <w:rPr>
                <w:rFonts w:hint="eastAsia" w:ascii="宋体" w:hAnsi="宋体" w:eastAsia="宋体" w:cs="宋体"/>
                <w:b/>
                <w:color w:val="auto"/>
                <w:kern w:val="0"/>
                <w:szCs w:val="21"/>
                <w:highlight w:val="none"/>
                <w:lang w:val="zh-CN"/>
              </w:rPr>
              <w:instrText xml:space="preserve">eq \o\ac(□,</w:instrText>
            </w:r>
            <w:r>
              <w:rPr>
                <w:rFonts w:hint="eastAsia" w:ascii="宋体" w:hAnsi="宋体" w:eastAsia="宋体" w:cs="宋体"/>
                <w:b/>
                <w:color w:val="auto"/>
                <w:kern w:val="0"/>
                <w:position w:val="2"/>
                <w:szCs w:val="21"/>
                <w:highlight w:val="none"/>
                <w:lang w:val="zh-CN"/>
              </w:rPr>
              <w:instrText xml:space="preserve">√</w:instrText>
            </w:r>
            <w:r>
              <w:rPr>
                <w:rFonts w:hint="eastAsia" w:ascii="宋体" w:hAnsi="宋体" w:eastAsia="宋体" w:cs="宋体"/>
                <w:b/>
                <w:color w:val="auto"/>
                <w:kern w:val="0"/>
                <w:szCs w:val="21"/>
                <w:highlight w:val="none"/>
                <w:lang w:val="zh-CN"/>
              </w:rPr>
              <w:instrText xml:space="preserve">)</w:instrText>
            </w:r>
            <w:r>
              <w:rPr>
                <w:rFonts w:hint="eastAsia" w:ascii="宋体" w:hAnsi="宋体" w:eastAsia="宋体" w:cs="宋体"/>
                <w:b/>
                <w:color w:val="auto"/>
                <w:kern w:val="0"/>
                <w:szCs w:val="21"/>
                <w:highlight w:val="none"/>
                <w:lang w:val="zh-CN"/>
              </w:rPr>
              <w:fldChar w:fldCharType="end"/>
            </w:r>
            <w:r>
              <w:rPr>
                <w:rFonts w:hint="eastAsia" w:ascii="宋体" w:hAnsi="宋体" w:eastAsia="宋体" w:cs="宋体"/>
                <w:bCs/>
                <w:color w:val="auto"/>
                <w:szCs w:val="21"/>
                <w:highlight w:val="none"/>
                <w:lang w:val="zh-CN"/>
              </w:rPr>
              <w:t>是。</w:t>
            </w:r>
            <w:r>
              <w:rPr>
                <w:rFonts w:hint="eastAsia" w:ascii="宋体" w:hAnsi="宋体" w:eastAsia="宋体" w:cs="宋体"/>
                <w:color w:val="auto"/>
                <w:szCs w:val="21"/>
                <w:highlight w:val="none"/>
                <w:lang w:val="zh-CN"/>
              </w:rPr>
              <w:t>投标人投标时须成功上传、解密电子投标文件。投标人资质、业绩、荣誉及相关人员证明材料等资料原件不再提交（本招标文件第六章另有要求提供原件的除外）。</w:t>
            </w:r>
          </w:p>
          <w:p w14:paraId="4CDA6ED6">
            <w:pPr>
              <w:autoSpaceDE w:val="0"/>
              <w:autoSpaceDN w:val="0"/>
              <w:adjustRightInd w:val="0"/>
              <w:spacing w:line="360" w:lineRule="auto"/>
              <w:contextualSpacing/>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□否。投标人投标时须提供纸质投标文件。投标人资质、业绩、荣誉及相关人员证明材料等资料原件根据招标文件要求提供。</w:t>
            </w:r>
          </w:p>
        </w:tc>
      </w:tr>
      <w:tr w14:paraId="19B10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57AD6BF">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p>
        </w:tc>
        <w:tc>
          <w:tcPr>
            <w:tcW w:w="2268" w:type="dxa"/>
            <w:vAlign w:val="center"/>
          </w:tcPr>
          <w:p w14:paraId="507C3247">
            <w:pPr>
              <w:autoSpaceDE w:val="0"/>
              <w:autoSpaceDN w:val="0"/>
              <w:adjustRightIn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投标人代表出席开标会及其他</w:t>
            </w:r>
          </w:p>
        </w:tc>
        <w:tc>
          <w:tcPr>
            <w:tcW w:w="6813" w:type="dxa"/>
            <w:vAlign w:val="center"/>
          </w:tcPr>
          <w:p w14:paraId="2A2DB1DD">
            <w:pPr>
              <w:spacing w:line="312"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投标人准时在网上参加投标、开标活动。</w:t>
            </w:r>
          </w:p>
        </w:tc>
      </w:tr>
      <w:tr w14:paraId="161E2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179D7FD">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4</w:t>
            </w:r>
          </w:p>
        </w:tc>
        <w:tc>
          <w:tcPr>
            <w:tcW w:w="2268" w:type="dxa"/>
            <w:vAlign w:val="center"/>
          </w:tcPr>
          <w:p w14:paraId="6D4E7BAD">
            <w:pPr>
              <w:autoSpaceDE w:val="0"/>
              <w:autoSpaceDN w:val="0"/>
              <w:adjustRightIn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解释权</w:t>
            </w:r>
          </w:p>
        </w:tc>
        <w:tc>
          <w:tcPr>
            <w:tcW w:w="6813" w:type="dxa"/>
            <w:vAlign w:val="center"/>
          </w:tcPr>
          <w:p w14:paraId="6A3D09A6">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构成本招标文件的各个组成文件应互为解释，互为说明；</w:t>
            </w:r>
          </w:p>
          <w:p w14:paraId="4FAB9719">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1.除招标文件中有特别规定外，仅适用于招标投标阶段的规定，按招标公告（投标邀请书）、投标人须知、评标办法的先后顺序解释；</w:t>
            </w:r>
          </w:p>
          <w:p w14:paraId="2BFFB570">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同一组成文件中就同一事项的规定或约定不一致的，以编排顺序在后者为准；</w:t>
            </w:r>
          </w:p>
          <w:p w14:paraId="53003089">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同一组成文件不同版本之间有不一致的，以形成时间在后者为准；</w:t>
            </w:r>
          </w:p>
          <w:p w14:paraId="50285C46">
            <w:pPr>
              <w:autoSpaceDE w:val="0"/>
              <w:autoSpaceDN w:val="0"/>
              <w:adjustRightInd w:val="0"/>
              <w:spacing w:line="360" w:lineRule="auto"/>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按本款前述规定仍不能形成结论的，由招标人负责解释。</w:t>
            </w:r>
          </w:p>
        </w:tc>
      </w:tr>
      <w:tr w14:paraId="22E0B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B14C1E9">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5</w:t>
            </w:r>
          </w:p>
        </w:tc>
        <w:tc>
          <w:tcPr>
            <w:tcW w:w="2268" w:type="dxa"/>
            <w:vAlign w:val="center"/>
          </w:tcPr>
          <w:p w14:paraId="098AA98B">
            <w:pPr>
              <w:autoSpaceDE w:val="0"/>
              <w:autoSpaceDN w:val="0"/>
              <w:adjustRightIn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知识产权</w:t>
            </w:r>
          </w:p>
        </w:tc>
        <w:tc>
          <w:tcPr>
            <w:tcW w:w="6813" w:type="dxa"/>
            <w:vAlign w:val="center"/>
          </w:tcPr>
          <w:p w14:paraId="283BAB9D">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构成本采购文件各个组成部分的文件，未经采购人书面同意，供应商不得擅自复印和用于非本招标项目所需的其他目的。采购人全部或者部分使用未中标人投标文件中的技术成果或技术方案时，需征得其书面同意，并不得擅自复印或提供给第三人。</w:t>
            </w:r>
          </w:p>
        </w:tc>
      </w:tr>
      <w:tr w14:paraId="7DB21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8BE6754">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6</w:t>
            </w:r>
          </w:p>
        </w:tc>
        <w:tc>
          <w:tcPr>
            <w:tcW w:w="2268" w:type="dxa"/>
            <w:vAlign w:val="center"/>
          </w:tcPr>
          <w:p w14:paraId="7D72E5F3">
            <w:pPr>
              <w:autoSpaceDE w:val="0"/>
              <w:autoSpaceDN w:val="0"/>
              <w:adjustRightIn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投标费用</w:t>
            </w:r>
          </w:p>
        </w:tc>
        <w:tc>
          <w:tcPr>
            <w:tcW w:w="6813" w:type="dxa"/>
            <w:vAlign w:val="center"/>
          </w:tcPr>
          <w:p w14:paraId="601EA0CB">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供应商应自行承担参加投标活动有关的全部费用，招标人和招标代理机构在任何情况下均无义务和责任承担上述费用。</w:t>
            </w:r>
          </w:p>
        </w:tc>
      </w:tr>
      <w:tr w14:paraId="1529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F996941">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p>
        </w:tc>
        <w:tc>
          <w:tcPr>
            <w:tcW w:w="2268" w:type="dxa"/>
            <w:vAlign w:val="center"/>
          </w:tcPr>
          <w:p w14:paraId="610BED4D">
            <w:pPr>
              <w:autoSpaceDE w:val="0"/>
              <w:autoSpaceDN w:val="0"/>
              <w:adjustRightIn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纪律和监督</w:t>
            </w:r>
          </w:p>
        </w:tc>
        <w:tc>
          <w:tcPr>
            <w:tcW w:w="6813" w:type="dxa"/>
            <w:vAlign w:val="center"/>
          </w:tcPr>
          <w:p w14:paraId="4EFAD321">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采购人或招标代理机构不得泄</w:t>
            </w:r>
            <w:r>
              <w:rPr>
                <w:rFonts w:hint="eastAsia" w:ascii="宋体" w:hAnsi="宋体" w:eastAsia="宋体" w:cs="宋体"/>
                <w:color w:val="auto"/>
                <w:szCs w:val="21"/>
                <w:highlight w:val="none"/>
                <w:lang w:val="en-US" w:eastAsia="zh-CN"/>
              </w:rPr>
              <w:t>露</w:t>
            </w:r>
            <w:r>
              <w:rPr>
                <w:rFonts w:hint="eastAsia" w:ascii="宋体" w:hAnsi="宋体" w:eastAsia="宋体" w:cs="宋体"/>
                <w:color w:val="auto"/>
                <w:szCs w:val="21"/>
                <w:highlight w:val="none"/>
                <w:lang w:val="zh-CN"/>
              </w:rPr>
              <w:t>招标投标活动中应当保密的情况和资料，不得与供应商串通损害国家利益、社会公共利益或者他人合法权益。</w:t>
            </w:r>
          </w:p>
        </w:tc>
      </w:tr>
      <w:tr w14:paraId="5098F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11A46BF">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8</w:t>
            </w:r>
          </w:p>
        </w:tc>
        <w:tc>
          <w:tcPr>
            <w:tcW w:w="2268" w:type="dxa"/>
            <w:vAlign w:val="center"/>
          </w:tcPr>
          <w:p w14:paraId="049E490D">
            <w:pPr>
              <w:autoSpaceDE w:val="0"/>
              <w:autoSpaceDN w:val="0"/>
              <w:adjustRightIn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投标文件的拒收</w:t>
            </w:r>
          </w:p>
        </w:tc>
        <w:tc>
          <w:tcPr>
            <w:tcW w:w="6813" w:type="dxa"/>
            <w:vAlign w:val="center"/>
          </w:tcPr>
          <w:p w14:paraId="3800A824">
            <w:pPr>
              <w:autoSpaceDE w:val="0"/>
              <w:autoSpaceDN w:val="0"/>
              <w:adjustRightInd w:val="0"/>
              <w:spacing w:line="360" w:lineRule="auto"/>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1.未成功上传的投标文件；</w:t>
            </w:r>
          </w:p>
          <w:p w14:paraId="17031BB5">
            <w:pPr>
              <w:autoSpaceDE w:val="0"/>
              <w:autoSpaceDN w:val="0"/>
              <w:adjustRightInd w:val="0"/>
              <w:spacing w:line="360" w:lineRule="auto"/>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2.未进行解密或未按要求成功解密的投标文件。</w:t>
            </w:r>
          </w:p>
        </w:tc>
      </w:tr>
      <w:tr w14:paraId="169D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85B630C">
            <w:pPr>
              <w:autoSpaceDE w:val="0"/>
              <w:autoSpaceDN w:val="0"/>
              <w:adjustRightInd w:val="0"/>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39</w:t>
            </w:r>
          </w:p>
        </w:tc>
        <w:tc>
          <w:tcPr>
            <w:tcW w:w="2268" w:type="dxa"/>
            <w:vAlign w:val="center"/>
          </w:tcPr>
          <w:p w14:paraId="2A44F095">
            <w:pPr>
              <w:autoSpaceDE w:val="0"/>
              <w:autoSpaceDN w:val="0"/>
              <w:adjustRightInd w:val="0"/>
              <w:spacing w:line="36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特别提示</w:t>
            </w:r>
          </w:p>
        </w:tc>
        <w:tc>
          <w:tcPr>
            <w:tcW w:w="6813" w:type="dxa"/>
            <w:vAlign w:val="center"/>
          </w:tcPr>
          <w:p w14:paraId="47A82C8E">
            <w:pPr>
              <w:autoSpaceDE w:val="0"/>
              <w:autoSpaceDN w:val="0"/>
              <w:adjustRightInd w:val="0"/>
              <w:spacing w:line="360" w:lineRule="auto"/>
              <w:contextualSpacing/>
              <w:rPr>
                <w:rFonts w:hint="eastAsia" w:ascii="宋体" w:hAnsi="宋体" w:eastAsia="宋体" w:cs="宋体"/>
                <w:color w:val="auto"/>
                <w:highlight w:val="none"/>
              </w:rPr>
            </w:pPr>
            <w:r>
              <w:rPr>
                <w:rFonts w:hint="eastAsia" w:ascii="宋体" w:hAnsi="宋体" w:eastAsia="宋体" w:cs="宋体"/>
                <w:color w:val="auto"/>
                <w:highlight w:val="none"/>
                <w:lang w:eastAsia="zh-CN"/>
              </w:rPr>
              <w:t>1.</w:t>
            </w:r>
            <w:r>
              <w:rPr>
                <w:rFonts w:hint="eastAsia" w:ascii="宋体" w:hAnsi="宋体" w:eastAsia="宋体" w:cs="宋体"/>
                <w:color w:val="auto"/>
                <w:highlight w:val="none"/>
              </w:rPr>
              <w:t>按照《关于推进全流程电子化交易和在线监管工作有关问题的通知》（许公管办</w:t>
            </w:r>
            <w:r>
              <w:rPr>
                <w:rFonts w:hint="eastAsia" w:ascii="宋体" w:hAnsi="宋体" w:eastAsia="宋体" w:cs="宋体"/>
                <w:color w:val="auto"/>
                <w:highlight w:val="none"/>
                <w:lang w:eastAsia="zh-CN"/>
              </w:rPr>
              <w:t>〔2019〕3号</w:t>
            </w:r>
            <w:r>
              <w:rPr>
                <w:rFonts w:hint="eastAsia" w:ascii="宋体" w:hAnsi="宋体" w:eastAsia="宋体" w:cs="宋体"/>
                <w:color w:val="auto"/>
                <w:highlight w:val="none"/>
              </w:rPr>
              <w:t>）规定：</w:t>
            </w:r>
          </w:p>
          <w:p w14:paraId="626C5061">
            <w:pPr>
              <w:autoSpaceDE w:val="0"/>
              <w:autoSpaceDN w:val="0"/>
              <w:adjustRightInd w:val="0"/>
              <w:spacing w:line="360" w:lineRule="auto"/>
              <w:contextualSpacing/>
              <w:rPr>
                <w:rFonts w:hint="eastAsia" w:ascii="宋体" w:hAnsi="宋体" w:eastAsia="宋体" w:cs="宋体"/>
                <w:color w:val="auto"/>
                <w:highlight w:val="none"/>
              </w:rPr>
            </w:pPr>
            <w:r>
              <w:rPr>
                <w:rFonts w:hint="eastAsia" w:ascii="宋体" w:hAnsi="宋体" w:eastAsia="宋体" w:cs="宋体"/>
                <w:color w:val="auto"/>
                <w:highlight w:val="none"/>
              </w:rPr>
              <w:t>不同供应商电子投标文件制作硬件特征码（网卡MAC地址、CPU序号、硬盘序列号）均一致时，视为‘不同投标人的投标文件由同一单位或者个人编制’或‘不同投标人委托同一单位或者个人办理投标事宜’，其投标无效。</w:t>
            </w:r>
          </w:p>
          <w:p w14:paraId="05E71ACE">
            <w:pPr>
              <w:autoSpaceDE w:val="0"/>
              <w:autoSpaceDN w:val="0"/>
              <w:adjustRightInd w:val="0"/>
              <w:spacing w:line="360" w:lineRule="auto"/>
              <w:contextualSpacing/>
              <w:rPr>
                <w:rFonts w:hint="eastAsia" w:ascii="宋体" w:hAnsi="宋体" w:eastAsia="宋体" w:cs="宋体"/>
                <w:color w:val="auto"/>
                <w:highlight w:val="none"/>
              </w:rPr>
            </w:pPr>
            <w:r>
              <w:rPr>
                <w:rFonts w:hint="eastAsia" w:ascii="宋体" w:hAnsi="宋体" w:eastAsia="宋体" w:cs="宋体"/>
                <w:color w:val="auto"/>
                <w:highlight w:val="none"/>
              </w:rPr>
              <w:t>评审专家应严格按照要求查看“硬件特征码” 相关信息并进行评审，在评审报告中显示“不同投标人电子投标文件制作硬件特征码”是否雷同的分析及判定结果。</w:t>
            </w:r>
          </w:p>
          <w:p w14:paraId="30C0E04D">
            <w:pPr>
              <w:pStyle w:val="11"/>
              <w:rPr>
                <w:rFonts w:hint="eastAsia" w:ascii="宋体" w:hAnsi="宋体" w:eastAsia="宋体" w:cs="宋体"/>
                <w:color w:val="auto"/>
                <w:highlight w:val="none"/>
                <w:lang w:val="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zh-CN"/>
              </w:rPr>
              <w:t>项目编号以本项目招标文件项目编号为准。</w:t>
            </w:r>
          </w:p>
          <w:p w14:paraId="78490683">
            <w:pPr>
              <w:pStyle w:val="11"/>
              <w:rPr>
                <w:rFonts w:hint="eastAsia" w:ascii="宋体" w:hAnsi="宋体" w:eastAsia="宋体" w:cs="宋体"/>
                <w:color w:val="auto"/>
                <w:highlight w:val="none"/>
                <w:lang w:val="zh-CN"/>
              </w:rPr>
            </w:pPr>
            <w:r>
              <w:rPr>
                <w:rFonts w:hint="eastAsia" w:ascii="宋体" w:hAnsi="宋体" w:eastAsia="宋体" w:cs="宋体"/>
                <w:color w:val="auto"/>
                <w:highlight w:val="none"/>
                <w:lang w:eastAsia="zh-CN"/>
              </w:rPr>
              <w:t>3.</w:t>
            </w:r>
            <w:r>
              <w:rPr>
                <w:rFonts w:hint="eastAsia" w:ascii="宋体" w:hAnsi="宋体" w:eastAsia="宋体" w:cs="宋体"/>
                <w:color w:val="auto"/>
                <w:highlight w:val="none"/>
                <w:lang w:val="zh-CN"/>
              </w:rPr>
              <w:t>投标文件格式的先后顺序不作为废标项。</w:t>
            </w:r>
          </w:p>
        </w:tc>
      </w:tr>
      <w:tr w14:paraId="039C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355F2FF">
            <w:pPr>
              <w:autoSpaceDE w:val="0"/>
              <w:autoSpaceDN w:val="0"/>
              <w:adjustRightInd w:val="0"/>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40</w:t>
            </w:r>
          </w:p>
        </w:tc>
        <w:tc>
          <w:tcPr>
            <w:tcW w:w="2268" w:type="dxa"/>
            <w:vAlign w:val="center"/>
          </w:tcPr>
          <w:p w14:paraId="6957844D">
            <w:pPr>
              <w:autoSpaceDE w:val="0"/>
              <w:autoSpaceDN w:val="0"/>
              <w:adjustRightInd w:val="0"/>
              <w:spacing w:line="276" w:lineRule="auto"/>
              <w:jc w:val="center"/>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供应商资格核验</w:t>
            </w:r>
          </w:p>
        </w:tc>
        <w:tc>
          <w:tcPr>
            <w:tcW w:w="6813" w:type="dxa"/>
            <w:vAlign w:val="center"/>
          </w:tcPr>
          <w:p w14:paraId="3C7DAD5B">
            <w:pPr>
              <w:autoSpaceDE w:val="0"/>
              <w:autoSpaceDN w:val="0"/>
              <w:adjustRightInd w:val="0"/>
              <w:spacing w:line="360" w:lineRule="auto"/>
              <w:ind w:right="-11"/>
              <w:rPr>
                <w:rFonts w:hint="eastAsia" w:ascii="宋体" w:hAnsi="宋体" w:eastAsia="宋体" w:cs="宋体"/>
                <w:color w:val="auto"/>
                <w:highlight w:val="none"/>
              </w:rPr>
            </w:pPr>
            <w:r>
              <w:rPr>
                <w:rFonts w:hint="eastAsia" w:ascii="宋体" w:hAnsi="宋体" w:eastAsia="宋体" w:cs="宋体"/>
                <w:color w:val="auto"/>
                <w:highlight w:val="none"/>
              </w:rPr>
              <w:t>供应商在成交后，应将由《禹州市政府采购供应商信用承诺函》替代的证明材料提交采购人核验，经核验无误后，采购人发出成交通知书。</w:t>
            </w:r>
          </w:p>
          <w:p w14:paraId="7C4ED4CD">
            <w:pPr>
              <w:autoSpaceDE w:val="0"/>
              <w:autoSpaceDN w:val="0"/>
              <w:adjustRightInd w:val="0"/>
              <w:spacing w:line="360" w:lineRule="auto"/>
              <w:ind w:right="-11"/>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一、法人或者其他组织的营业执照等证明文件，自然人的身份证明</w:t>
            </w:r>
          </w:p>
          <w:p w14:paraId="7D380EDC">
            <w:pPr>
              <w:autoSpaceDE w:val="0"/>
              <w:autoSpaceDN w:val="0"/>
              <w:adjustRightInd w:val="0"/>
              <w:spacing w:line="360" w:lineRule="auto"/>
              <w:ind w:right="-11"/>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1.企业法人营业执照或营业执照。（企业提供）</w:t>
            </w:r>
          </w:p>
          <w:p w14:paraId="70F31671">
            <w:pPr>
              <w:autoSpaceDE w:val="0"/>
              <w:autoSpaceDN w:val="0"/>
              <w:adjustRightInd w:val="0"/>
              <w:spacing w:line="360" w:lineRule="auto"/>
              <w:ind w:right="-11"/>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2.事业单位法人证书。（事业单位提供）</w:t>
            </w:r>
          </w:p>
          <w:p w14:paraId="2426291A">
            <w:pPr>
              <w:autoSpaceDE w:val="0"/>
              <w:autoSpaceDN w:val="0"/>
              <w:adjustRightInd w:val="0"/>
              <w:spacing w:line="360" w:lineRule="auto"/>
              <w:ind w:right="-11"/>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3.执业许可证。（非企业专业服务机构提供）</w:t>
            </w:r>
          </w:p>
          <w:p w14:paraId="2666D629">
            <w:pPr>
              <w:autoSpaceDE w:val="0"/>
              <w:autoSpaceDN w:val="0"/>
              <w:adjustRightInd w:val="0"/>
              <w:spacing w:line="360" w:lineRule="auto"/>
              <w:ind w:right="-11"/>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4.个体工商户营业执照。（个体工商户提供）</w:t>
            </w:r>
          </w:p>
          <w:p w14:paraId="0C2BFFC0">
            <w:pPr>
              <w:autoSpaceDE w:val="0"/>
              <w:autoSpaceDN w:val="0"/>
              <w:adjustRightInd w:val="0"/>
              <w:spacing w:line="360" w:lineRule="auto"/>
              <w:jc w:val="lef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5.自然人身份证明。（自然人提供）</w:t>
            </w:r>
          </w:p>
          <w:p w14:paraId="6E1B08D7">
            <w:pPr>
              <w:autoSpaceDE w:val="0"/>
              <w:autoSpaceDN w:val="0"/>
              <w:adjustRightInd w:val="0"/>
              <w:spacing w:line="360" w:lineRule="auto"/>
              <w:jc w:val="lef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6.民办非企业单位登记证书。（民办非企业单位提供）</w:t>
            </w:r>
          </w:p>
          <w:p w14:paraId="60DABE79">
            <w:pPr>
              <w:autoSpaceDE w:val="0"/>
              <w:autoSpaceDN w:val="0"/>
              <w:adjustRightIn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二、财务状况报告相关材料</w:t>
            </w:r>
          </w:p>
          <w:p w14:paraId="194BB22B">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（1）供应商是法人（法人包括企业法人、机关法人、事业单位法人和社会团体法人），提供本单位：</w:t>
            </w:r>
          </w:p>
          <w:p w14:paraId="298FE015">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①</w:t>
            </w:r>
            <w:r>
              <w:rPr>
                <w:rFonts w:hint="eastAsia" w:ascii="宋体" w:hAnsi="宋体" w:eastAsia="宋体" w:cs="宋体"/>
                <w:bCs/>
                <w:color w:val="auto"/>
                <w:szCs w:val="21"/>
                <w:highlight w:val="none"/>
                <w:lang w:val="en-US" w:eastAsia="zh-CN"/>
              </w:rPr>
              <w:t>2024年度</w:t>
            </w:r>
            <w:r>
              <w:rPr>
                <w:rFonts w:hint="eastAsia" w:ascii="宋体" w:hAnsi="宋体" w:eastAsia="宋体" w:cs="宋体"/>
                <w:bCs/>
                <w:color w:val="auto"/>
                <w:szCs w:val="21"/>
                <w:highlight w:val="none"/>
              </w:rPr>
              <w:t>经审计的财务报告，包括资产负债表、利润表、现金流量表、所有者权益变动表及其附注；</w:t>
            </w:r>
          </w:p>
          <w:p w14:paraId="6B03B5A4">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②基本开户银行出具的资信证明；</w:t>
            </w:r>
          </w:p>
          <w:p w14:paraId="58870C90">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③财政部门认可的政府采购专业担保机构的证明文件和担保机构出具的投标担保函。</w:t>
            </w:r>
          </w:p>
          <w:p w14:paraId="38326E37">
            <w:pPr>
              <w:autoSpaceDE w:val="0"/>
              <w:autoSpaceDN w:val="0"/>
              <w:adjustRightInd w:val="0"/>
              <w:spacing w:line="360" w:lineRule="auto"/>
              <w:jc w:val="lef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注：仅需提供序号①～③其中之一即可。</w:t>
            </w:r>
          </w:p>
          <w:p w14:paraId="6EDFFE2C">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（2）供应商（其他组织和自然人）提供本单位：</w:t>
            </w:r>
          </w:p>
          <w:p w14:paraId="494AC5FE">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①</w:t>
            </w:r>
            <w:r>
              <w:rPr>
                <w:rFonts w:hint="eastAsia" w:ascii="宋体" w:hAnsi="宋体" w:eastAsia="宋体" w:cs="宋体"/>
                <w:bCs/>
                <w:color w:val="auto"/>
                <w:szCs w:val="21"/>
                <w:highlight w:val="none"/>
                <w:lang w:val="en-US" w:eastAsia="zh-CN"/>
              </w:rPr>
              <w:t>2024年度</w:t>
            </w:r>
            <w:r>
              <w:rPr>
                <w:rFonts w:hint="eastAsia" w:ascii="宋体" w:hAnsi="宋体" w:eastAsia="宋体" w:cs="宋体"/>
                <w:bCs/>
                <w:color w:val="auto"/>
                <w:szCs w:val="21"/>
                <w:highlight w:val="none"/>
              </w:rPr>
              <w:t>经审计的财务报告，包括资产负债表、利润表、现金流量表、所有者权益变动表及其附注；</w:t>
            </w:r>
          </w:p>
          <w:p w14:paraId="3D7AA04F">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②银行出具的资信证明；</w:t>
            </w:r>
          </w:p>
          <w:p w14:paraId="53D0F610">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③财政部门认可的政府采购专业担保机构的证明文件和担保机构出具的投标担保函。</w:t>
            </w:r>
          </w:p>
          <w:p w14:paraId="4A7917F6">
            <w:pPr>
              <w:autoSpaceDE w:val="0"/>
              <w:autoSpaceDN w:val="0"/>
              <w:adjustRightInd w:val="0"/>
              <w:spacing w:line="360" w:lineRule="auto"/>
              <w:jc w:val="lef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注：仅需提供序号①～③其中之一即可。</w:t>
            </w:r>
          </w:p>
          <w:p w14:paraId="2E1A2C38">
            <w:pPr>
              <w:autoSpaceDE w:val="0"/>
              <w:autoSpaceDN w:val="0"/>
              <w:adjustRightInd w:val="0"/>
              <w:spacing w:line="360" w:lineRule="auto"/>
              <w:ind w:right="-11"/>
              <w:rPr>
                <w:rFonts w:hint="eastAsia" w:ascii="宋体" w:hAnsi="宋体" w:eastAsia="宋体" w:cs="宋体"/>
                <w:bCs/>
                <w:color w:val="auto"/>
                <w:szCs w:val="21"/>
                <w:highlight w:val="none"/>
                <w:lang w:val="zh-CN"/>
              </w:rPr>
            </w:pPr>
            <w:r>
              <w:rPr>
                <w:rFonts w:hint="eastAsia" w:ascii="宋体" w:hAnsi="宋体" w:eastAsia="宋体" w:cs="宋体"/>
                <w:b/>
                <w:color w:val="auto"/>
                <w:szCs w:val="21"/>
                <w:highlight w:val="none"/>
              </w:rPr>
              <w:t>三、依法缴纳税收相关材料</w:t>
            </w:r>
          </w:p>
          <w:p w14:paraId="24CA6312">
            <w:pPr>
              <w:autoSpaceDE w:val="0"/>
              <w:autoSpaceDN w:val="0"/>
              <w:adjustRightInd w:val="0"/>
              <w:spacing w:line="360" w:lineRule="auto"/>
              <w:ind w:right="-11"/>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参加本次政府采购项目投标截止时间前一年内任意一个月缴纳税收凭据。（依法免税的供应商，应提供相应文件证明依法免税）</w:t>
            </w:r>
          </w:p>
          <w:p w14:paraId="4949EDA1">
            <w:pPr>
              <w:autoSpaceDE w:val="0"/>
              <w:autoSpaceDN w:val="0"/>
              <w:adjustRightInd w:val="0"/>
              <w:spacing w:line="360" w:lineRule="auto"/>
              <w:ind w:right="-11"/>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四、依法缴纳社会保障资金的证明材料</w:t>
            </w:r>
          </w:p>
          <w:p w14:paraId="08D9274D">
            <w:pPr>
              <w:autoSpaceDE w:val="0"/>
              <w:autoSpaceDN w:val="0"/>
              <w:adjustRightInd w:val="0"/>
              <w:spacing w:line="360" w:lineRule="auto"/>
              <w:ind w:right="-11"/>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参加本次政府采购项目投标截止时间前一年内任意一个月缴纳社会保险凭据。（依法不需要缴纳社会保障资金的供应商，应提供相应文件证明依法不需要缴纳社会保障资金）</w:t>
            </w:r>
          </w:p>
          <w:p w14:paraId="41838CAF">
            <w:pPr>
              <w:autoSpaceDE w:val="0"/>
              <w:autoSpaceDN w:val="0"/>
              <w:adjustRightInd w:val="0"/>
              <w:spacing w:line="360" w:lineRule="auto"/>
              <w:ind w:right="-11"/>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五、履行合同所必</w:t>
            </w:r>
            <w:r>
              <w:rPr>
                <w:rFonts w:hint="eastAsia" w:ascii="宋体" w:hAnsi="宋体" w:eastAsia="宋体" w:cs="宋体"/>
                <w:b/>
                <w:bCs/>
                <w:color w:val="auto"/>
                <w:szCs w:val="21"/>
                <w:highlight w:val="none"/>
                <w:lang w:val="en-US" w:eastAsia="zh-CN"/>
              </w:rPr>
              <w:t>需</w:t>
            </w:r>
            <w:r>
              <w:rPr>
                <w:rFonts w:hint="eastAsia" w:ascii="宋体" w:hAnsi="宋体" w:eastAsia="宋体" w:cs="宋体"/>
                <w:b/>
                <w:bCs/>
                <w:color w:val="auto"/>
                <w:szCs w:val="21"/>
                <w:highlight w:val="none"/>
                <w:lang w:val="zh-CN"/>
              </w:rPr>
              <w:t>的设备和专业技术能力的证明材料</w:t>
            </w:r>
          </w:p>
          <w:p w14:paraId="58A34610">
            <w:pPr>
              <w:autoSpaceDE w:val="0"/>
              <w:autoSpaceDN w:val="0"/>
              <w:adjustRightInd w:val="0"/>
              <w:spacing w:line="360" w:lineRule="auto"/>
              <w:jc w:val="lef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①相关设备的购置发票、专业技术人员职称证书、用工合同等；</w:t>
            </w:r>
          </w:p>
          <w:p w14:paraId="13E0E2FE">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②供应商具备履行合同所必</w:t>
            </w:r>
            <w:r>
              <w:rPr>
                <w:rFonts w:hint="eastAsia" w:ascii="宋体" w:hAnsi="宋体" w:eastAsia="宋体" w:cs="宋体"/>
                <w:bCs/>
                <w:color w:val="auto"/>
                <w:szCs w:val="21"/>
                <w:highlight w:val="none"/>
                <w:lang w:val="en-US" w:eastAsia="zh-CN"/>
              </w:rPr>
              <w:t>需</w:t>
            </w:r>
            <w:r>
              <w:rPr>
                <w:rFonts w:hint="eastAsia" w:ascii="宋体" w:hAnsi="宋体" w:eastAsia="宋体" w:cs="宋体"/>
                <w:bCs/>
                <w:color w:val="auto"/>
                <w:szCs w:val="21"/>
                <w:highlight w:val="none"/>
              </w:rPr>
              <w:t>的设备和专业技术能力承诺函或声明（承诺函或声明格式自拟）。</w:t>
            </w:r>
          </w:p>
          <w:p w14:paraId="36B705A2">
            <w:pPr>
              <w:autoSpaceDE w:val="0"/>
              <w:autoSpaceDN w:val="0"/>
              <w:adjustRightInd w:val="0"/>
              <w:spacing w:line="360" w:lineRule="auto"/>
              <w:jc w:val="lef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注：仅需提供序号①～②其中之一即可。</w:t>
            </w:r>
          </w:p>
          <w:p w14:paraId="21F2A2B5">
            <w:pPr>
              <w:autoSpaceDE w:val="0"/>
              <w:autoSpaceDN w:val="0"/>
              <w:adjustRightInd w:val="0"/>
              <w:spacing w:line="360" w:lineRule="auto"/>
              <w:ind w:right="-11"/>
              <w:rPr>
                <w:rFonts w:hint="eastAsia" w:ascii="宋体" w:hAnsi="宋体" w:eastAsia="宋体" w:cs="宋体"/>
                <w:b/>
                <w:bCs/>
                <w:color w:val="auto"/>
                <w:szCs w:val="21"/>
                <w:highlight w:val="none"/>
                <w:lang w:val="zh-CN"/>
              </w:rPr>
            </w:pPr>
            <w:r>
              <w:rPr>
                <w:rFonts w:hint="eastAsia" w:ascii="宋体" w:hAnsi="宋体" w:eastAsia="宋体" w:cs="宋体"/>
                <w:b/>
                <w:color w:val="auto"/>
                <w:kern w:val="0"/>
                <w:szCs w:val="21"/>
                <w:highlight w:val="none"/>
              </w:rPr>
              <w:t>六、</w:t>
            </w:r>
            <w:r>
              <w:rPr>
                <w:rFonts w:hint="eastAsia" w:ascii="宋体" w:hAnsi="宋体" w:eastAsia="宋体" w:cs="宋体"/>
                <w:b/>
                <w:bCs/>
                <w:color w:val="auto"/>
                <w:szCs w:val="21"/>
                <w:highlight w:val="none"/>
                <w:lang w:val="zh-CN"/>
              </w:rPr>
              <w:t>参加政府采购活动前3年内在经营活动中没有重大违法记录的声明</w:t>
            </w:r>
          </w:p>
          <w:p w14:paraId="573278ED">
            <w:pPr>
              <w:autoSpaceDE w:val="0"/>
              <w:autoSpaceDN w:val="0"/>
              <w:spacing w:line="360" w:lineRule="auto"/>
              <w:contextualSpacing/>
              <w:jc w:val="lef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供应商“参加政府采购活动前3年内在经营活动中没有重大违法记录的书面声明”。 重大违法记录，是指供应商因违法经营受到刑事处罚或者责令停产停业、吊销许可证或者执照、较大数额罚款等行政处罚。</w:t>
            </w:r>
          </w:p>
          <w:p w14:paraId="0C42CA39">
            <w:pPr>
              <w:wordWrap w:val="0"/>
              <w:autoSpaceDE w:val="0"/>
              <w:autoSpaceDN w:val="0"/>
              <w:spacing w:line="360" w:lineRule="auto"/>
              <w:contextualSpacing/>
              <w:jc w:val="left"/>
              <w:rPr>
                <w:rFonts w:hint="eastAsia" w:ascii="宋体" w:hAnsi="宋体" w:eastAsia="宋体" w:cs="宋体"/>
                <w:color w:val="auto"/>
                <w:kern w:val="0"/>
                <w:szCs w:val="21"/>
                <w:highlight w:val="none"/>
              </w:rPr>
            </w:pPr>
            <w:r>
              <w:rPr>
                <w:rFonts w:hint="eastAsia" w:ascii="宋体" w:hAnsi="宋体" w:eastAsia="宋体" w:cs="宋体"/>
                <w:b/>
                <w:bCs/>
                <w:color w:val="auto"/>
                <w:szCs w:val="21"/>
                <w:highlight w:val="none"/>
                <w:lang w:val="zh-CN"/>
              </w:rPr>
              <w:t>七、</w:t>
            </w:r>
            <w:r>
              <w:rPr>
                <w:rFonts w:hint="eastAsia" w:ascii="宋体" w:hAnsi="宋体" w:eastAsia="宋体" w:cs="宋体"/>
                <w:b/>
                <w:color w:val="auto"/>
                <w:szCs w:val="21"/>
                <w:highlight w:val="none"/>
                <w:shd w:val="clear" w:color="auto" w:fill="FFFFFF"/>
              </w:rPr>
              <w:t>未被列入“信用中国”网站</w:t>
            </w:r>
            <w:r>
              <w:rPr>
                <w:rFonts w:hint="eastAsia" w:ascii="宋体" w:hAnsi="宋体" w:eastAsia="宋体" w:cs="宋体"/>
                <w:b/>
                <w:color w:val="auto"/>
                <w:szCs w:val="21"/>
                <w:highlight w:val="none"/>
                <w:shd w:val="clear" w:color="auto" w:fill="FFFFFF"/>
                <w:lang w:eastAsia="zh-CN"/>
              </w:rPr>
              <w:t>（</w:t>
            </w:r>
            <w:r>
              <w:rPr>
                <w:rFonts w:hint="eastAsia" w:ascii="宋体" w:hAnsi="宋体" w:eastAsia="宋体" w:cs="宋体"/>
                <w:b/>
                <w:color w:val="auto"/>
                <w:szCs w:val="21"/>
                <w:highlight w:val="none"/>
                <w:shd w:val="clear" w:color="auto" w:fill="FFFFFF"/>
              </w:rPr>
              <w:t>www.creditchina.gov.cn</w:t>
            </w:r>
            <w:r>
              <w:rPr>
                <w:rFonts w:hint="eastAsia" w:ascii="宋体" w:hAnsi="宋体" w:eastAsia="宋体" w:cs="宋体"/>
                <w:b/>
                <w:color w:val="auto"/>
                <w:szCs w:val="21"/>
                <w:highlight w:val="none"/>
                <w:shd w:val="clear" w:color="auto" w:fill="FFFFFF"/>
                <w:lang w:eastAsia="zh-CN"/>
              </w:rPr>
              <w:t>）</w:t>
            </w:r>
            <w:r>
              <w:rPr>
                <w:rFonts w:hint="eastAsia" w:ascii="宋体" w:hAnsi="宋体" w:eastAsia="宋体" w:cs="宋体"/>
                <w:b/>
                <w:color w:val="auto"/>
                <w:szCs w:val="21"/>
                <w:highlight w:val="none"/>
                <w:shd w:val="clear" w:color="auto" w:fill="FFFFFF"/>
              </w:rPr>
              <w:t>失信被执行人、重大税收违法失信主体的供应商；“中国政府采购网” (www.ccgp.gov.cn</w:t>
            </w:r>
            <w:r>
              <w:rPr>
                <w:rFonts w:hint="eastAsia" w:ascii="宋体" w:hAnsi="宋体" w:eastAsia="宋体" w:cs="宋体"/>
                <w:b/>
                <w:color w:val="auto"/>
                <w:szCs w:val="21"/>
                <w:highlight w:val="none"/>
                <w:shd w:val="clear" w:color="auto" w:fill="FFFFFF"/>
                <w:lang w:eastAsia="zh-CN"/>
              </w:rPr>
              <w:t>）</w:t>
            </w:r>
            <w:r>
              <w:rPr>
                <w:rFonts w:hint="eastAsia" w:ascii="宋体" w:hAnsi="宋体" w:eastAsia="宋体" w:cs="宋体"/>
                <w:b/>
                <w:color w:val="auto"/>
                <w:szCs w:val="21"/>
                <w:highlight w:val="none"/>
                <w:shd w:val="clear" w:color="auto" w:fill="FFFFFF"/>
              </w:rPr>
              <w:t>政府采购严重违法失信行为记录名单的供应商</w:t>
            </w:r>
            <w:r>
              <w:rPr>
                <w:rFonts w:hint="eastAsia" w:ascii="宋体" w:hAnsi="宋体" w:eastAsia="宋体" w:cs="宋体"/>
                <w:b/>
                <w:bCs/>
                <w:color w:val="auto"/>
                <w:szCs w:val="21"/>
                <w:highlight w:val="none"/>
                <w:lang w:val="zh-CN"/>
              </w:rPr>
              <w:t>；</w:t>
            </w:r>
            <w:r>
              <w:rPr>
                <w:rFonts w:hint="eastAsia" w:ascii="宋体" w:hAnsi="宋体" w:eastAsia="宋体" w:cs="宋体"/>
                <w:b/>
                <w:color w:val="auto"/>
                <w:szCs w:val="21"/>
                <w:highlight w:val="none"/>
                <w:shd w:val="clear" w:color="auto" w:fill="FFFFFF"/>
              </w:rPr>
              <w:t xml:space="preserve"> “中国社会组织政务服务平台”网站（https://chinanpo.mca.gov.cn）严重违法失信社会组织名单的供应商</w:t>
            </w:r>
            <w:r>
              <w:rPr>
                <w:rFonts w:hint="eastAsia" w:ascii="宋体" w:hAnsi="宋体" w:eastAsia="宋体" w:cs="宋体"/>
                <w:b/>
                <w:color w:val="auto"/>
                <w:szCs w:val="21"/>
                <w:highlight w:val="none"/>
                <w:shd w:val="clear" w:color="auto" w:fill="FFFFFF"/>
                <w:lang w:eastAsia="zh-CN"/>
              </w:rPr>
              <w:t>（以</w:t>
            </w:r>
            <w:r>
              <w:rPr>
                <w:rFonts w:hint="eastAsia" w:ascii="宋体" w:hAnsi="宋体" w:eastAsia="宋体" w:cs="宋体"/>
                <w:color w:val="auto"/>
                <w:kern w:val="0"/>
                <w:szCs w:val="21"/>
                <w:highlight w:val="none"/>
              </w:rPr>
              <w:t>联合体形式投标的，联合体成员存在不良信用记录，视同联合体存在不良信用记录）。</w:t>
            </w:r>
          </w:p>
          <w:p w14:paraId="79ABFDB5">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1.</w:t>
            </w:r>
            <w:r>
              <w:rPr>
                <w:rFonts w:hint="eastAsia" w:ascii="宋体" w:hAnsi="宋体" w:eastAsia="宋体" w:cs="宋体"/>
                <w:color w:val="auto"/>
                <w:kern w:val="0"/>
                <w:szCs w:val="21"/>
                <w:highlight w:val="none"/>
              </w:rPr>
              <w:t>查询渠道：</w:t>
            </w:r>
          </w:p>
          <w:p w14:paraId="11CEEB71">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highlight w:val="none"/>
              </w:rPr>
              <w:t>www.creditchina.gov.cn</w:t>
            </w:r>
            <w:r>
              <w:rPr>
                <w:rFonts w:hint="eastAsia" w:ascii="宋体" w:hAnsi="宋体" w:eastAsia="宋体" w:cs="宋体"/>
                <w:color w:val="auto"/>
                <w:kern w:val="0"/>
                <w:highlight w:val="none"/>
              </w:rPr>
              <w:fldChar w:fldCharType="end"/>
            </w:r>
            <w:r>
              <w:rPr>
                <w:rFonts w:hint="eastAsia" w:ascii="宋体" w:hAnsi="宋体" w:eastAsia="宋体" w:cs="宋体"/>
                <w:color w:val="auto"/>
                <w:kern w:val="0"/>
                <w:szCs w:val="21"/>
                <w:highlight w:val="none"/>
              </w:rPr>
              <w:t>）</w:t>
            </w:r>
          </w:p>
          <w:p w14:paraId="0EC96B2B">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②“中国政府采购网”（www.ccgp.gov.cn）</w:t>
            </w:r>
          </w:p>
          <w:p w14:paraId="63102002">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③“中国社会组织政务服务平台”网站（https://chinanpo.mca.gov.cn）（仅查询社会组织）；</w:t>
            </w:r>
          </w:p>
        </w:tc>
      </w:tr>
      <w:tr w14:paraId="1887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981745A">
            <w:pPr>
              <w:autoSpaceDE w:val="0"/>
              <w:autoSpaceDN w:val="0"/>
              <w:adjustRightInd w:val="0"/>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w:t>
            </w:r>
          </w:p>
        </w:tc>
        <w:tc>
          <w:tcPr>
            <w:tcW w:w="2268" w:type="dxa"/>
            <w:vAlign w:val="center"/>
          </w:tcPr>
          <w:p w14:paraId="1C2E5C46">
            <w:pPr>
              <w:autoSpaceDE w:val="0"/>
              <w:autoSpaceDN w:val="0"/>
              <w:adjustRightIn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投诉渠道</w:t>
            </w:r>
          </w:p>
        </w:tc>
        <w:tc>
          <w:tcPr>
            <w:tcW w:w="6813" w:type="dxa"/>
            <w:vAlign w:val="center"/>
          </w:tcPr>
          <w:p w14:paraId="64CB243C">
            <w:pPr>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供应商在评标结果和中标结果公示期间， 按照《政府采购质疑和投诉办法》的有关规定，已质疑的供应商可以依法向财政部门提起书面投诉。</w:t>
            </w:r>
          </w:p>
          <w:p w14:paraId="1FB8BE95">
            <w:pPr>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受理部门：禹州市财政局政府采购监督管理办公室</w:t>
            </w:r>
          </w:p>
          <w:p w14:paraId="1EA3C40A">
            <w:pPr>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受理电话：0374-8112523   </w:t>
            </w:r>
          </w:p>
          <w:p w14:paraId="7CE054F7">
            <w:pPr>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电子邮箱：yzscgb8112523@163.com</w:t>
            </w:r>
          </w:p>
          <w:p w14:paraId="4A5F35EA">
            <w:pPr>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通讯地址：禹州市行政北路2号禹州市财政局1305房间</w:t>
            </w:r>
          </w:p>
        </w:tc>
      </w:tr>
    </w:tbl>
    <w:p w14:paraId="671B032C">
      <w:pPr>
        <w:pStyle w:val="39"/>
        <w:rPr>
          <w:rFonts w:hint="eastAsia" w:ascii="宋体" w:hAnsi="宋体" w:eastAsia="宋体" w:cs="宋体"/>
          <w:color w:val="auto"/>
          <w:highlight w:val="none"/>
        </w:rPr>
      </w:pPr>
    </w:p>
    <w:p w14:paraId="3A52AFFC">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2"/>
          <w:szCs w:val="32"/>
          <w:highlight w:val="none"/>
        </w:rPr>
      </w:pPr>
    </w:p>
    <w:p w14:paraId="7C7CFDD7">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2"/>
          <w:szCs w:val="32"/>
          <w:highlight w:val="none"/>
        </w:rPr>
      </w:pPr>
    </w:p>
    <w:p w14:paraId="5A902397">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2"/>
          <w:szCs w:val="32"/>
          <w:highlight w:val="none"/>
        </w:rPr>
      </w:pPr>
    </w:p>
    <w:p w14:paraId="0E2AE106">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2"/>
          <w:szCs w:val="32"/>
          <w:highlight w:val="none"/>
        </w:rPr>
      </w:pPr>
    </w:p>
    <w:p w14:paraId="788D7632">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2"/>
          <w:szCs w:val="32"/>
          <w:highlight w:val="none"/>
        </w:rPr>
      </w:pPr>
    </w:p>
    <w:p w14:paraId="1FBD3051">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2"/>
          <w:szCs w:val="32"/>
          <w:highlight w:val="none"/>
        </w:rPr>
      </w:pPr>
    </w:p>
    <w:p w14:paraId="1416BB17">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2"/>
          <w:szCs w:val="32"/>
          <w:highlight w:val="none"/>
        </w:rPr>
      </w:pPr>
    </w:p>
    <w:p w14:paraId="465F9B1F">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2"/>
          <w:szCs w:val="32"/>
          <w:highlight w:val="none"/>
        </w:rPr>
      </w:pPr>
    </w:p>
    <w:p w14:paraId="7E7071FF">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2"/>
          <w:szCs w:val="32"/>
          <w:highlight w:val="none"/>
        </w:rPr>
      </w:pPr>
    </w:p>
    <w:p w14:paraId="32BEB3A4">
      <w:pPr>
        <w:tabs>
          <w:tab w:val="left" w:pos="1260"/>
        </w:tabs>
        <w:autoSpaceDE w:val="0"/>
        <w:autoSpaceDN w:val="0"/>
        <w:adjustRightInd w:val="0"/>
        <w:spacing w:line="360" w:lineRule="auto"/>
        <w:contextualSpacing/>
        <w:jc w:val="both"/>
        <w:rPr>
          <w:rFonts w:hint="eastAsia" w:ascii="宋体" w:hAnsi="宋体" w:eastAsia="宋体" w:cs="宋体"/>
          <w:b/>
          <w:color w:val="auto"/>
          <w:kern w:val="0"/>
          <w:sz w:val="32"/>
          <w:szCs w:val="32"/>
          <w:highlight w:val="none"/>
        </w:rPr>
      </w:pPr>
    </w:p>
    <w:p w14:paraId="12C40C14">
      <w:pPr>
        <w:tabs>
          <w:tab w:val="left" w:pos="1260"/>
        </w:tabs>
        <w:autoSpaceDE w:val="0"/>
        <w:autoSpaceDN w:val="0"/>
        <w:adjustRightInd w:val="0"/>
        <w:spacing w:line="360" w:lineRule="auto"/>
        <w:contextualSpacing/>
        <w:jc w:val="both"/>
        <w:rPr>
          <w:rFonts w:hint="eastAsia" w:ascii="宋体" w:hAnsi="宋体" w:eastAsia="宋体" w:cs="宋体"/>
          <w:b/>
          <w:color w:val="auto"/>
          <w:kern w:val="0"/>
          <w:sz w:val="32"/>
          <w:szCs w:val="32"/>
          <w:highlight w:val="none"/>
        </w:rPr>
      </w:pPr>
    </w:p>
    <w:p w14:paraId="4617E312">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第四章 投标人须知</w:t>
      </w:r>
    </w:p>
    <w:p w14:paraId="2A368039">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一、概念释义</w:t>
      </w:r>
    </w:p>
    <w:p w14:paraId="6D9E17C8">
      <w:pPr>
        <w:pStyle w:val="59"/>
        <w:numPr>
          <w:ilvl w:val="0"/>
          <w:numId w:val="9"/>
        </w:numPr>
        <w:autoSpaceDE w:val="0"/>
        <w:autoSpaceDN w:val="0"/>
        <w:spacing w:line="360" w:lineRule="auto"/>
        <w:ind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适用范围</w:t>
      </w:r>
    </w:p>
    <w:p w14:paraId="17B1BF23">
      <w:pPr>
        <w:pStyle w:val="59"/>
        <w:numPr>
          <w:ilvl w:val="0"/>
          <w:numId w:val="10"/>
        </w:numPr>
        <w:autoSpaceDE w:val="0"/>
        <w:autoSpaceDN w:val="0"/>
        <w:spacing w:line="360" w:lineRule="auto"/>
        <w:ind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本招标文件仅适用于本次“投标邀请”中所述采购项目。</w:t>
      </w:r>
    </w:p>
    <w:p w14:paraId="43D145A6">
      <w:pPr>
        <w:pStyle w:val="59"/>
        <w:numPr>
          <w:ilvl w:val="1"/>
          <w:numId w:val="9"/>
        </w:numPr>
        <w:autoSpaceDE w:val="0"/>
        <w:autoSpaceDN w:val="0"/>
        <w:spacing w:line="360" w:lineRule="auto"/>
        <w:ind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本招标文件解释权属于“投标邀请”所述的采购人。</w:t>
      </w:r>
    </w:p>
    <w:p w14:paraId="43D7CD1B">
      <w:pPr>
        <w:pStyle w:val="59"/>
        <w:numPr>
          <w:ilvl w:val="0"/>
          <w:numId w:val="9"/>
        </w:numPr>
        <w:autoSpaceDE w:val="0"/>
        <w:autoSpaceDN w:val="0"/>
        <w:spacing w:line="360" w:lineRule="auto"/>
        <w:ind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定义</w:t>
      </w:r>
    </w:p>
    <w:p w14:paraId="235A03A6">
      <w:pPr>
        <w:pStyle w:val="59"/>
        <w:numPr>
          <w:ilvl w:val="0"/>
          <w:numId w:val="10"/>
        </w:numPr>
        <w:autoSpaceDE w:val="0"/>
        <w:autoSpaceDN w:val="0"/>
        <w:spacing w:line="360" w:lineRule="auto"/>
        <w:ind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“采购项目”：“投标人须知前附表”中所述的采购项目。</w:t>
      </w:r>
    </w:p>
    <w:p w14:paraId="24124D65">
      <w:pPr>
        <w:pStyle w:val="59"/>
        <w:numPr>
          <w:ilvl w:val="1"/>
          <w:numId w:val="9"/>
        </w:numPr>
        <w:autoSpaceDE w:val="0"/>
        <w:autoSpaceDN w:val="0"/>
        <w:spacing w:line="360" w:lineRule="auto"/>
        <w:ind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“招标人”：“投标人须知前附表”中所述的组织本次招标的代理机构和采购人。</w:t>
      </w:r>
    </w:p>
    <w:p w14:paraId="19922069">
      <w:pPr>
        <w:pStyle w:val="59"/>
        <w:numPr>
          <w:ilvl w:val="1"/>
          <w:numId w:val="9"/>
        </w:numPr>
        <w:autoSpaceDE w:val="0"/>
        <w:autoSpaceDN w:val="0"/>
        <w:spacing w:line="360" w:lineRule="auto"/>
        <w:ind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“采购人”：是指依法进行政府采购的国家机关、事业单位、团体组织。采购人名称、</w:t>
      </w:r>
    </w:p>
    <w:p w14:paraId="6FBD9E36">
      <w:pPr>
        <w:pStyle w:val="59"/>
        <w:numPr>
          <w:ilvl w:val="0"/>
          <w:numId w:val="0"/>
        </w:numPr>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地址、电话、联系人见“投标人须知前附表”。</w:t>
      </w:r>
    </w:p>
    <w:p w14:paraId="6CBAADE2">
      <w:pPr>
        <w:pStyle w:val="59"/>
        <w:numPr>
          <w:ilvl w:val="1"/>
          <w:numId w:val="9"/>
        </w:numPr>
        <w:autoSpaceDE w:val="0"/>
        <w:autoSpaceDN w:val="0"/>
        <w:spacing w:line="360" w:lineRule="auto"/>
        <w:ind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“代理机构”：接受采购人委托，代理采购项目的采购代理机构。代理机构名称、地址、</w:t>
      </w:r>
    </w:p>
    <w:p w14:paraId="6E15B76B">
      <w:pPr>
        <w:pStyle w:val="59"/>
        <w:autoSpaceDE w:val="0"/>
        <w:autoSpaceDN w:val="0"/>
        <w:spacing w:line="360" w:lineRule="auto"/>
        <w:ind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电话、联系人见“投标人须知前附表”。</w:t>
      </w:r>
    </w:p>
    <w:p w14:paraId="69FA12E2">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采购代理机构及其分支机构不得在所代理的采购项目中投标或者代理投标，不得为所代理的采购项目的投标人参加本项目提供投标咨询。</w:t>
      </w:r>
    </w:p>
    <w:p w14:paraId="61C9A15A">
      <w:pPr>
        <w:pStyle w:val="59"/>
        <w:numPr>
          <w:ilvl w:val="1"/>
          <w:numId w:val="9"/>
        </w:numPr>
        <w:autoSpaceDE w:val="0"/>
        <w:autoSpaceDN w:val="0"/>
        <w:spacing w:line="360" w:lineRule="auto"/>
        <w:ind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“潜在投标人”指符合《中华人民共和国政府采购法》及相关法律法规和本招标文件的</w:t>
      </w:r>
    </w:p>
    <w:p w14:paraId="049BAF69">
      <w:pPr>
        <w:pStyle w:val="59"/>
        <w:autoSpaceDE w:val="0"/>
        <w:autoSpaceDN w:val="0"/>
        <w:spacing w:line="360" w:lineRule="auto"/>
        <w:ind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各项规定，且按照本项目招标公告及招标文件规定的方式获取招标文件的法人、其他组织或者自然人。</w:t>
      </w:r>
    </w:p>
    <w:p w14:paraId="7440F1CD">
      <w:pPr>
        <w:pStyle w:val="59"/>
        <w:numPr>
          <w:ilvl w:val="1"/>
          <w:numId w:val="9"/>
        </w:numPr>
        <w:autoSpaceDE w:val="0"/>
        <w:autoSpaceDN w:val="0"/>
        <w:spacing w:line="360" w:lineRule="auto"/>
        <w:ind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“投标人”：是指符合《中华人民共和国政府采购法》及相关法律法规和本招标文件的</w:t>
      </w:r>
    </w:p>
    <w:p w14:paraId="5FAE6EE3">
      <w:pPr>
        <w:pStyle w:val="59"/>
        <w:autoSpaceDE w:val="0"/>
        <w:autoSpaceDN w:val="0"/>
        <w:spacing w:line="360" w:lineRule="auto"/>
        <w:ind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各项规定，响应招标、参加投标竞争，从招标人处按规定获取招标文件，并按照招标文件要求向招标人提交投标文件的法人、其他组织或者自然人。</w:t>
      </w:r>
    </w:p>
    <w:p w14:paraId="46F6CB60">
      <w:pPr>
        <w:pStyle w:val="59"/>
        <w:numPr>
          <w:ilvl w:val="1"/>
          <w:numId w:val="9"/>
        </w:numPr>
        <w:autoSpaceDE w:val="0"/>
        <w:autoSpaceDN w:val="0"/>
        <w:spacing w:line="360" w:lineRule="auto"/>
        <w:ind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“进口产品”：是指通过中国海关报关验放进入中国境内且产自关境外的产品，包括已</w:t>
      </w:r>
    </w:p>
    <w:p w14:paraId="0B4577A5">
      <w:pPr>
        <w:pStyle w:val="59"/>
        <w:autoSpaceDE w:val="0"/>
        <w:autoSpaceDN w:val="0"/>
        <w:spacing w:line="360" w:lineRule="auto"/>
        <w:ind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经进入中国境内的进口产品。详见《关于政府采购进口产品管理有关问题的通知》</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财库</w:t>
      </w:r>
      <w:r>
        <w:rPr>
          <w:rFonts w:hint="eastAsia" w:ascii="宋体" w:hAnsi="宋体" w:eastAsia="宋体" w:cs="宋体"/>
          <w:color w:val="auto"/>
          <w:kern w:val="0"/>
          <w:szCs w:val="21"/>
          <w:highlight w:val="none"/>
          <w:lang w:eastAsia="zh-CN"/>
        </w:rPr>
        <w:t>〔2007〕119号）</w:t>
      </w:r>
      <w:r>
        <w:rPr>
          <w:rFonts w:hint="eastAsia" w:ascii="宋体" w:hAnsi="宋体" w:eastAsia="宋体" w:cs="宋体"/>
          <w:color w:val="auto"/>
          <w:kern w:val="0"/>
          <w:szCs w:val="21"/>
          <w:highlight w:val="none"/>
        </w:rPr>
        <w:t>、《关于政府采购进口产品管理有关问题的通知》（财办库</w:t>
      </w:r>
      <w:r>
        <w:rPr>
          <w:rFonts w:hint="eastAsia" w:ascii="宋体" w:hAnsi="宋体" w:eastAsia="宋体" w:cs="宋体"/>
          <w:color w:val="auto"/>
          <w:kern w:val="0"/>
          <w:szCs w:val="21"/>
          <w:highlight w:val="none"/>
          <w:lang w:eastAsia="zh-CN"/>
        </w:rPr>
        <w:t>〔2008〕</w:t>
      </w:r>
      <w:r>
        <w:rPr>
          <w:rFonts w:hint="eastAsia" w:ascii="宋体" w:hAnsi="宋体" w:eastAsia="宋体" w:cs="宋体"/>
          <w:color w:val="auto"/>
          <w:kern w:val="0"/>
          <w:szCs w:val="21"/>
          <w:highlight w:val="none"/>
        </w:rPr>
        <w:t>248 号）。</w:t>
      </w:r>
    </w:p>
    <w:p w14:paraId="0F9DF50C">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 招标文件列明不允许或未列明允许进口产品参加投标的，均视为拒绝进口产品参加投标。</w:t>
      </w:r>
    </w:p>
    <w:p w14:paraId="1228A99F">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2.7.2 如招标文件中已说明，经财政部门审核同意，允许部分或全部产品采购进口产品，投标人既</w:t>
      </w:r>
      <w:r>
        <w:rPr>
          <w:rFonts w:hint="eastAsia" w:ascii="宋体" w:hAnsi="宋体" w:eastAsia="宋体" w:cs="宋体"/>
          <w:color w:val="auto"/>
          <w:kern w:val="0"/>
          <w:szCs w:val="21"/>
          <w:highlight w:val="none"/>
          <w:lang w:eastAsia="zh-CN"/>
        </w:rPr>
        <w:t>可以</w:t>
      </w:r>
      <w:r>
        <w:rPr>
          <w:rFonts w:hint="eastAsia" w:ascii="宋体" w:hAnsi="宋体" w:eastAsia="宋体" w:cs="宋体"/>
          <w:color w:val="auto"/>
          <w:kern w:val="0"/>
          <w:szCs w:val="21"/>
          <w:highlight w:val="none"/>
        </w:rPr>
        <w:t>提供本国产品，也可以提供进口产品。</w:t>
      </w:r>
    </w:p>
    <w:p w14:paraId="59FADD7F">
      <w:pPr>
        <w:pStyle w:val="59"/>
        <w:autoSpaceDE w:val="0"/>
        <w:autoSpaceDN w:val="0"/>
        <w:spacing w:line="360" w:lineRule="auto"/>
        <w:ind w:left="-987" w:leftChars="-470" w:firstLine="1470" w:firstLineChars="700"/>
        <w:contextualSpacing/>
        <w:rPr>
          <w:rFonts w:hint="eastAsia" w:ascii="宋体" w:hAnsi="宋体" w:eastAsia="宋体" w:cs="宋体"/>
          <w:color w:val="auto"/>
          <w:highlight w:val="none"/>
        </w:rPr>
      </w:pPr>
      <w:r>
        <w:rPr>
          <w:rFonts w:hint="eastAsia" w:ascii="宋体" w:hAnsi="宋体" w:eastAsia="宋体" w:cs="宋体"/>
          <w:color w:val="auto"/>
          <w:kern w:val="0"/>
          <w:szCs w:val="21"/>
          <w:highlight w:val="none"/>
        </w:rPr>
        <w:t>2.8 招标文件中凡标有“★”的条款均系实质性要求条款。</w:t>
      </w:r>
    </w:p>
    <w:p w14:paraId="3C7E4ABE">
      <w:pPr>
        <w:autoSpaceDE w:val="0"/>
        <w:autoSpaceDN w:val="0"/>
        <w:spacing w:line="360" w:lineRule="auto"/>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3.合格的投标人</w:t>
      </w:r>
    </w:p>
    <w:p w14:paraId="69005D6D">
      <w:pPr>
        <w:pStyle w:val="65"/>
        <w:numPr>
          <w:ilvl w:val="0"/>
          <w:numId w:val="0"/>
        </w:numPr>
        <w:tabs>
          <w:tab w:val="left" w:pos="0"/>
        </w:tabs>
        <w:adjustRightInd/>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3.1在中华人民共和国境内注册，具有本项目实施能力，符合、承认并承诺履行本招标文件各项规定的法人、其他组织或者自然人。</w:t>
      </w:r>
    </w:p>
    <w:p w14:paraId="0D0A8FC9">
      <w:pPr>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符合本项目“投标邀请”和“投标人须知前附表”中规定的合格投标人所必须具备的条件。</w:t>
      </w:r>
    </w:p>
    <w:p w14:paraId="2A1D6897">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3.3政府采购活动中查询及使用投标人信用记录的具体要求为：投标人未被列入失信被执行人、重大税收违法</w:t>
      </w:r>
      <w:r>
        <w:rPr>
          <w:rFonts w:hint="eastAsia" w:ascii="宋体" w:hAnsi="宋体" w:eastAsia="宋体" w:cs="宋体"/>
          <w:color w:val="auto"/>
          <w:szCs w:val="21"/>
          <w:highlight w:val="none"/>
          <w:lang w:val="en-US" w:eastAsia="zh-CN"/>
        </w:rPr>
        <w:t>失信主体</w:t>
      </w:r>
      <w:r>
        <w:rPr>
          <w:rFonts w:hint="eastAsia" w:ascii="宋体" w:hAnsi="宋体" w:eastAsia="宋体" w:cs="宋体"/>
          <w:color w:val="auto"/>
          <w:szCs w:val="21"/>
          <w:highlight w:val="none"/>
        </w:rPr>
        <w:t>、政府采购严重违法失信行为记录名单、严重违法失信社会组织名单</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rPr>
        <w:t>联合体形式投标的，联合体成员存在不良信用记录，视同联合体存在不良信用记录）。</w:t>
      </w:r>
    </w:p>
    <w:p w14:paraId="59CE75FD">
      <w:pPr>
        <w:numPr>
          <w:ilvl w:val="0"/>
          <w:numId w:val="11"/>
        </w:num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查询渠道：“信用中国”网站（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Style w:val="35"/>
          <w:rFonts w:hint="eastAsia" w:ascii="宋体" w:hAnsi="宋体" w:eastAsia="宋体" w:cs="宋体"/>
          <w:color w:val="auto"/>
          <w:szCs w:val="21"/>
          <w:highlight w:val="none"/>
        </w:rPr>
        <w:t>www.creditchina.gov.cn</w:t>
      </w:r>
      <w:r>
        <w:rPr>
          <w:rStyle w:val="35"/>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Style w:val="35"/>
          <w:rFonts w:hint="eastAsia" w:ascii="宋体" w:hAnsi="宋体" w:eastAsia="宋体" w:cs="宋体"/>
          <w:color w:val="auto"/>
          <w:szCs w:val="21"/>
          <w:highlight w:val="none"/>
        </w:rPr>
        <w:t>www.ccgp.gov.cn</w:t>
      </w:r>
      <w:r>
        <w:rPr>
          <w:rStyle w:val="35"/>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）、“国家企业信用</w:t>
      </w:r>
      <w:r>
        <w:rPr>
          <w:rFonts w:hint="eastAsia" w:ascii="宋体" w:hAnsi="宋体" w:eastAsia="宋体" w:cs="宋体"/>
          <w:color w:val="auto"/>
          <w:szCs w:val="21"/>
          <w:highlight w:val="none"/>
          <w:lang w:val="en-US" w:eastAsia="zh-CN"/>
        </w:rPr>
        <w:t>信息</w:t>
      </w:r>
      <w:r>
        <w:rPr>
          <w:rFonts w:hint="eastAsia" w:ascii="宋体" w:hAnsi="宋体" w:eastAsia="宋体" w:cs="宋体"/>
          <w:color w:val="auto"/>
          <w:szCs w:val="21"/>
          <w:highlight w:val="none"/>
        </w:rPr>
        <w:t>公示系统”网站（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"http://www.gsxt.gov.cn" </w:instrText>
      </w:r>
      <w:r>
        <w:rPr>
          <w:rFonts w:hint="eastAsia" w:ascii="宋体" w:hAnsi="宋体" w:eastAsia="宋体" w:cs="宋体"/>
          <w:color w:val="auto"/>
          <w:highlight w:val="none"/>
        </w:rPr>
        <w:fldChar w:fldCharType="separate"/>
      </w:r>
      <w:r>
        <w:rPr>
          <w:rStyle w:val="35"/>
          <w:rFonts w:hint="eastAsia" w:ascii="宋体" w:hAnsi="宋体" w:eastAsia="宋体" w:cs="宋体"/>
          <w:color w:val="auto"/>
          <w:szCs w:val="21"/>
          <w:highlight w:val="none"/>
        </w:rPr>
        <w:t>www.gsxt.gov.cn</w:t>
      </w:r>
      <w:r>
        <w:rPr>
          <w:rStyle w:val="35"/>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）、“中国社会组织政务服务平台”网站（</w:t>
      </w:r>
      <w:r>
        <w:rPr>
          <w:rFonts w:hint="eastAsia" w:ascii="宋体" w:hAnsi="宋体" w:eastAsia="宋体" w:cs="宋体"/>
          <w:color w:val="auto"/>
          <w:highlight w:val="none"/>
          <w:u w:val="single"/>
        </w:rPr>
        <w:t>chinanpo.mca.gov.cn</w:t>
      </w:r>
      <w:r>
        <w:rPr>
          <w:rFonts w:hint="eastAsia" w:ascii="宋体" w:hAnsi="宋体" w:eastAsia="宋体" w:cs="宋体"/>
          <w:color w:val="auto"/>
          <w:szCs w:val="21"/>
          <w:highlight w:val="none"/>
        </w:rPr>
        <w:t>）；</w:t>
      </w:r>
    </w:p>
    <w:p w14:paraId="4BF64B0A">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3.4 单位负责人为同一人或者存在直接控股、管理关系的不同供应商，不得参加同一合同项下的政府采购活动；</w:t>
      </w:r>
    </w:p>
    <w:p w14:paraId="6496685D">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 除单一来源采购项目外，为采购项目提供整体设计、规范编制或者项目管理、监理、检测等服务的供应商，不得再参加该采购项目的其他采购活动。</w:t>
      </w:r>
    </w:p>
    <w:p w14:paraId="323E60FE">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 “投标邀请”和“投标人须知前附表”规定接受联合体投标的，除应符合本章第3.1项和3.2项要求外，还应遵守以下规定：</w:t>
      </w:r>
    </w:p>
    <w:p w14:paraId="0D58DC30">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（1）在投标文件中向采购人提交联合体协议书，明确联合体各方承担的工作和义务；</w:t>
      </w:r>
    </w:p>
    <w:p w14:paraId="39D127B5">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（2）联合体中有同类资质的供应商按联合体分工承担相同工作的，应当按照资质等级较低的供应商确定资质等级；</w:t>
      </w:r>
    </w:p>
    <w:p w14:paraId="603F4EF4">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（3）招标人根据采购项目的特殊要求规定投标人特定条件的，联合体各方中至少应当有一方符合采购规定的特定条件。</w:t>
      </w:r>
    </w:p>
    <w:p w14:paraId="1890E16B">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（4）联合体各方不得再单独参加或者与其他供应商另外组成联合体参加同一合同项下的政府采购活动。</w:t>
      </w:r>
    </w:p>
    <w:p w14:paraId="60423952">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（5）联合体各方应当共同与采购人签订采购合同，就采购合同约定的事项对采购人</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"https://baike.baidu.com/item/%E6%89%BF%E6%8B%85%E8%BF%9E%E5%B8%A6%E8%B4%A3%E4%BB%BB" \t "_blank"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Cs w:val="21"/>
          <w:highlight w:val="none"/>
        </w:rPr>
        <w:t>承担连带责任</w:t>
      </w:r>
      <w:r>
        <w:rPr>
          <w:rFonts w:hint="eastAsia" w:ascii="宋体" w:hAnsi="宋体" w:eastAsia="宋体" w:cs="宋体"/>
          <w:color w:val="auto"/>
          <w:kern w:val="0"/>
          <w:szCs w:val="21"/>
          <w:highlight w:val="none"/>
        </w:rPr>
        <w:fldChar w:fldCharType="end"/>
      </w:r>
      <w:r>
        <w:rPr>
          <w:rFonts w:hint="eastAsia" w:ascii="宋体" w:hAnsi="宋体" w:eastAsia="宋体" w:cs="宋体"/>
          <w:color w:val="auto"/>
          <w:kern w:val="0"/>
          <w:szCs w:val="21"/>
          <w:highlight w:val="none"/>
        </w:rPr>
        <w:t>。</w:t>
      </w:r>
    </w:p>
    <w:p w14:paraId="13587B50">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 法律、行政法规规定的其他条件。</w:t>
      </w:r>
    </w:p>
    <w:p w14:paraId="386F0F8E">
      <w:pPr>
        <w:pStyle w:val="59"/>
        <w:autoSpaceDE w:val="0"/>
        <w:autoSpaceDN w:val="0"/>
        <w:spacing w:line="360" w:lineRule="auto"/>
        <w:ind w:firstLine="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4.合格的货物和服务</w:t>
      </w:r>
    </w:p>
    <w:p w14:paraId="44B7E2F3">
      <w:pPr>
        <w:pStyle w:val="59"/>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 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018759E5">
      <w:pPr>
        <w:pStyle w:val="59"/>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 投标人所提供的服务应当没有侵犯任何第三方的知识产权、秘密等合法权利。</w:t>
      </w:r>
    </w:p>
    <w:p w14:paraId="27142B8D">
      <w:pPr>
        <w:pStyle w:val="59"/>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4.3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47F2700F">
      <w:pPr>
        <w:pStyle w:val="59"/>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根据国家互联网信息办公室、工业和信息化部、公安部和国家认证认可监督管理委员会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且在有效期内。</w:t>
      </w:r>
    </w:p>
    <w:p w14:paraId="0F5C14B7">
      <w:pPr>
        <w:autoSpaceDE w:val="0"/>
        <w:autoSpaceDN w:val="0"/>
        <w:spacing w:line="360" w:lineRule="auto"/>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eastAsia="zh-CN"/>
        </w:rPr>
        <w:t>5.</w:t>
      </w:r>
      <w:r>
        <w:rPr>
          <w:rFonts w:hint="eastAsia" w:ascii="宋体" w:hAnsi="宋体" w:eastAsia="宋体" w:cs="宋体"/>
          <w:b/>
          <w:color w:val="auto"/>
          <w:kern w:val="0"/>
          <w:szCs w:val="21"/>
          <w:highlight w:val="none"/>
        </w:rPr>
        <w:t>投标费用</w:t>
      </w:r>
    </w:p>
    <w:p w14:paraId="3BE0D393">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不论投标的结果如何，投标人均应自行承担所有与投标有关的全部费用，招标人在任何情况下均无义务和责任承担这些费用。</w:t>
      </w:r>
    </w:p>
    <w:p w14:paraId="220FB920">
      <w:pPr>
        <w:autoSpaceDE w:val="0"/>
        <w:autoSpaceDN w:val="0"/>
        <w:spacing w:line="360" w:lineRule="auto"/>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eastAsia="zh-CN"/>
        </w:rPr>
        <w:t>6.</w:t>
      </w:r>
      <w:r>
        <w:rPr>
          <w:rFonts w:hint="eastAsia" w:ascii="宋体" w:hAnsi="宋体" w:eastAsia="宋体" w:cs="宋体"/>
          <w:b/>
          <w:color w:val="auto"/>
          <w:kern w:val="0"/>
          <w:szCs w:val="21"/>
          <w:highlight w:val="none"/>
        </w:rPr>
        <w:t>信息发布</w:t>
      </w:r>
    </w:p>
    <w:p w14:paraId="2B7ECDA0">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本采购项目需要公开的有关信息，包括招标公告、招标文件澄清或修改公告、中标公告以及延长投标截止时间等与招标活动有关的通知，招标人均将通过在</w:t>
      </w:r>
      <w:r>
        <w:rPr>
          <w:rFonts w:hint="eastAsia" w:ascii="宋体" w:hAnsi="宋体" w:eastAsia="宋体" w:cs="宋体"/>
          <w:color w:val="auto"/>
          <w:szCs w:val="21"/>
          <w:highlight w:val="none"/>
        </w:rPr>
        <w:t>《河南省政府采购网》、《许昌市政府采购网》</w:t>
      </w:r>
      <w:r>
        <w:rPr>
          <w:rFonts w:hint="eastAsia" w:ascii="宋体" w:hAnsi="宋体" w:eastAsia="宋体" w:cs="宋体"/>
          <w:color w:val="auto"/>
          <w:kern w:val="0"/>
          <w:szCs w:val="21"/>
          <w:highlight w:val="none"/>
        </w:rPr>
        <w:t>和《全国公共资源交易平台（河南省·许昌市）》公开发布。投标人在参与本采购项目招投标活动期间，请及时关注以上媒体上的相关信息，投标人因没有及时关注而未能如期获取相关信息</w:t>
      </w:r>
      <w:r>
        <w:rPr>
          <w:rFonts w:hint="eastAsia" w:ascii="宋体" w:hAnsi="宋体" w:eastAsia="宋体" w:cs="宋体"/>
          <w:color w:val="auto"/>
          <w:kern w:val="0"/>
          <w:szCs w:val="21"/>
          <w:highlight w:val="none"/>
          <w:lang w:eastAsia="zh-CN"/>
        </w:rPr>
        <w:t>，以</w:t>
      </w:r>
      <w:r>
        <w:rPr>
          <w:rFonts w:hint="eastAsia" w:ascii="宋体" w:hAnsi="宋体" w:eastAsia="宋体" w:cs="宋体"/>
          <w:color w:val="auto"/>
          <w:kern w:val="0"/>
          <w:szCs w:val="21"/>
          <w:highlight w:val="none"/>
        </w:rPr>
        <w:t>及因此所产生的一切后果和责任，由投标人自行承担，招标人在任何情况下均不对此承担任何责任。</w:t>
      </w:r>
    </w:p>
    <w:p w14:paraId="5F431FC6">
      <w:pPr>
        <w:autoSpaceDE w:val="0"/>
        <w:autoSpaceDN w:val="0"/>
        <w:spacing w:line="360" w:lineRule="auto"/>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7.采购代理机构代理费用收取标准和方式</w:t>
      </w:r>
    </w:p>
    <w:p w14:paraId="74F52B5F">
      <w:pPr>
        <w:autoSpaceDE w:val="0"/>
        <w:autoSpaceDN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见投标人须知前附表。</w:t>
      </w:r>
    </w:p>
    <w:p w14:paraId="0046A20D">
      <w:pPr>
        <w:autoSpaceDE w:val="0"/>
        <w:autoSpaceDN w:val="0"/>
        <w:spacing w:line="360" w:lineRule="auto"/>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8. 其他</w:t>
      </w:r>
    </w:p>
    <w:p w14:paraId="496A63FC">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投标人须知”的条款如与“投标邀请”、“项目需求”、“投标人须知前附表”和“资格审查与评标”就同一内容的表述不一致的，以“投标邀请”、“项目需求”、“投标人须知前附表”和“资格审查与评标”中规定的内容为准。</w:t>
      </w:r>
    </w:p>
    <w:p w14:paraId="6C8005B6">
      <w:pPr>
        <w:tabs>
          <w:tab w:val="left" w:pos="1260"/>
        </w:tabs>
        <w:autoSpaceDE w:val="0"/>
        <w:autoSpaceDN w:val="0"/>
        <w:spacing w:line="360" w:lineRule="auto"/>
        <w:contextualSpacing/>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二、招标文件说明</w:t>
      </w:r>
    </w:p>
    <w:p w14:paraId="2F722FFA">
      <w:pPr>
        <w:autoSpaceDE w:val="0"/>
        <w:autoSpaceDN w:val="0"/>
        <w:spacing w:line="360" w:lineRule="auto"/>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eastAsia="zh-CN"/>
        </w:rPr>
        <w:t>9.</w:t>
      </w:r>
      <w:r>
        <w:rPr>
          <w:rFonts w:hint="eastAsia" w:ascii="宋体" w:hAnsi="宋体" w:eastAsia="宋体" w:cs="宋体"/>
          <w:b/>
          <w:color w:val="auto"/>
          <w:kern w:val="0"/>
          <w:szCs w:val="21"/>
          <w:highlight w:val="none"/>
        </w:rPr>
        <w:t>招标文件构成</w:t>
      </w:r>
    </w:p>
    <w:p w14:paraId="77BB47D7">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9.1 招标文件由以下部分组成：</w:t>
      </w:r>
    </w:p>
    <w:p w14:paraId="52AD3F01">
      <w:pPr>
        <w:autoSpaceDE w:val="0"/>
        <w:autoSpaceDN w:val="0"/>
        <w:spacing w:line="360" w:lineRule="auto"/>
        <w:ind w:firstLine="210" w:firstLineChars="1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（1）投标邀请</w:t>
      </w:r>
    </w:p>
    <w:p w14:paraId="3F01523B">
      <w:pPr>
        <w:autoSpaceDE w:val="0"/>
        <w:autoSpaceDN w:val="0"/>
        <w:spacing w:line="360" w:lineRule="auto"/>
        <w:ind w:firstLine="210" w:firstLineChars="1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（2）项目需求</w:t>
      </w:r>
    </w:p>
    <w:p w14:paraId="0CB2B1AB">
      <w:pPr>
        <w:autoSpaceDE w:val="0"/>
        <w:autoSpaceDN w:val="0"/>
        <w:spacing w:line="360" w:lineRule="auto"/>
        <w:ind w:firstLine="210" w:firstLineChars="1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（3）投标人须知前附表</w:t>
      </w:r>
    </w:p>
    <w:p w14:paraId="3EB20521">
      <w:pPr>
        <w:autoSpaceDE w:val="0"/>
        <w:autoSpaceDN w:val="0"/>
        <w:spacing w:line="360" w:lineRule="auto"/>
        <w:ind w:firstLine="210" w:firstLineChars="1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（4）投标人须知</w:t>
      </w:r>
    </w:p>
    <w:p w14:paraId="0FB7C362">
      <w:pPr>
        <w:autoSpaceDE w:val="0"/>
        <w:autoSpaceDN w:val="0"/>
        <w:spacing w:line="360" w:lineRule="auto"/>
        <w:ind w:firstLine="210" w:firstLineChars="1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（5）政府采购政策功能</w:t>
      </w:r>
    </w:p>
    <w:p w14:paraId="64A05A8C">
      <w:pPr>
        <w:autoSpaceDE w:val="0"/>
        <w:autoSpaceDN w:val="0"/>
        <w:spacing w:line="360" w:lineRule="auto"/>
        <w:ind w:firstLine="210" w:firstLineChars="1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（6）资格审查与评标</w:t>
      </w:r>
    </w:p>
    <w:p w14:paraId="795CC2EC">
      <w:pPr>
        <w:autoSpaceDE w:val="0"/>
        <w:autoSpaceDN w:val="0"/>
        <w:spacing w:line="360" w:lineRule="auto"/>
        <w:ind w:firstLine="210" w:firstLineChars="1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（7）合同条款及格式</w:t>
      </w:r>
    </w:p>
    <w:p w14:paraId="40F81ED3">
      <w:pPr>
        <w:autoSpaceDE w:val="0"/>
        <w:autoSpaceDN w:val="0"/>
        <w:spacing w:line="360" w:lineRule="auto"/>
        <w:ind w:firstLine="210" w:firstLineChars="1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（8）投标文件有关格式</w:t>
      </w:r>
    </w:p>
    <w:p w14:paraId="675B0573">
      <w:pPr>
        <w:autoSpaceDE w:val="0"/>
        <w:autoSpaceDN w:val="0"/>
        <w:spacing w:line="360" w:lineRule="auto"/>
        <w:ind w:firstLine="210" w:firstLineChars="1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（9）本项目招标文件的附件澄清、答复、修改、补充内容（如有的话）</w:t>
      </w:r>
    </w:p>
    <w:p w14:paraId="799D87D1">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 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37BF9A49">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23147FF0">
      <w:pPr>
        <w:autoSpaceDE w:val="0"/>
        <w:autoSpaceDN w:val="0"/>
        <w:spacing w:line="360" w:lineRule="auto"/>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10.现场考察、开标前答疑会</w:t>
      </w:r>
    </w:p>
    <w:p w14:paraId="4B89F518">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 不统一组织，自行考察。</w:t>
      </w:r>
    </w:p>
    <w:p w14:paraId="55FA7827">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10.2自行现场考察所发生的费用及一切责任由投标人自行承担。</w:t>
      </w:r>
    </w:p>
    <w:p w14:paraId="26741815">
      <w:pPr>
        <w:autoSpaceDE w:val="0"/>
        <w:autoSpaceDN w:val="0"/>
        <w:spacing w:line="360" w:lineRule="auto"/>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11.招标文件的澄清或修改</w:t>
      </w:r>
    </w:p>
    <w:p w14:paraId="2E4F9EC4">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 在投标截止期前，无论出于何种原因，招标人可主动地或在解答潜在投标人提出的澄清问题时对招标文件进行修改。</w:t>
      </w:r>
    </w:p>
    <w:p w14:paraId="5D0414A7">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11.2 招标人可以对已发出的招标文件进行必要的澄清或者修改。澄清或者修改的内容可能影响投标文件编制的，招标人将在投标截止时间15日前，在财政部门指定的政府采购信息发布媒体和《全国公共资源交易平台（河南省·许昌市）》发布更正公告。</w:t>
      </w:r>
    </w:p>
    <w:p w14:paraId="5B6C4DDA">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 澄清或修改公告的内容为招标文件的组成部分，并对投标人具有约束力。当招标文件与澄清或修改公告就同一内容的表述不一致时，以最后发出的文件内容为准。</w:t>
      </w:r>
    </w:p>
    <w:p w14:paraId="6D4D951B">
      <w:pPr>
        <w:autoSpaceDE w:val="0"/>
        <w:autoSpaceDN w:val="0"/>
        <w:spacing w:line="360" w:lineRule="auto"/>
        <w:ind w:firstLine="420" w:firstLineChars="200"/>
        <w:contextualSpacing/>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11.4 如果澄清或者修改发出的时间距规定的投标截止时间不足15日，招标人将顺延提交投标文件的截止时间。</w:t>
      </w:r>
    </w:p>
    <w:p w14:paraId="41D1EDE7">
      <w:pPr>
        <w:tabs>
          <w:tab w:val="left" w:pos="1260"/>
        </w:tabs>
        <w:autoSpaceDE w:val="0"/>
        <w:autoSpaceDN w:val="0"/>
        <w:spacing w:line="360" w:lineRule="auto"/>
        <w:contextualSpacing/>
        <w:jc w:val="center"/>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rPr>
        <w:t>三、投标文件的编制</w:t>
      </w:r>
    </w:p>
    <w:p w14:paraId="0634B6EB">
      <w:pPr>
        <w:autoSpaceDE w:val="0"/>
        <w:autoSpaceDN w:val="0"/>
        <w:spacing w:line="360" w:lineRule="auto"/>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eastAsia="zh-CN"/>
        </w:rPr>
        <w:t>12.</w:t>
      </w:r>
      <w:r>
        <w:rPr>
          <w:rFonts w:hint="eastAsia" w:ascii="宋体" w:hAnsi="宋体" w:eastAsia="宋体" w:cs="宋体"/>
          <w:b/>
          <w:color w:val="auto"/>
          <w:kern w:val="0"/>
          <w:szCs w:val="21"/>
          <w:highlight w:val="none"/>
        </w:rPr>
        <w:t>投标的语言及计量单位</w:t>
      </w:r>
    </w:p>
    <w:p w14:paraId="58D3CA2A">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投标人提交的投标文件以及投标人与招标人就有关投标事宜的所有来往书面文件均应使用中文。除签名、盖章、专用名称等特殊情形外，以中文以外的文字表述的投标文件视同未提供。</w:t>
      </w:r>
    </w:p>
    <w:p w14:paraId="7EA51F29">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投标计量单位，招标文件已有明确规定的，使用招标文件规定的计量单位；招标文件没有规定的，一律采用中华人民共和国法定计量单位。</w:t>
      </w:r>
    </w:p>
    <w:p w14:paraId="55523F90">
      <w:pPr>
        <w:autoSpaceDE w:val="0"/>
        <w:autoSpaceDN w:val="0"/>
        <w:spacing w:line="360" w:lineRule="auto"/>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13. 投标报价</w:t>
      </w:r>
    </w:p>
    <w:p w14:paraId="75CF9A3C">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本次招标项目的投标均以</w:t>
      </w:r>
      <w:r>
        <w:rPr>
          <w:rFonts w:hint="eastAsia" w:ascii="宋体" w:hAnsi="宋体" w:eastAsia="宋体" w:cs="宋体"/>
          <w:b/>
          <w:color w:val="auto"/>
          <w:kern w:val="0"/>
          <w:szCs w:val="21"/>
          <w:highlight w:val="none"/>
        </w:rPr>
        <w:t>人民币</w:t>
      </w:r>
      <w:r>
        <w:rPr>
          <w:rFonts w:hint="eastAsia" w:ascii="宋体" w:hAnsi="宋体" w:eastAsia="宋体" w:cs="宋体"/>
          <w:color w:val="auto"/>
          <w:kern w:val="0"/>
          <w:szCs w:val="21"/>
          <w:highlight w:val="none"/>
        </w:rPr>
        <w:t>为计算单位。</w:t>
      </w:r>
    </w:p>
    <w:p w14:paraId="6F4D7F28">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采购人不得向投标人索要或者接受其给予的赠品、回扣或者与采购无关的其他商品、服务。</w:t>
      </w:r>
    </w:p>
    <w:p w14:paraId="52D271EA">
      <w:pPr>
        <w:pStyle w:val="40"/>
        <w:spacing w:line="374"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投标人应对项目要求的全部内容进行报价，少报漏报将导致其投标</w:t>
      </w:r>
      <w:r>
        <w:rPr>
          <w:rFonts w:hint="eastAsia" w:ascii="宋体" w:hAnsi="宋体" w:eastAsia="宋体" w:cs="宋体"/>
          <w:color w:val="auto"/>
          <w:szCs w:val="21"/>
          <w:highlight w:val="none"/>
          <w:lang w:val="en-GB"/>
        </w:rPr>
        <w:t>为非实质性响应予以拒绝。</w:t>
      </w:r>
    </w:p>
    <w:p w14:paraId="6DD73E58">
      <w:pPr>
        <w:spacing w:line="360" w:lineRule="auto"/>
        <w:ind w:firstLine="420" w:firstLineChars="200"/>
        <w:outlineLvl w:val="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13.4 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国家规定检测、外发包、材料（含辅材）、管理、税费及利润等。</w:t>
      </w:r>
    </w:p>
    <w:p w14:paraId="1D87EC48">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13.5 本项目所涉及的运输、施工、安装、集成、调试、验收、备品和工具等费用均包含在投标报价中。</w:t>
      </w:r>
    </w:p>
    <w:p w14:paraId="3D4D8EB2">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13.6 本次招标不接受可选择或可调整的投标方案和报价，任何有选择的或可调整的投标方案和报价将被视为非实质性响应投标而作无效投标处理。</w:t>
      </w:r>
    </w:p>
    <w:p w14:paraId="77B5A6C3">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13.7 报价不得高于本项目最高限价，且不低于成本价。</w:t>
      </w:r>
      <w:r>
        <w:rPr>
          <w:rFonts w:hint="eastAsia" w:ascii="宋体" w:hAnsi="宋体" w:eastAsia="宋体" w:cs="宋体"/>
          <w:color w:val="auto"/>
          <w:szCs w:val="21"/>
          <w:highlight w:val="none"/>
          <w:lang w:val="en-GB"/>
        </w:rPr>
        <w:t>本次招标实行“最高限价（项目控制金额上限）”</w:t>
      </w:r>
      <w:r>
        <w:rPr>
          <w:rFonts w:hint="eastAsia" w:ascii="宋体" w:hAnsi="宋体" w:eastAsia="宋体" w:cs="宋体"/>
          <w:color w:val="auto"/>
          <w:szCs w:val="21"/>
          <w:highlight w:val="none"/>
          <w:lang w:val="en-GB" w:eastAsia="zh-CN"/>
        </w:rPr>
        <w:t>，</w:t>
      </w:r>
      <w:r>
        <w:rPr>
          <w:rFonts w:hint="eastAsia" w:ascii="宋体" w:hAnsi="宋体" w:eastAsia="宋体" w:cs="宋体"/>
          <w:color w:val="auto"/>
          <w:szCs w:val="21"/>
          <w:highlight w:val="none"/>
          <w:lang w:val="en-GB"/>
        </w:rPr>
        <w:t>投标人的投标报价高于最高限价（项目控制金额上限）的，该投标人的投标文件将被视为非实质性响应予以拒绝。</w:t>
      </w:r>
    </w:p>
    <w:p w14:paraId="5B61A820">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13.8 最低报价不能作为中标的保证。</w:t>
      </w:r>
    </w:p>
    <w:p w14:paraId="042BC562">
      <w:pPr>
        <w:autoSpaceDE w:val="0"/>
        <w:autoSpaceDN w:val="0"/>
        <w:spacing w:line="360" w:lineRule="auto"/>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eastAsia="zh-CN"/>
        </w:rPr>
        <w:t>14.</w:t>
      </w:r>
      <w:r>
        <w:rPr>
          <w:rFonts w:hint="eastAsia" w:ascii="宋体" w:hAnsi="宋体" w:eastAsia="宋体" w:cs="宋体"/>
          <w:b/>
          <w:color w:val="auto"/>
          <w:kern w:val="0"/>
          <w:szCs w:val="21"/>
          <w:highlight w:val="none"/>
        </w:rPr>
        <w:t>投标有效期</w:t>
      </w:r>
    </w:p>
    <w:p w14:paraId="40C369FB">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14.1 投标有效期从提交投标文件的截止之日起算。本项目投标有效期详</w:t>
      </w:r>
      <w:r>
        <w:rPr>
          <w:rFonts w:hint="eastAsia" w:ascii="宋体" w:hAnsi="宋体" w:eastAsia="宋体" w:cs="宋体"/>
          <w:color w:val="auto"/>
          <w:szCs w:val="21"/>
          <w:highlight w:val="none"/>
          <w:lang w:val="zh-CN"/>
        </w:rPr>
        <w:t>见投标人须知前附表。</w:t>
      </w:r>
      <w:r>
        <w:rPr>
          <w:rFonts w:hint="eastAsia" w:ascii="宋体" w:hAnsi="宋体" w:eastAsia="宋体" w:cs="宋体"/>
          <w:color w:val="auto"/>
          <w:kern w:val="0"/>
          <w:szCs w:val="21"/>
          <w:highlight w:val="none"/>
        </w:rPr>
        <w:t>投标文件中承诺的投标有效期应当不少于“投标人须知前附表”载明的投标有效期。投标有效期比招标文件规定短的属于非实质性响应，将被认定为无效投标。</w:t>
      </w:r>
    </w:p>
    <w:p w14:paraId="5E302EE4">
      <w:pPr>
        <w:pStyle w:val="59"/>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 特殊情况下，在原投标有效期截止之前，招标人可要求投标人延长投标有效期。这种要求与答复均应以书面形式提交。投标人可拒绝招标人的这种要求，其投标保证金将不会被没收，但其投标在原投标有效期期满后将不再有效。同意延长投标有效期的投标人将不会被要求和允许修正其投标，而只会被要求相应地延长其投标保证金的有效期。在这种情况下，有关投标保证金的退还和没收的规定将在延长的有效期内继续有效。同意延期的投标人在原投标有效期内应享之权利及应负之责任也相应延续。</w:t>
      </w:r>
    </w:p>
    <w:p w14:paraId="380F95AB">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中标人的投标文件作为项目合同的附件，其有效期至中标人全部合同义务履行完毕为止。</w:t>
      </w:r>
    </w:p>
    <w:p w14:paraId="061BA2CC">
      <w:pPr>
        <w:autoSpaceDE w:val="0"/>
        <w:autoSpaceDN w:val="0"/>
        <w:spacing w:line="360" w:lineRule="auto"/>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eastAsia="zh-CN"/>
        </w:rPr>
        <w:t>15.</w:t>
      </w:r>
      <w:r>
        <w:rPr>
          <w:rFonts w:hint="eastAsia" w:ascii="宋体" w:hAnsi="宋体" w:eastAsia="宋体" w:cs="宋体"/>
          <w:b/>
          <w:color w:val="auto"/>
          <w:kern w:val="0"/>
          <w:szCs w:val="21"/>
          <w:highlight w:val="none"/>
        </w:rPr>
        <w:t>投标文件构成</w:t>
      </w:r>
    </w:p>
    <w:p w14:paraId="6AC165E6">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 投标文件的构成应符合法律法规及招标文件的要求。</w:t>
      </w:r>
    </w:p>
    <w:p w14:paraId="4795A129">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 投标人应当按照招标文件的要求编制投标文件。投标文件应当对招标文件提出的要求和条件作出明确响应。</w:t>
      </w:r>
    </w:p>
    <w:p w14:paraId="17E6F214">
      <w:pPr>
        <w:pStyle w:val="59"/>
        <w:numPr>
          <w:ilvl w:val="0"/>
          <w:numId w:val="0"/>
        </w:numPr>
        <w:shd w:val="clea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 投标文件由资格证明材料、符合性证明材料、</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材料等组成。</w:t>
      </w:r>
    </w:p>
    <w:p w14:paraId="40A181EF">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15.4 投标人根据招标文件的规定和采购项目的实际情况，拟在中标后将中标项目的非主体、非关键性工作分包的，应当在投标文件中载明分包承担主体，分包承担主体应当具备相应资质条件且不得再次分包。</w:t>
      </w:r>
    </w:p>
    <w:p w14:paraId="7D603476">
      <w:pPr>
        <w:autoSpaceDE w:val="0"/>
        <w:autoSpaceDN w:val="0"/>
        <w:spacing w:line="360" w:lineRule="auto"/>
        <w:ind w:firstLine="420" w:firstLineChars="200"/>
        <w:contextualSpacing/>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kern w:val="0"/>
          <w:szCs w:val="21"/>
          <w:highlight w:val="none"/>
        </w:rPr>
        <w:t xml:space="preserve">15.5 </w:t>
      </w:r>
      <w:r>
        <w:rPr>
          <w:rFonts w:hint="eastAsia" w:ascii="宋体" w:hAnsi="宋体" w:eastAsia="宋体" w:cs="宋体"/>
          <w:color w:val="auto"/>
          <w:kern w:val="0"/>
          <w:sz w:val="21"/>
          <w:szCs w:val="21"/>
          <w:highlight w:val="none"/>
          <w:lang w:val="en-US" w:eastAsia="zh-CN" w:bidi="ar-SA"/>
        </w:rPr>
        <w:t>供应商登录“全国公共资源交易平台（河南省·许昌市）”下载“新点投标文件制作软件（河南省版）”的最新版本，按所响应标段招标文件的要求制作电子响应文件。一个标段对应生成2份电子响应文件（后缀格式为.XCSTF和.nXCSTF），其中后缀格式为“.XCSTF”的加密电子响应文件用于上传至交易系统中投标。</w:t>
      </w:r>
    </w:p>
    <w:p w14:paraId="4E5B5B2F">
      <w:pPr>
        <w:autoSpaceDE w:val="0"/>
        <w:autoSpaceDN w:val="0"/>
        <w:spacing w:line="360" w:lineRule="auto"/>
        <w:ind w:firstLine="420" w:firstLineChars="200"/>
        <w:contextualSpacing/>
        <w:rPr>
          <w:rFonts w:hint="eastAsia" w:ascii="宋体" w:hAnsi="宋体" w:eastAsia="宋体" w:cs="宋体"/>
          <w:bCs/>
          <w:color w:val="auto"/>
          <w:kern w:val="0"/>
          <w:szCs w:val="21"/>
          <w:highlight w:val="none"/>
        </w:rPr>
      </w:pPr>
      <w:r>
        <w:rPr>
          <w:rFonts w:hint="eastAsia" w:ascii="宋体" w:hAnsi="宋体" w:eastAsia="宋体" w:cs="宋体"/>
          <w:color w:val="auto"/>
          <w:kern w:val="0"/>
          <w:sz w:val="21"/>
          <w:szCs w:val="21"/>
          <w:highlight w:val="none"/>
          <w:lang w:val="en-US" w:eastAsia="zh-CN" w:bidi="ar-SA"/>
        </w:rPr>
        <w:t>电子投标文件制作技术咨询：0374-</w:t>
      </w:r>
      <w:r>
        <w:rPr>
          <w:rStyle w:val="89"/>
          <w:rFonts w:hint="eastAsia" w:ascii="宋体" w:hAnsi="宋体" w:eastAsia="宋体" w:cs="宋体"/>
          <w:color w:val="auto"/>
          <w:sz w:val="21"/>
          <w:szCs w:val="21"/>
          <w:highlight w:val="none"/>
        </w:rPr>
        <w:t>296</w:t>
      </w:r>
      <w:r>
        <w:rPr>
          <w:rStyle w:val="89"/>
          <w:rFonts w:hint="eastAsia" w:ascii="宋体" w:hAnsi="宋体" w:eastAsia="宋体" w:cs="宋体"/>
          <w:color w:val="auto"/>
          <w:sz w:val="21"/>
          <w:szCs w:val="21"/>
          <w:highlight w:val="none"/>
          <w:lang w:val="en-US" w:eastAsia="zh-CN"/>
        </w:rPr>
        <w:t>1598</w:t>
      </w:r>
      <w:r>
        <w:rPr>
          <w:rFonts w:hint="eastAsia" w:ascii="宋体" w:hAnsi="宋体" w:eastAsia="宋体" w:cs="宋体"/>
          <w:color w:val="auto"/>
          <w:kern w:val="0"/>
          <w:sz w:val="21"/>
          <w:szCs w:val="21"/>
          <w:highlight w:val="none"/>
          <w:lang w:val="en-US" w:eastAsia="zh-CN" w:bidi="ar-SA"/>
        </w:rPr>
        <w:t>。</w:t>
      </w:r>
    </w:p>
    <w:p w14:paraId="15505888">
      <w:pPr>
        <w:autoSpaceDE w:val="0"/>
        <w:autoSpaceDN w:val="0"/>
        <w:spacing w:line="360" w:lineRule="auto"/>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16.投标文件格式</w:t>
      </w:r>
    </w:p>
    <w:p w14:paraId="04B0984D">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投标人应按招标文件提供的格式编写投标文件。招标文件未提供标准格式的投标人可自行拟定。</w:t>
      </w:r>
    </w:p>
    <w:p w14:paraId="7E3517E7">
      <w:pPr>
        <w:autoSpaceDE w:val="0"/>
        <w:autoSpaceDN w:val="0"/>
        <w:spacing w:line="360" w:lineRule="auto"/>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17.投标保证金</w:t>
      </w:r>
    </w:p>
    <w:p w14:paraId="5E171877">
      <w:pPr>
        <w:autoSpaceDE w:val="0"/>
        <w:autoSpaceDN w:val="0"/>
        <w:adjustRightIn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17.1</w:t>
      </w:r>
      <w:r>
        <w:rPr>
          <w:rFonts w:hint="eastAsia" w:ascii="宋体" w:hAnsi="宋体" w:eastAsia="宋体" w:cs="宋体"/>
          <w:color w:val="auto"/>
          <w:szCs w:val="21"/>
          <w:highlight w:val="none"/>
          <w:lang w:val="zh-CN"/>
        </w:rPr>
        <w:t>本项目不收取投标保证金。</w:t>
      </w:r>
    </w:p>
    <w:p w14:paraId="3C060691">
      <w:pPr>
        <w:autoSpaceDE w:val="0"/>
        <w:autoSpaceDN w:val="0"/>
        <w:adjustRightIn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17.2</w:t>
      </w:r>
      <w:r>
        <w:rPr>
          <w:rFonts w:hint="eastAsia" w:ascii="宋体" w:hAnsi="宋体" w:eastAsia="宋体" w:cs="宋体"/>
          <w:color w:val="auto"/>
          <w:szCs w:val="21"/>
          <w:highlight w:val="none"/>
          <w:lang w:val="zh-CN"/>
        </w:rPr>
        <w:t>投标人应提供投标承诺函。</w:t>
      </w:r>
    </w:p>
    <w:p w14:paraId="4FB15259">
      <w:pPr>
        <w:tabs>
          <w:tab w:val="left" w:pos="1260"/>
        </w:tabs>
        <w:autoSpaceDE w:val="0"/>
        <w:autoSpaceDN w:val="0"/>
        <w:spacing w:line="360" w:lineRule="auto"/>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rPr>
        <w:t>8</w:t>
      </w:r>
      <w:r>
        <w:rPr>
          <w:rFonts w:hint="eastAsia" w:ascii="宋体" w:hAnsi="宋体" w:eastAsia="宋体" w:cs="宋体"/>
          <w:b/>
          <w:color w:val="auto"/>
          <w:szCs w:val="21"/>
          <w:highlight w:val="none"/>
          <w:lang w:val="zh-CN"/>
        </w:rPr>
        <w:t>.投标文件的数量和签署盖章</w:t>
      </w:r>
    </w:p>
    <w:p w14:paraId="38FA7808">
      <w:pPr>
        <w:autoSpaceDE w:val="0"/>
        <w:autoSpaceDN w:val="0"/>
        <w:adjustRightIn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.1 投标人应提交投标文件份数见“投标人须知前附表”。</w:t>
      </w:r>
    </w:p>
    <w:p w14:paraId="33C35882">
      <w:pPr>
        <w:tabs>
          <w:tab w:val="left" w:pos="1260"/>
        </w:tabs>
        <w:autoSpaceDE w:val="0"/>
        <w:autoSpaceDN w:val="0"/>
        <w:spacing w:line="360" w:lineRule="auto"/>
        <w:ind w:firstLine="420" w:firstLineChars="200"/>
        <w:contextualSpacing/>
        <w:rPr>
          <w:ins w:id="0" w:author="许昌丰元咨询管理有限公司:连丹丹" w:date="2021-06-08T09:27:00Z"/>
          <w:rFonts w:hint="eastAsia" w:ascii="宋体" w:hAnsi="宋体" w:eastAsia="宋体" w:cs="宋体"/>
          <w:b/>
          <w:color w:val="auto"/>
          <w:kern w:val="0"/>
          <w:sz w:val="28"/>
          <w:szCs w:val="28"/>
          <w:highlight w:val="none"/>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.2 在招标文件中已明示需盖章及签名之处，电子投标文件应按招标文件要求加盖投标人电</w:t>
      </w:r>
      <w:r>
        <w:rPr>
          <w:rFonts w:hint="eastAsia" w:ascii="宋体" w:hAnsi="宋体" w:eastAsia="宋体" w:cs="宋体"/>
          <w:color w:val="auto"/>
          <w:szCs w:val="21"/>
          <w:highlight w:val="none"/>
        </w:rPr>
        <w:t>子印章和法人电子印章或授权代表电子印章。</w:t>
      </w:r>
    </w:p>
    <w:p w14:paraId="48432E8C">
      <w:pPr>
        <w:tabs>
          <w:tab w:val="left" w:pos="1260"/>
        </w:tabs>
        <w:autoSpaceDE w:val="0"/>
        <w:autoSpaceDN w:val="0"/>
        <w:spacing w:line="360" w:lineRule="auto"/>
        <w:contextualSpacing/>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四、投标文件的递交</w:t>
      </w:r>
    </w:p>
    <w:p w14:paraId="7642B972">
      <w:pPr>
        <w:numPr>
          <w:ilvl w:val="0"/>
          <w:numId w:val="12"/>
        </w:numPr>
        <w:tabs>
          <w:tab w:val="left" w:pos="1260"/>
        </w:tabs>
        <w:autoSpaceDE w:val="0"/>
        <w:autoSpaceDN w:val="0"/>
        <w:spacing w:line="360" w:lineRule="auto"/>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投标文件的递交及投标截止时间</w:t>
      </w:r>
    </w:p>
    <w:p w14:paraId="2B6B9E16">
      <w:pPr>
        <w:tabs>
          <w:tab w:val="left" w:pos="1260"/>
        </w:tabs>
        <w:autoSpaceDE w:val="0"/>
        <w:autoSpaceDN w:val="0"/>
        <w:spacing w:line="360" w:lineRule="auto"/>
        <w:ind w:firstLine="420" w:firstLineChars="200"/>
        <w:contextualSpacing/>
        <w:rPr>
          <w:rFonts w:hint="eastAsia" w:ascii="宋体" w:hAnsi="宋体" w:eastAsia="宋体" w:cs="宋体"/>
          <w:color w:val="auto"/>
          <w:highlight w:val="none"/>
          <w:lang w:val="zh-CN"/>
        </w:rPr>
      </w:pPr>
      <w:r>
        <w:rPr>
          <w:rFonts w:hint="eastAsia" w:ascii="宋体" w:hAnsi="宋体" w:eastAsia="宋体" w:cs="宋体"/>
          <w:color w:val="auto"/>
          <w:szCs w:val="21"/>
          <w:highlight w:val="none"/>
        </w:rPr>
        <w:t>19.1 电子投标文件：成功上传至《全国公共资源交易平台（河南省·许昌市）》公共资源交易系统加密电子投标文件。</w:t>
      </w:r>
    </w:p>
    <w:p w14:paraId="624A9BF8">
      <w:pPr>
        <w:pStyle w:val="59"/>
        <w:autoSpaceDE w:val="0"/>
        <w:autoSpaceDN w:val="0"/>
        <w:spacing w:line="360" w:lineRule="auto"/>
        <w:contextualSpacing/>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b/>
          <w:color w:val="auto"/>
          <w:kern w:val="0"/>
          <w:sz w:val="21"/>
          <w:szCs w:val="21"/>
          <w:highlight w:val="none"/>
        </w:rPr>
        <w:t>本项目采用“远程不见面”开标方式，</w:t>
      </w:r>
      <w:r>
        <w:rPr>
          <w:rFonts w:hint="eastAsia" w:ascii="宋体" w:hAnsi="宋体" w:eastAsia="宋体" w:cs="宋体"/>
          <w:color w:val="auto"/>
          <w:kern w:val="0"/>
          <w:sz w:val="21"/>
          <w:szCs w:val="21"/>
          <w:highlight w:val="none"/>
        </w:rPr>
        <w:t>投标人无须到开标现场参加开标会议、无须现场提交有关原件资料；投标人在</w:t>
      </w:r>
      <w:r>
        <w:rPr>
          <w:rFonts w:hint="eastAsia" w:ascii="宋体" w:hAnsi="宋体" w:eastAsia="宋体" w:cs="宋体"/>
          <w:color w:val="auto"/>
          <w:sz w:val="21"/>
          <w:szCs w:val="21"/>
          <w:highlight w:val="none"/>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r>
        <w:rPr>
          <w:rFonts w:hint="eastAsia" w:ascii="宋体" w:hAnsi="宋体" w:eastAsia="宋体" w:cs="宋体"/>
          <w:color w:val="auto"/>
          <w:kern w:val="0"/>
          <w:sz w:val="21"/>
          <w:szCs w:val="21"/>
          <w:highlight w:val="none"/>
        </w:rPr>
        <w:t>。</w:t>
      </w:r>
    </w:p>
    <w:p w14:paraId="7BBF1162">
      <w:pPr>
        <w:autoSpaceDE w:val="0"/>
        <w:autoSpaceDN w:val="0"/>
        <w:spacing w:line="360" w:lineRule="auto"/>
        <w:ind w:firstLine="420" w:firstLineChars="200"/>
        <w:contextualSpacing/>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 xml:space="preserve">3 </w:t>
      </w:r>
      <w:r>
        <w:rPr>
          <w:rFonts w:hint="eastAsia" w:ascii="宋体" w:hAnsi="宋体" w:eastAsia="宋体" w:cs="宋体"/>
          <w:bCs/>
          <w:color w:val="auto"/>
          <w:szCs w:val="21"/>
          <w:highlight w:val="none"/>
        </w:rPr>
        <w:t>招标人可以按本须知第14条规定，通过修改招标文件自行决定酌情延长投标截止期。在此情况下，招标人和投标人受投标截止期制约的所有权利和义务均应延长至新的截止日期和时间。投标人按招标人修改通知规定的时间递交投标文件。</w:t>
      </w:r>
    </w:p>
    <w:p w14:paraId="34353FFF">
      <w:pPr>
        <w:tabs>
          <w:tab w:val="left" w:pos="1260"/>
        </w:tabs>
        <w:autoSpaceDE w:val="0"/>
        <w:autoSpaceDN w:val="0"/>
        <w:spacing w:line="360" w:lineRule="auto"/>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20</w:t>
      </w:r>
      <w:r>
        <w:rPr>
          <w:rFonts w:hint="eastAsia" w:ascii="宋体" w:hAnsi="宋体" w:eastAsia="宋体" w:cs="宋体"/>
          <w:b/>
          <w:color w:val="auto"/>
          <w:szCs w:val="21"/>
          <w:highlight w:val="none"/>
          <w:lang w:val="zh-CN"/>
        </w:rPr>
        <w:t>. 迟交的投标文件</w:t>
      </w:r>
    </w:p>
    <w:p w14:paraId="4166DA98">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投标截止时间之后上传的投标文件，招标人将拒绝接收。</w:t>
      </w:r>
    </w:p>
    <w:p w14:paraId="48EA63E3">
      <w:pPr>
        <w:tabs>
          <w:tab w:val="left" w:pos="1260"/>
        </w:tabs>
        <w:autoSpaceDE w:val="0"/>
        <w:autoSpaceDN w:val="0"/>
        <w:spacing w:line="360" w:lineRule="auto"/>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 投标文件的修改和撤回</w:t>
      </w:r>
    </w:p>
    <w:p w14:paraId="13D1E906">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 xml:space="preserve">.1 </w:t>
      </w:r>
      <w:r>
        <w:rPr>
          <w:rFonts w:hint="eastAsia" w:ascii="宋体" w:hAnsi="宋体" w:eastAsia="宋体" w:cs="宋体"/>
          <w:color w:val="auto"/>
          <w:szCs w:val="21"/>
          <w:highlight w:val="none"/>
        </w:rPr>
        <w:t>投标人应当在投标截止时间前完成电子投标文件的提交，可以补充、修改或撤回。投标截止时间前未完成电子投标文件提交、取得“投标文件提交回执单”的，视为撤回投标文件。</w:t>
      </w:r>
    </w:p>
    <w:p w14:paraId="44855113">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投标人在递交投标文件后，可以撤回其投标，但投标人必须在规定的投标截止时间前以书面形式告知招标人。</w:t>
      </w:r>
    </w:p>
    <w:p w14:paraId="1784FD28">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kern w:val="0"/>
          <w:szCs w:val="21"/>
          <w:highlight w:val="none"/>
        </w:rPr>
        <w:t>投标人不得在投标有效期内撤销投标文件，否则招标人将不退还其投标保证金。</w:t>
      </w:r>
    </w:p>
    <w:p w14:paraId="4A843246">
      <w:pPr>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lang w:eastAsia="zh-CN"/>
        </w:rPr>
        <w:t>22.</w:t>
      </w:r>
      <w:r>
        <w:rPr>
          <w:rFonts w:hint="eastAsia" w:ascii="宋体" w:hAnsi="宋体" w:eastAsia="宋体" w:cs="宋体"/>
          <w:b/>
          <w:color w:val="auto"/>
          <w:szCs w:val="21"/>
          <w:highlight w:val="none"/>
        </w:rPr>
        <w:t>除投标人须知前附表另有规定外，投标人所提交的电子投标文件不予退还。</w:t>
      </w:r>
    </w:p>
    <w:p w14:paraId="48CE30B3">
      <w:pPr>
        <w:tabs>
          <w:tab w:val="left" w:pos="1260"/>
        </w:tabs>
        <w:autoSpaceDE w:val="0"/>
        <w:autoSpaceDN w:val="0"/>
        <w:spacing w:line="360" w:lineRule="auto"/>
        <w:contextualSpacing/>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五、开标和评标</w:t>
      </w:r>
    </w:p>
    <w:p w14:paraId="3A93F451">
      <w:pPr>
        <w:tabs>
          <w:tab w:val="left" w:pos="1260"/>
        </w:tabs>
        <w:autoSpaceDE w:val="0"/>
        <w:autoSpaceDN w:val="0"/>
        <w:spacing w:line="360" w:lineRule="auto"/>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3</w:t>
      </w:r>
      <w:r>
        <w:rPr>
          <w:rFonts w:hint="eastAsia" w:ascii="宋体" w:hAnsi="宋体" w:eastAsia="宋体" w:cs="宋体"/>
          <w:b/>
          <w:color w:val="auto"/>
          <w:szCs w:val="21"/>
          <w:highlight w:val="none"/>
          <w:lang w:val="zh-CN"/>
        </w:rPr>
        <w:t>. 开标</w:t>
      </w:r>
    </w:p>
    <w:p w14:paraId="21090916">
      <w:pPr>
        <w:pStyle w:val="59"/>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23.1招标人将按招标文件规定的时间和地点组织远程不见面开标。开标由代理机构主持，投标人无须到现场。评标委员会成员不得参加开标活动。</w:t>
      </w:r>
    </w:p>
    <w:p w14:paraId="097DC921">
      <w:pPr>
        <w:tabs>
          <w:tab w:val="left" w:pos="1260"/>
        </w:tabs>
        <w:autoSpaceDE w:val="0"/>
        <w:autoSpaceDN w:val="0"/>
        <w:spacing w:line="360" w:lineRule="auto"/>
        <w:ind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rPr>
        <w:t>23.2</w:t>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.2开标程序</w:t>
      </w:r>
    </w:p>
    <w:p w14:paraId="7F2A357D">
      <w:pPr>
        <w:numPr>
          <w:ilvl w:val="0"/>
          <w:numId w:val="13"/>
        </w:numPr>
        <w:tabs>
          <w:tab w:val="left" w:pos="1260"/>
        </w:tabs>
        <w:autoSpaceDE w:val="0"/>
        <w:autoSpaceDN w:val="0"/>
        <w:spacing w:line="360" w:lineRule="auto"/>
        <w:ind w:firstLine="315" w:firstLineChars="15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本项目采用远程“不见面”开标方式，投标前请详细阅读“全国公共资源交易平台（河南省·许昌市）”的“服务指南”栏目下《新交易平台使用手册》中的相关内容。</w:t>
      </w:r>
    </w:p>
    <w:p w14:paraId="3A49459C">
      <w:pPr>
        <w:numPr>
          <w:ilvl w:val="0"/>
          <w:numId w:val="13"/>
        </w:numPr>
        <w:tabs>
          <w:tab w:val="left" w:pos="1260"/>
        </w:tabs>
        <w:autoSpaceDE w:val="0"/>
        <w:autoSpaceDN w:val="0"/>
        <w:spacing w:line="360" w:lineRule="auto"/>
        <w:ind w:firstLine="315" w:firstLineChars="15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供应商应按新交易平台使用手册提前设置好浏览器，并于开标时间前登录本项目网上开标大厅，按照规定的开标时间准时参加网上开标。</w:t>
      </w:r>
    </w:p>
    <w:p w14:paraId="228ADCAA">
      <w:pPr>
        <w:numPr>
          <w:ilvl w:val="0"/>
          <w:numId w:val="13"/>
        </w:numPr>
        <w:tabs>
          <w:tab w:val="left" w:pos="1260"/>
        </w:tabs>
        <w:autoSpaceDE w:val="0"/>
        <w:autoSpaceDN w:val="0"/>
        <w:spacing w:line="360" w:lineRule="auto"/>
        <w:ind w:firstLine="315" w:firstLineChars="15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根据开标大厅界面右侧“公告栏”中的系统提示，供应商应在“标书解密”环节完成解密操作。供应商未解密或因供应商原因解密失败的，其响应文件将被退回。</w:t>
      </w:r>
    </w:p>
    <w:p w14:paraId="530BBBC3">
      <w:pPr>
        <w:numPr>
          <w:ilvl w:val="0"/>
          <w:numId w:val="13"/>
        </w:numPr>
        <w:tabs>
          <w:tab w:val="left" w:pos="1260"/>
        </w:tabs>
        <w:autoSpaceDE w:val="0"/>
        <w:autoSpaceDN w:val="0"/>
        <w:spacing w:line="360" w:lineRule="auto"/>
        <w:ind w:firstLine="315" w:firstLineChars="15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在“唱标”环节，供应商应对唱标信息进行确认，供应商未进行唱标确认操作的，视同认可唱标结果。</w:t>
      </w:r>
    </w:p>
    <w:p w14:paraId="3A2EF938">
      <w:pPr>
        <w:numPr>
          <w:ilvl w:val="0"/>
          <w:numId w:val="13"/>
        </w:numPr>
        <w:tabs>
          <w:tab w:val="left" w:pos="1260"/>
        </w:tabs>
        <w:autoSpaceDE w:val="0"/>
        <w:autoSpaceDN w:val="0"/>
        <w:spacing w:line="360" w:lineRule="auto"/>
        <w:ind w:firstLine="315" w:firstLineChars="15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在“开标结束”环节，供应商应在《开标情况记录表》上进行电子签章。供应商未签章的，视同认可开标结果。</w:t>
      </w:r>
    </w:p>
    <w:p w14:paraId="20296BF1">
      <w:pPr>
        <w:numPr>
          <w:ilvl w:val="0"/>
          <w:numId w:val="13"/>
        </w:numPr>
        <w:tabs>
          <w:tab w:val="left" w:pos="1260"/>
        </w:tabs>
        <w:autoSpaceDE w:val="0"/>
        <w:autoSpaceDN w:val="0"/>
        <w:spacing w:line="360" w:lineRule="auto"/>
        <w:ind w:firstLine="315" w:firstLineChars="15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供应商对开标过程和开标记录如有异议，可在本项目开标大厅界面右下方“发起异议”中提出异议。</w:t>
      </w:r>
    </w:p>
    <w:p w14:paraId="4D547EFB">
      <w:pPr>
        <w:tabs>
          <w:tab w:val="left" w:pos="1260"/>
        </w:tabs>
        <w:autoSpaceDE w:val="0"/>
        <w:autoSpaceDN w:val="0"/>
        <w:spacing w:line="360" w:lineRule="auto"/>
        <w:ind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.3采购人应当对开标、评标现场活动进行全程录音录像。录音录像应当清晰可辨，音像资料作为采购文件一并存档。</w:t>
      </w:r>
    </w:p>
    <w:p w14:paraId="74132CEE">
      <w:pPr>
        <w:tabs>
          <w:tab w:val="left" w:pos="1260"/>
        </w:tabs>
        <w:autoSpaceDE w:val="0"/>
        <w:autoSpaceDN w:val="0"/>
        <w:spacing w:line="360" w:lineRule="auto"/>
        <w:ind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.4投标人不足3家的，不得开标。</w:t>
      </w:r>
    </w:p>
    <w:p w14:paraId="43A550B5">
      <w:pPr>
        <w:tabs>
          <w:tab w:val="left" w:pos="1260"/>
        </w:tabs>
        <w:autoSpaceDE w:val="0"/>
        <w:autoSpaceDN w:val="0"/>
        <w:spacing w:line="360" w:lineRule="auto"/>
        <w:ind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.5开标过程由采购代理机构负责记录，《开标情况记录表》经投标人进行电子签章、由参加开标的采购人和监督人签字确认后随采购文件一并存档。投标人未电子签章的，视同认可开标结果。</w:t>
      </w:r>
    </w:p>
    <w:p w14:paraId="5F5F7FC4">
      <w:pPr>
        <w:tabs>
          <w:tab w:val="left" w:pos="1260"/>
        </w:tabs>
        <w:autoSpaceDE w:val="0"/>
        <w:autoSpaceDN w:val="0"/>
        <w:spacing w:line="360" w:lineRule="auto"/>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24</w:t>
      </w:r>
      <w:r>
        <w:rPr>
          <w:rFonts w:hint="eastAsia" w:ascii="宋体" w:hAnsi="宋体" w:eastAsia="宋体" w:cs="宋体"/>
          <w:b/>
          <w:color w:val="auto"/>
          <w:szCs w:val="21"/>
          <w:highlight w:val="none"/>
          <w:lang w:val="zh-CN"/>
        </w:rPr>
        <w:t>. 资格审查</w:t>
      </w:r>
    </w:p>
    <w:p w14:paraId="0668F8EE">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rPr>
        <w:t>开标结束后，采购人依法对投标人的资格进行审查。</w:t>
      </w:r>
      <w:r>
        <w:rPr>
          <w:rFonts w:hint="eastAsia" w:ascii="宋体" w:hAnsi="宋体" w:eastAsia="宋体" w:cs="宋体"/>
          <w:color w:val="auto"/>
          <w:szCs w:val="21"/>
          <w:highlight w:val="none"/>
          <w:lang w:val="zh-CN"/>
        </w:rPr>
        <w:t>合格投标人不足3家的，不得评标。</w:t>
      </w:r>
    </w:p>
    <w:p w14:paraId="2F40435D">
      <w:pPr>
        <w:tabs>
          <w:tab w:val="left" w:pos="1260"/>
        </w:tabs>
        <w:autoSpaceDE w:val="0"/>
        <w:autoSpaceDN w:val="0"/>
        <w:spacing w:line="360" w:lineRule="auto"/>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5</w:t>
      </w:r>
      <w:r>
        <w:rPr>
          <w:rFonts w:hint="eastAsia" w:ascii="宋体" w:hAnsi="宋体" w:eastAsia="宋体" w:cs="宋体"/>
          <w:b/>
          <w:color w:val="auto"/>
          <w:szCs w:val="21"/>
          <w:highlight w:val="none"/>
          <w:lang w:val="zh-CN"/>
        </w:rPr>
        <w:t>.评标委员会的组成</w:t>
      </w:r>
    </w:p>
    <w:p w14:paraId="198CBB2D">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25.1 招标人将依法组建评标委员会，评标委员会由采购人代表和评审专家组成，成员人数应当为5人以上单数，其中评审专家的人数不少于评标委员会成员总数的三分之二。评审专家依法从政府采购评审专家库中随机抽取。</w:t>
      </w:r>
    </w:p>
    <w:p w14:paraId="49CBF0B3">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.1.1 采购项目符合下列情形之一的，评标委员会成员人数应当为7人以上单数：</w:t>
      </w:r>
    </w:p>
    <w:p w14:paraId="0A91D560">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（一）采购预算金额在1000万元以上；</w:t>
      </w:r>
    </w:p>
    <w:p w14:paraId="65FA711C">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（二）技术复杂；</w:t>
      </w:r>
    </w:p>
    <w:p w14:paraId="29408706">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（三）社会影响较大。</w:t>
      </w:r>
    </w:p>
    <w:p w14:paraId="4EE4EFC6">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.2 评审专家对本单位的采购项目只能作为采购人代表参与评标。采购代理机构工作人员不得参加由本机构代理的政府采购项目的评标。</w:t>
      </w:r>
    </w:p>
    <w:p w14:paraId="34559CDC">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.3 评审专家与投标人存在下列利害关系之一的，应当回避：</w:t>
      </w:r>
    </w:p>
    <w:p w14:paraId="6CC22539">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（一）参加采购活动前三年内，与供应商存在劳动关系，或者担任过供应商的董事、监事，或者是供应商的控股股东或实际控制人；</w:t>
      </w:r>
    </w:p>
    <w:p w14:paraId="077B1A86">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（二）与供应商的法定代表人或者负责人有夫妻、直系血亲、三代以内旁系血亲或者近姻亲关系；</w:t>
      </w:r>
    </w:p>
    <w:p w14:paraId="1DEBE097">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（三）与供应商有其他可能影响政府采购活动公平、公正进行的关系。</w:t>
      </w:r>
    </w:p>
    <w:p w14:paraId="093E6C98">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.4 评审专家发现本人与参加采购活动的供应商有利害关系的，应当主动提出回避。采购人或者代理机构发现评审专家与参加采购活动的供应商有利害关系的，应当要求其回避。</w:t>
      </w:r>
    </w:p>
    <w:p w14:paraId="335053B7">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.5 采购人不得担任评标小组长。</w:t>
      </w:r>
    </w:p>
    <w:p w14:paraId="1B5646AB">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.6 采购人可以在评标前说明项目背景和采购需求，说明内容不得含有歧视性、倾向性意见，不得超出招标文件所述范围。说明应当提交书面材料，并随采购文件一并存档。</w:t>
      </w:r>
    </w:p>
    <w:p w14:paraId="6829507B">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.7 评标委员会成员名单在评标结果公告前应当保密。</w:t>
      </w:r>
    </w:p>
    <w:p w14:paraId="26E7CE6C">
      <w:pPr>
        <w:tabs>
          <w:tab w:val="left" w:pos="1260"/>
        </w:tabs>
        <w:autoSpaceDE w:val="0"/>
        <w:autoSpaceDN w:val="0"/>
        <w:spacing w:line="360" w:lineRule="auto"/>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6</w:t>
      </w:r>
      <w:r>
        <w:rPr>
          <w:rFonts w:hint="eastAsia" w:ascii="宋体" w:hAnsi="宋体" w:eastAsia="宋体" w:cs="宋体"/>
          <w:b/>
          <w:color w:val="auto"/>
          <w:szCs w:val="21"/>
          <w:highlight w:val="none"/>
          <w:lang w:val="zh-CN"/>
        </w:rPr>
        <w:t>. 符合性审查</w:t>
      </w:r>
    </w:p>
    <w:p w14:paraId="25895D07">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.1 评标委员会依据有关法律法规和招标文件的规定，对符合资格的投标人的投标文件进行符合性审查，以确定其是否满足招标文件的实质性要求。</w:t>
      </w:r>
    </w:p>
    <w:p w14:paraId="6521D2CC">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.2 审查、评价投标文件是否符合招标文件的商务、技术等实质性要求。</w:t>
      </w:r>
    </w:p>
    <w:p w14:paraId="58E30512">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.3 可要求投标人对投标文件有关事项作出澄清或者说明。</w:t>
      </w:r>
    </w:p>
    <w:p w14:paraId="5C956B0F">
      <w:pPr>
        <w:tabs>
          <w:tab w:val="left" w:pos="1260"/>
        </w:tabs>
        <w:autoSpaceDE w:val="0"/>
        <w:autoSpaceDN w:val="0"/>
        <w:spacing w:line="360" w:lineRule="auto"/>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 投标文件的澄清</w:t>
      </w:r>
    </w:p>
    <w:p w14:paraId="1293568F">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.1 对于投标文件中含义不明确、同类问题表述不一致或者有明显文字和计算错误的内容，评标委员会应当以书面形式要求投标人作出必要的澄清、说明或者补正。</w:t>
      </w:r>
    </w:p>
    <w:p w14:paraId="429863A3">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27</w:t>
      </w:r>
      <w:r>
        <w:rPr>
          <w:rFonts w:hint="eastAsia" w:ascii="宋体" w:hAnsi="宋体" w:eastAsia="宋体" w:cs="宋体"/>
          <w:color w:val="auto"/>
          <w:szCs w:val="21"/>
          <w:highlight w:val="none"/>
          <w:lang w:val="zh-CN"/>
        </w:rPr>
        <w:t>.2 投标人的澄清、说明或者补正应当采用书面形式，并加盖公章，或者由法定代表人或其授权的代表签字。投标人的澄清、说明或者补正不得超出投标文件的范围或者改变投标文件的实质性内容。</w:t>
      </w:r>
    </w:p>
    <w:p w14:paraId="01F01989">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.3 投标人的澄清文件是其投标文件的组成部分。</w:t>
      </w:r>
    </w:p>
    <w:p w14:paraId="1831F5D5">
      <w:pPr>
        <w:tabs>
          <w:tab w:val="left" w:pos="1260"/>
        </w:tabs>
        <w:autoSpaceDE w:val="0"/>
        <w:autoSpaceDN w:val="0"/>
        <w:spacing w:line="360" w:lineRule="auto"/>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8</w:t>
      </w:r>
      <w:r>
        <w:rPr>
          <w:rFonts w:hint="eastAsia" w:ascii="宋体" w:hAnsi="宋体" w:eastAsia="宋体" w:cs="宋体"/>
          <w:b/>
          <w:color w:val="auto"/>
          <w:szCs w:val="21"/>
          <w:highlight w:val="none"/>
          <w:lang w:val="zh-CN"/>
        </w:rPr>
        <w:t>. 投标文件报价出现前后不一致的修正</w:t>
      </w:r>
    </w:p>
    <w:p w14:paraId="43234030">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.1 投标文件中开标一览表（报价表）内容与投标文件中相应内容不一致的，以开标一览表（报价表）为准；</w:t>
      </w:r>
    </w:p>
    <w:p w14:paraId="25F89288">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.2 大写金额和小写金额不一致的，以大写金额为准；</w:t>
      </w:r>
    </w:p>
    <w:p w14:paraId="4260753E">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.3 单价金额小数点或者百分比有明显错位的，以开标一览表的总价为准，并修改单价；</w:t>
      </w:r>
    </w:p>
    <w:p w14:paraId="3E8D75DE">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.4 总价金额与按单价汇总金额不一致的，以单价金额计算结果为准。同时出现两种以上不一致的，按照前款规定的顺序修正。修正后的报价按照“投标人须知”2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.2规定经投标人确认后产生约束力，投标人不确认的，其投标无效。</w:t>
      </w:r>
    </w:p>
    <w:p w14:paraId="060C3E67">
      <w:pPr>
        <w:tabs>
          <w:tab w:val="left" w:pos="1260"/>
        </w:tabs>
        <w:autoSpaceDE w:val="0"/>
        <w:autoSpaceDN w:val="0"/>
        <w:spacing w:line="360" w:lineRule="auto"/>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29</w:t>
      </w:r>
      <w:r>
        <w:rPr>
          <w:rFonts w:hint="eastAsia" w:ascii="宋体" w:hAnsi="宋体" w:eastAsia="宋体" w:cs="宋体"/>
          <w:b/>
          <w:color w:val="auto"/>
          <w:szCs w:val="21"/>
          <w:highlight w:val="none"/>
          <w:lang w:val="zh-CN"/>
        </w:rPr>
        <w:t>.投标无效情形</w:t>
      </w:r>
    </w:p>
    <w:p w14:paraId="0379E378">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29</w:t>
      </w:r>
      <w:r>
        <w:rPr>
          <w:rFonts w:hint="eastAsia" w:ascii="宋体" w:hAnsi="宋体" w:eastAsia="宋体" w:cs="宋体"/>
          <w:color w:val="auto"/>
          <w:szCs w:val="21"/>
          <w:highlight w:val="none"/>
          <w:lang w:val="zh-CN"/>
        </w:rPr>
        <w:t>.1 投标文件属</w:t>
      </w:r>
      <w:r>
        <w:rPr>
          <w:rFonts w:hint="eastAsia" w:ascii="宋体" w:hAnsi="宋体" w:eastAsia="宋体" w:cs="宋体"/>
          <w:color w:val="auto"/>
          <w:szCs w:val="21"/>
          <w:highlight w:val="none"/>
          <w:lang w:val="en-US" w:eastAsia="zh-CN"/>
        </w:rPr>
        <w:t>于</w:t>
      </w:r>
      <w:r>
        <w:rPr>
          <w:rFonts w:hint="eastAsia" w:ascii="宋体" w:hAnsi="宋体" w:eastAsia="宋体" w:cs="宋体"/>
          <w:color w:val="auto"/>
          <w:szCs w:val="21"/>
          <w:highlight w:val="none"/>
          <w:lang w:val="zh-CN"/>
        </w:rPr>
        <w:t>下列情况之一的，按照无效投标处理：</w:t>
      </w:r>
    </w:p>
    <w:p w14:paraId="5239C2B2">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29</w:t>
      </w:r>
      <w:r>
        <w:rPr>
          <w:rFonts w:hint="eastAsia" w:ascii="宋体" w:hAnsi="宋体" w:eastAsia="宋体" w:cs="宋体"/>
          <w:color w:val="auto"/>
          <w:szCs w:val="21"/>
          <w:highlight w:val="none"/>
          <w:lang w:val="zh-CN"/>
        </w:rPr>
        <w:t>.1.1 未按照招标文件的规定提供投标承诺函的；</w:t>
      </w:r>
    </w:p>
    <w:p w14:paraId="7C80DC61">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29.1.2未按照招标文件的规定提交《禹州市政府采购供应商信用承诺函》的；</w:t>
      </w:r>
    </w:p>
    <w:p w14:paraId="5FC85647">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29</w:t>
      </w:r>
      <w:r>
        <w:rPr>
          <w:rFonts w:hint="eastAsia" w:ascii="宋体" w:hAnsi="宋体" w:eastAsia="宋体" w:cs="宋体"/>
          <w:color w:val="auto"/>
          <w:szCs w:val="21"/>
          <w:highlight w:val="none"/>
          <w:lang w:val="zh-CN"/>
        </w:rPr>
        <w:t>.1.3 投标文件未按招标文件要求签署、盖章的；</w:t>
      </w:r>
    </w:p>
    <w:p w14:paraId="6716420F">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29</w:t>
      </w:r>
      <w:r>
        <w:rPr>
          <w:rFonts w:hint="eastAsia" w:ascii="宋体" w:hAnsi="宋体" w:eastAsia="宋体" w:cs="宋体"/>
          <w:color w:val="auto"/>
          <w:szCs w:val="21"/>
          <w:highlight w:val="none"/>
          <w:lang w:val="zh-CN"/>
        </w:rPr>
        <w:t>.1.4不具备招标文件中规定的资格要求的；</w:t>
      </w:r>
    </w:p>
    <w:p w14:paraId="22589A53">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29</w:t>
      </w:r>
      <w:r>
        <w:rPr>
          <w:rFonts w:hint="eastAsia" w:ascii="宋体" w:hAnsi="宋体" w:eastAsia="宋体" w:cs="宋体"/>
          <w:color w:val="auto"/>
          <w:szCs w:val="21"/>
          <w:highlight w:val="none"/>
          <w:lang w:val="zh-CN"/>
        </w:rPr>
        <w:t>.1.5 报价超过招标文件中规定的预算金额或者最高限价的；</w:t>
      </w:r>
    </w:p>
    <w:p w14:paraId="01B6C91E">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29</w:t>
      </w:r>
      <w:r>
        <w:rPr>
          <w:rFonts w:hint="eastAsia" w:ascii="宋体" w:hAnsi="宋体" w:eastAsia="宋体" w:cs="宋体"/>
          <w:color w:val="auto"/>
          <w:szCs w:val="21"/>
          <w:highlight w:val="none"/>
          <w:lang w:val="zh-CN"/>
        </w:rPr>
        <w:t>.1.6投标文件内容模糊</w:t>
      </w:r>
      <w:r>
        <w:rPr>
          <w:rFonts w:hint="eastAsia" w:ascii="宋体" w:hAnsi="宋体" w:eastAsia="宋体" w:cs="宋体"/>
          <w:color w:val="auto"/>
          <w:szCs w:val="21"/>
          <w:highlight w:val="none"/>
          <w:lang w:val="en-US" w:eastAsia="zh-CN"/>
        </w:rPr>
        <w:t>不</w:t>
      </w:r>
      <w:r>
        <w:rPr>
          <w:rFonts w:hint="eastAsia" w:ascii="宋体" w:hAnsi="宋体" w:eastAsia="宋体" w:cs="宋体"/>
          <w:color w:val="auto"/>
          <w:szCs w:val="21"/>
          <w:highlight w:val="none"/>
          <w:lang w:val="zh-CN"/>
        </w:rPr>
        <w:t>清，无法辨认的；</w:t>
      </w:r>
    </w:p>
    <w:p w14:paraId="43671EDA">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29</w:t>
      </w:r>
      <w:r>
        <w:rPr>
          <w:rFonts w:hint="eastAsia" w:ascii="宋体" w:hAnsi="宋体" w:eastAsia="宋体" w:cs="宋体"/>
          <w:color w:val="auto"/>
          <w:szCs w:val="21"/>
          <w:highlight w:val="none"/>
          <w:lang w:val="zh-CN"/>
        </w:rPr>
        <w:t>.1.7投标文件含有采购人不能接受的附加条件的。</w:t>
      </w:r>
    </w:p>
    <w:p w14:paraId="7476CFEC">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29</w:t>
      </w:r>
      <w:r>
        <w:rPr>
          <w:rFonts w:hint="eastAsia" w:ascii="宋体" w:hAnsi="宋体" w:eastAsia="宋体" w:cs="宋体"/>
          <w:color w:val="auto"/>
          <w:szCs w:val="21"/>
          <w:highlight w:val="none"/>
          <w:lang w:val="zh-CN"/>
        </w:rPr>
        <w:t>.2 有下列情形之一的，视为投标人串通投标，其投标无效：</w:t>
      </w:r>
    </w:p>
    <w:p w14:paraId="53670951">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29</w:t>
      </w:r>
      <w:r>
        <w:rPr>
          <w:rFonts w:hint="eastAsia" w:ascii="宋体" w:hAnsi="宋体" w:eastAsia="宋体" w:cs="宋体"/>
          <w:color w:val="auto"/>
          <w:szCs w:val="21"/>
          <w:highlight w:val="none"/>
          <w:lang w:val="zh-CN"/>
        </w:rPr>
        <w:t>.2.1 不同投标人的投标文件由同一单位或者个人编制；</w:t>
      </w:r>
    </w:p>
    <w:p w14:paraId="5F66B3F8">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29</w:t>
      </w:r>
      <w:r>
        <w:rPr>
          <w:rFonts w:hint="eastAsia" w:ascii="宋体" w:hAnsi="宋体" w:eastAsia="宋体" w:cs="宋体"/>
          <w:color w:val="auto"/>
          <w:szCs w:val="21"/>
          <w:highlight w:val="none"/>
          <w:lang w:val="zh-CN"/>
        </w:rPr>
        <w:t>.2.2 不同投标人委托同一单位或者个人办理投标事宜；</w:t>
      </w:r>
    </w:p>
    <w:p w14:paraId="26172272">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29</w:t>
      </w:r>
      <w:r>
        <w:rPr>
          <w:rFonts w:hint="eastAsia" w:ascii="宋体" w:hAnsi="宋体" w:eastAsia="宋体" w:cs="宋体"/>
          <w:color w:val="auto"/>
          <w:szCs w:val="21"/>
          <w:highlight w:val="none"/>
          <w:lang w:val="zh-CN"/>
        </w:rPr>
        <w:t>.2.3 不同投标人的投标文件载明的项目管理成员或者联系人员为同一人；</w:t>
      </w:r>
    </w:p>
    <w:p w14:paraId="0710BBCF">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29</w:t>
      </w:r>
      <w:r>
        <w:rPr>
          <w:rFonts w:hint="eastAsia" w:ascii="宋体" w:hAnsi="宋体" w:eastAsia="宋体" w:cs="宋体"/>
          <w:color w:val="auto"/>
          <w:szCs w:val="21"/>
          <w:highlight w:val="none"/>
          <w:lang w:val="zh-CN"/>
        </w:rPr>
        <w:t>.2.4 不同投标人的投标文件异常一致或者投标报价呈规律性差异；</w:t>
      </w:r>
    </w:p>
    <w:p w14:paraId="2EC2B8E0">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29</w:t>
      </w:r>
      <w:r>
        <w:rPr>
          <w:rFonts w:hint="eastAsia" w:ascii="宋体" w:hAnsi="宋体" w:eastAsia="宋体" w:cs="宋体"/>
          <w:color w:val="auto"/>
          <w:szCs w:val="21"/>
          <w:highlight w:val="none"/>
          <w:lang w:val="zh-CN"/>
        </w:rPr>
        <w:t>.2.5 不同投标人的投标文件相互混装；</w:t>
      </w:r>
    </w:p>
    <w:p w14:paraId="6C80B886">
      <w:pPr>
        <w:pStyle w:val="1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rPr>
        <w:t>投标人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5636C86">
      <w:pPr>
        <w:pStyle w:val="1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（一）提供虚假材料谋取中标、成交的；</w:t>
      </w:r>
    </w:p>
    <w:p w14:paraId="03F79E57">
      <w:pPr>
        <w:pStyle w:val="1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（二）采取不正当手段诋毁、排挤其他供应商的；</w:t>
      </w:r>
    </w:p>
    <w:p w14:paraId="33D422C8">
      <w:pPr>
        <w:pStyle w:val="1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（三）与采购人、其他供应商或者采购代理机构恶意串通的；</w:t>
      </w:r>
    </w:p>
    <w:p w14:paraId="73797607">
      <w:pPr>
        <w:pStyle w:val="1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（四）向采购人、采购代理机构行贿或者提供其他不正当利益的；</w:t>
      </w:r>
    </w:p>
    <w:p w14:paraId="0890AE3F">
      <w:pPr>
        <w:pStyle w:val="1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（五）在招标采购过程中与采购人进行协商谈判的；</w:t>
      </w:r>
    </w:p>
    <w:p w14:paraId="5D601561">
      <w:pPr>
        <w:pStyle w:val="1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（六）拒绝有关部门监督检查或者提供虚假情况的。</w:t>
      </w:r>
    </w:p>
    <w:p w14:paraId="2EB7B170">
      <w:pPr>
        <w:pStyle w:val="17"/>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投标人有前款第（一）至（五）项情形之一的，中标、成交无效。</w:t>
      </w:r>
    </w:p>
    <w:p w14:paraId="1ECF53F7">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29</w:t>
      </w:r>
      <w:r>
        <w:rPr>
          <w:rFonts w:hint="eastAsia" w:ascii="宋体" w:hAnsi="宋体" w:eastAsia="宋体" w:cs="宋体"/>
          <w:color w:val="auto"/>
          <w:szCs w:val="21"/>
          <w:highlight w:val="none"/>
          <w:lang w:val="zh-CN"/>
        </w:rPr>
        <w:t>.4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69B2D28C">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29</w:t>
      </w:r>
      <w:r>
        <w:rPr>
          <w:rFonts w:hint="eastAsia" w:ascii="宋体" w:hAnsi="宋体" w:eastAsia="宋体" w:cs="宋体"/>
          <w:color w:val="auto"/>
          <w:szCs w:val="21"/>
          <w:highlight w:val="none"/>
          <w:lang w:val="zh-CN"/>
        </w:rPr>
        <w:t>.5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0EB3CBA">
      <w:pPr>
        <w:pStyle w:val="59"/>
        <w:autoSpaceDE w:val="0"/>
        <w:autoSpaceDN w:val="0"/>
        <w:spacing w:line="360" w:lineRule="auto"/>
        <w:contextualSpacing/>
        <w:rPr>
          <w:rFonts w:hint="eastAsia" w:ascii="宋体" w:hAnsi="宋体" w:eastAsia="宋体" w:cs="宋体"/>
          <w:color w:val="auto"/>
          <w:highlight w:val="none"/>
          <w:lang w:val="zh-CN"/>
        </w:rPr>
      </w:pPr>
      <w:r>
        <w:rPr>
          <w:rFonts w:hint="eastAsia" w:ascii="宋体" w:hAnsi="宋体" w:eastAsia="宋体" w:cs="宋体"/>
          <w:color w:val="auto"/>
          <w:szCs w:val="21"/>
          <w:highlight w:val="none"/>
        </w:rPr>
        <w:t>29.6 按照</w:t>
      </w:r>
      <w:r>
        <w:rPr>
          <w:rFonts w:hint="eastAsia" w:ascii="宋体" w:hAnsi="宋体" w:eastAsia="宋体" w:cs="宋体"/>
          <w:color w:val="auto"/>
          <w:highlight w:val="none"/>
        </w:rPr>
        <w:t>《关于推进全流程电子化交易和在线监管工作有关问题的通知》（许公管办</w:t>
      </w:r>
      <w:r>
        <w:rPr>
          <w:rFonts w:hint="eastAsia" w:ascii="宋体" w:hAnsi="宋体" w:eastAsia="宋体" w:cs="宋体"/>
          <w:color w:val="auto"/>
          <w:highlight w:val="none"/>
          <w:lang w:eastAsia="zh-CN"/>
        </w:rPr>
        <w:t>〔2019〕3号</w:t>
      </w:r>
      <w:r>
        <w:rPr>
          <w:rFonts w:hint="eastAsia" w:ascii="宋体" w:hAnsi="宋体" w:eastAsia="宋体" w:cs="宋体"/>
          <w:color w:val="auto"/>
          <w:highlight w:val="none"/>
        </w:rPr>
        <w:t>）规定，不同投标人电子投标文件制作硬件特征码（网卡MAC地址、CPU序号、硬盘序列号）均一致时，视为‘不同投标人的投标文件由同一单位或者个人编制’或‘不同投标人委托同一单位或者个人办理响应事宜’，其投标无效。</w:t>
      </w:r>
    </w:p>
    <w:p w14:paraId="0947D65D">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 xml:space="preserve">7 </w:t>
      </w:r>
      <w:r>
        <w:rPr>
          <w:rFonts w:hint="eastAsia" w:ascii="宋体" w:hAnsi="宋体" w:eastAsia="宋体" w:cs="宋体"/>
          <w:color w:val="auto"/>
          <w:szCs w:val="21"/>
          <w:highlight w:val="none"/>
          <w:lang w:val="zh-CN"/>
        </w:rPr>
        <w:t>法律法规和招标文件规定的其他无效情形。</w:t>
      </w:r>
    </w:p>
    <w:p w14:paraId="0A144763">
      <w:pPr>
        <w:tabs>
          <w:tab w:val="left" w:pos="1260"/>
        </w:tabs>
        <w:autoSpaceDE w:val="0"/>
        <w:autoSpaceDN w:val="0"/>
        <w:spacing w:line="360" w:lineRule="auto"/>
        <w:contextualSpacing/>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rPr>
        <w:t>30</w:t>
      </w:r>
      <w:r>
        <w:rPr>
          <w:rFonts w:hint="eastAsia" w:ascii="宋体" w:hAnsi="宋体" w:eastAsia="宋体" w:cs="宋体"/>
          <w:b/>
          <w:bCs/>
          <w:color w:val="auto"/>
          <w:szCs w:val="21"/>
          <w:highlight w:val="none"/>
          <w:lang w:val="zh-CN"/>
        </w:rPr>
        <w:t>.相同品牌投标人的认定（服务类项目不适用本条款规定）</w:t>
      </w:r>
    </w:p>
    <w:p w14:paraId="68AE183E">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26DD82DA">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20615E8">
      <w:pPr>
        <w:tabs>
          <w:tab w:val="left" w:pos="1260"/>
        </w:tabs>
        <w:autoSpaceDE w:val="0"/>
        <w:autoSpaceDN w:val="0"/>
        <w:spacing w:line="360" w:lineRule="auto"/>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31</w:t>
      </w:r>
      <w:r>
        <w:rPr>
          <w:rFonts w:hint="eastAsia" w:ascii="宋体" w:hAnsi="宋体" w:eastAsia="宋体" w:cs="宋体"/>
          <w:b/>
          <w:color w:val="auto"/>
          <w:szCs w:val="21"/>
          <w:highlight w:val="none"/>
          <w:lang w:val="zh-CN"/>
        </w:rPr>
        <w:t>. 投标文件的比较与评价</w:t>
      </w:r>
    </w:p>
    <w:p w14:paraId="57251D8B">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评标委员会按照招标文件中规定的评标方法和标准，对符合性审查合格的投标文件进行商务和技术评估，综合比较与评价。</w:t>
      </w:r>
    </w:p>
    <w:p w14:paraId="0F67BEB7">
      <w:pPr>
        <w:tabs>
          <w:tab w:val="left" w:pos="1260"/>
        </w:tabs>
        <w:autoSpaceDE w:val="0"/>
        <w:autoSpaceDN w:val="0"/>
        <w:spacing w:line="360" w:lineRule="auto"/>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32. 投标文件出现前后不一致的修正</w:t>
      </w:r>
    </w:p>
    <w:p w14:paraId="52993CD6">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32.1 投标文件中开标一览表内容与投标文件中相应内容不一致的，以开标一览表为准；</w:t>
      </w:r>
    </w:p>
    <w:p w14:paraId="0639D941">
      <w:pPr>
        <w:tabs>
          <w:tab w:val="left" w:pos="1260"/>
        </w:tabs>
        <w:autoSpaceDE w:val="0"/>
        <w:autoSpaceDN w:val="0"/>
        <w:spacing w:line="360" w:lineRule="auto"/>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color w:val="auto"/>
          <w:szCs w:val="21"/>
          <w:highlight w:val="none"/>
        </w:rPr>
        <w:t>3</w:t>
      </w:r>
      <w:r>
        <w:rPr>
          <w:rFonts w:hint="eastAsia" w:ascii="宋体" w:hAnsi="宋体" w:eastAsia="宋体" w:cs="宋体"/>
          <w:b/>
          <w:color w:val="auto"/>
          <w:szCs w:val="21"/>
          <w:highlight w:val="none"/>
          <w:lang w:val="zh-CN"/>
        </w:rPr>
        <w:t>.评标方法、评标标准</w:t>
      </w:r>
    </w:p>
    <w:p w14:paraId="6FC5FAA3">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.1 评标方法分为最低评标价法和综合评分法。</w:t>
      </w:r>
    </w:p>
    <w:p w14:paraId="1E4B0E2E">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.1.1 最低评标价法</w:t>
      </w:r>
    </w:p>
    <w:p w14:paraId="7FD0571F">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33</w:t>
      </w:r>
      <w:r>
        <w:rPr>
          <w:rFonts w:hint="eastAsia" w:ascii="宋体" w:hAnsi="宋体" w:eastAsia="宋体" w:cs="宋体"/>
          <w:color w:val="auto"/>
          <w:szCs w:val="21"/>
          <w:highlight w:val="none"/>
          <w:lang w:val="zh-CN"/>
        </w:rPr>
        <w:t>.1.1.1 最低评标价法，是指投标文件满足招标文件全部实质性要求，且投标报价最低的投标人为中标候选人的评标方法。</w:t>
      </w:r>
    </w:p>
    <w:p w14:paraId="276B287A">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.1.1.2 采用最低评标价法评标时，除了算术修正和落实政府采购政策需进行的价格扣除外，不能对投标人的投标价格进行任何调整。</w:t>
      </w:r>
    </w:p>
    <w:p w14:paraId="7B667004">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33.1.2 综合评分法，是指投标文件满足招标文件全部实质性要求，且按照评审因素的量化指标评审得分最高的投标人为中标候选人的评标方法。</w:t>
      </w:r>
    </w:p>
    <w:p w14:paraId="6919E808">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.2 价格分</w:t>
      </w:r>
    </w:p>
    <w:p w14:paraId="7034E5D9">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.2.1 价格分采用低价优先法计算，即满足招标文件要求且投标价格最低的投标报价为评标基准价，其价格分为满分。其他投标人的价格分统一按照下列公式计算：</w:t>
      </w:r>
    </w:p>
    <w:p w14:paraId="70582058">
      <w:pPr>
        <w:tabs>
          <w:tab w:val="left" w:pos="1260"/>
        </w:tabs>
        <w:autoSpaceDE w:val="0"/>
        <w:autoSpaceDN w:val="0"/>
        <w:spacing w:line="360" w:lineRule="auto"/>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投标报价得分=（评标基准价/投标报价）×100</w:t>
      </w:r>
    </w:p>
    <w:p w14:paraId="12CCD96D">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评标总得分=F1×A1+F2×A2+……+Fn×An</w:t>
      </w:r>
    </w:p>
    <w:p w14:paraId="162654D2">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F1、F2……Fn分别为各项评审因素的得分；</w:t>
      </w:r>
    </w:p>
    <w:p w14:paraId="238D97C5">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A1、A2、……An 分别为各项评审因素所占的权重（A1+A2+……+An=1）。</w:t>
      </w:r>
    </w:p>
    <w:p w14:paraId="19E0FE70">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.2.2 评标过程中，不得去掉报价中的最高报价和最低报价。</w:t>
      </w:r>
    </w:p>
    <w:p w14:paraId="3F8DEADE">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.2.3 因落实政府采购政策进行价格调整的，以调整后的价格计算评标基准价和投标报价。</w:t>
      </w:r>
    </w:p>
    <w:p w14:paraId="34D05777">
      <w:pPr>
        <w:tabs>
          <w:tab w:val="left" w:pos="1260"/>
        </w:tabs>
        <w:autoSpaceDE w:val="0"/>
        <w:autoSpaceDN w:val="0"/>
        <w:spacing w:line="360" w:lineRule="auto"/>
        <w:ind w:firstLine="420" w:firstLineChars="200"/>
        <w:contextualSpacing/>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.3</w:t>
      </w:r>
      <w:r>
        <w:rPr>
          <w:rFonts w:hint="eastAsia" w:ascii="宋体" w:hAnsi="宋体" w:eastAsia="宋体" w:cs="宋体"/>
          <w:b/>
          <w:color w:val="auto"/>
          <w:szCs w:val="21"/>
          <w:highlight w:val="none"/>
          <w:lang w:val="zh-CN"/>
        </w:rPr>
        <w:t>本次评标具体评标方法、评标标准见（第六章资格审查与</w:t>
      </w:r>
      <w:r>
        <w:rPr>
          <w:rFonts w:hint="eastAsia" w:ascii="宋体" w:hAnsi="宋体" w:eastAsia="宋体" w:cs="宋体"/>
          <w:b/>
          <w:color w:val="auto"/>
          <w:kern w:val="0"/>
          <w:szCs w:val="21"/>
          <w:highlight w:val="none"/>
        </w:rPr>
        <w:t>评标</w:t>
      </w:r>
      <w:r>
        <w:rPr>
          <w:rFonts w:hint="eastAsia" w:ascii="宋体" w:hAnsi="宋体" w:eastAsia="宋体" w:cs="宋体"/>
          <w:b/>
          <w:color w:val="auto"/>
          <w:szCs w:val="21"/>
          <w:highlight w:val="none"/>
          <w:lang w:val="zh-CN"/>
        </w:rPr>
        <w:t>）。</w:t>
      </w:r>
    </w:p>
    <w:p w14:paraId="3E7257ED">
      <w:pPr>
        <w:tabs>
          <w:tab w:val="left" w:pos="1260"/>
        </w:tabs>
        <w:autoSpaceDE w:val="0"/>
        <w:autoSpaceDN w:val="0"/>
        <w:spacing w:line="360" w:lineRule="auto"/>
        <w:contextualSpacing/>
        <w:rPr>
          <w:rFonts w:hint="eastAsia" w:ascii="宋体" w:hAnsi="宋体" w:eastAsia="宋体" w:cs="宋体"/>
          <w:color w:val="auto"/>
          <w:szCs w:val="21"/>
          <w:highlight w:val="none"/>
          <w:lang w:val="zh-CN"/>
        </w:rPr>
      </w:pPr>
      <w:r>
        <w:rPr>
          <w:rFonts w:hint="eastAsia" w:ascii="宋体" w:hAnsi="宋体" w:eastAsia="宋体" w:cs="宋体"/>
          <w:b/>
          <w:bCs/>
          <w:color w:val="auto"/>
          <w:szCs w:val="21"/>
          <w:highlight w:val="none"/>
          <w:lang w:val="zh-CN"/>
        </w:rPr>
        <w:t>3</w:t>
      </w:r>
      <w:r>
        <w:rPr>
          <w:rFonts w:hint="eastAsia" w:ascii="宋体" w:hAnsi="宋体" w:eastAsia="宋体" w:cs="宋体"/>
          <w:b/>
          <w:bCs/>
          <w:color w:val="auto"/>
          <w:szCs w:val="21"/>
          <w:highlight w:val="none"/>
        </w:rPr>
        <w:t>4</w:t>
      </w:r>
      <w:r>
        <w:rPr>
          <w:rFonts w:hint="eastAsia" w:ascii="宋体" w:hAnsi="宋体" w:eastAsia="宋体" w:cs="宋体"/>
          <w:b/>
          <w:bCs/>
          <w:color w:val="auto"/>
          <w:szCs w:val="21"/>
          <w:highlight w:val="none"/>
          <w:lang w:val="zh-CN"/>
        </w:rPr>
        <w:t>. 推荐中标候选人</w:t>
      </w:r>
    </w:p>
    <w:p w14:paraId="1E738BDE">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.1 采用最低评标价法的，评标结果按投标报价由低到高顺序排列。投标报价相同的并列。投标文件满足招标文件全部实质性要求且投标报价最低的投标人为排名第一的中标候选人。</w:t>
      </w:r>
    </w:p>
    <w:p w14:paraId="5F13509F">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5969EF75">
      <w:pPr>
        <w:tabs>
          <w:tab w:val="left" w:pos="1260"/>
        </w:tabs>
        <w:autoSpaceDE w:val="0"/>
        <w:autoSpaceDN w:val="0"/>
        <w:spacing w:line="360" w:lineRule="auto"/>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color w:val="auto"/>
          <w:szCs w:val="21"/>
          <w:highlight w:val="none"/>
        </w:rPr>
        <w:t>5</w:t>
      </w:r>
      <w:r>
        <w:rPr>
          <w:rFonts w:hint="eastAsia" w:ascii="宋体" w:hAnsi="宋体" w:eastAsia="宋体" w:cs="宋体"/>
          <w:b/>
          <w:color w:val="auto"/>
          <w:szCs w:val="21"/>
          <w:highlight w:val="none"/>
          <w:lang w:val="zh-CN"/>
        </w:rPr>
        <w:t>.评审意见无效情形</w:t>
      </w:r>
    </w:p>
    <w:p w14:paraId="65882C47">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评标委员会及其成员有下列行为之一的，其评审意见无效：</w:t>
      </w:r>
    </w:p>
    <w:p w14:paraId="6107C710">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.1 确定参与评标至评标结束前私自接触投标人；</w:t>
      </w:r>
    </w:p>
    <w:p w14:paraId="468CBE8F">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.2 接受投标人提出的与投标文件不一致的澄清或者说明，《投标人须知》第2</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条规定的情形除外；</w:t>
      </w:r>
    </w:p>
    <w:p w14:paraId="4ECEAB72">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.3 违反评标纪律发表倾向性意见或者征询采购人的倾向性意见；</w:t>
      </w:r>
    </w:p>
    <w:p w14:paraId="14EF6FB7">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.4 对需要专业判断的主观评审因素协商评分；</w:t>
      </w:r>
    </w:p>
    <w:p w14:paraId="5DB22CC5">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.5 在评标过程中擅离职守，影响评标程序正常进行的；</w:t>
      </w:r>
    </w:p>
    <w:p w14:paraId="3F9943A3">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.6 记录、复制或者带走任何评标资料；</w:t>
      </w:r>
    </w:p>
    <w:p w14:paraId="348277BA">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.7 其他不遵守评标纪律的行为。</w:t>
      </w:r>
    </w:p>
    <w:p w14:paraId="6D539198">
      <w:pPr>
        <w:tabs>
          <w:tab w:val="left" w:pos="1260"/>
        </w:tabs>
        <w:autoSpaceDE w:val="0"/>
        <w:autoSpaceDN w:val="0"/>
        <w:spacing w:line="360" w:lineRule="auto"/>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color w:val="auto"/>
          <w:szCs w:val="21"/>
          <w:highlight w:val="none"/>
        </w:rPr>
        <w:t>6</w:t>
      </w:r>
      <w:r>
        <w:rPr>
          <w:rFonts w:hint="eastAsia" w:ascii="宋体" w:hAnsi="宋体" w:eastAsia="宋体" w:cs="宋体"/>
          <w:b/>
          <w:color w:val="auto"/>
          <w:szCs w:val="21"/>
          <w:highlight w:val="none"/>
          <w:lang w:val="zh-CN"/>
        </w:rPr>
        <w:t>. 保密</w:t>
      </w:r>
    </w:p>
    <w:p w14:paraId="54F99040">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.1 评审专家应当遵守评审工作纪律，不得泄露评审文件、评审情况和评审中获悉的商业秘密。</w:t>
      </w:r>
    </w:p>
    <w:p w14:paraId="569847DE">
      <w:pPr>
        <w:tabs>
          <w:tab w:val="left" w:pos="1260"/>
        </w:tabs>
        <w:autoSpaceDE w:val="0"/>
        <w:autoSpaceDN w:val="0"/>
        <w:spacing w:line="360" w:lineRule="auto"/>
        <w:ind w:firstLine="42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.2 采购人、采购代理机构应当采取必要措施，保证评标在严格保密的情况下进行。有关人员对评标情况以及在评标过程中获悉的国家秘密、商业秘密负有保密责任。</w:t>
      </w:r>
    </w:p>
    <w:p w14:paraId="630A12B3">
      <w:pPr>
        <w:tabs>
          <w:tab w:val="left" w:pos="1260"/>
        </w:tabs>
        <w:autoSpaceDE w:val="0"/>
        <w:autoSpaceDN w:val="0"/>
        <w:spacing w:line="360" w:lineRule="auto"/>
        <w:contextualSpacing/>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六、定标和授予合同</w:t>
      </w:r>
    </w:p>
    <w:p w14:paraId="592F5858">
      <w:pPr>
        <w:tabs>
          <w:tab w:val="left" w:pos="1260"/>
        </w:tabs>
        <w:autoSpaceDE w:val="0"/>
        <w:autoSpaceDN w:val="0"/>
        <w:spacing w:line="360" w:lineRule="auto"/>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 确定中标人</w:t>
      </w:r>
    </w:p>
    <w:p w14:paraId="09264F8A">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.1 采购人应当自收到</w:t>
      </w:r>
      <w:r>
        <w:rPr>
          <w:rFonts w:hint="eastAsia" w:ascii="宋体" w:hAnsi="宋体" w:eastAsia="宋体" w:cs="宋体"/>
          <w:color w:val="auto"/>
          <w:szCs w:val="21"/>
          <w:highlight w:val="none"/>
          <w:lang w:val="en-US" w:eastAsia="zh-CN"/>
        </w:rPr>
        <w:t>评</w:t>
      </w:r>
      <w:r>
        <w:rPr>
          <w:rFonts w:hint="eastAsia" w:ascii="宋体" w:hAnsi="宋体" w:eastAsia="宋体" w:cs="宋体"/>
          <w:color w:val="auto"/>
          <w:szCs w:val="21"/>
          <w:highlight w:val="none"/>
          <w:lang w:val="zh-CN"/>
        </w:rPr>
        <w:t>标报告之日起</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个工作日内，在评标报告确定的中标候选人名单中按顺序确定中标人。中标候选人并列的，由采购人采取随机抽取的方式确定。</w:t>
      </w:r>
    </w:p>
    <w:p w14:paraId="52279D22">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.2 采购人在收到评标报告</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个工作日内未按评标报告推荐的中标候选人顺序确定中标人，又不能说明合法理由的，视同按评标报告推荐的顺序确定排名第一的中标候选人为中标人。</w:t>
      </w:r>
    </w:p>
    <w:p w14:paraId="3E7F5903">
      <w:pPr>
        <w:tabs>
          <w:tab w:val="left" w:pos="1260"/>
        </w:tabs>
        <w:autoSpaceDE w:val="0"/>
        <w:autoSpaceDN w:val="0"/>
        <w:spacing w:line="360" w:lineRule="auto"/>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color w:val="auto"/>
          <w:szCs w:val="21"/>
          <w:highlight w:val="none"/>
        </w:rPr>
        <w:t>8</w:t>
      </w:r>
      <w:r>
        <w:rPr>
          <w:rFonts w:hint="eastAsia" w:ascii="宋体" w:hAnsi="宋体" w:eastAsia="宋体" w:cs="宋体"/>
          <w:b/>
          <w:color w:val="auto"/>
          <w:szCs w:val="21"/>
          <w:highlight w:val="none"/>
          <w:lang w:val="zh-CN"/>
        </w:rPr>
        <w:t>. 中标公告、发出中标通知书</w:t>
      </w:r>
    </w:p>
    <w:p w14:paraId="4D64F047">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.1 采购人确认中标人后，</w:t>
      </w:r>
      <w:r>
        <w:rPr>
          <w:rFonts w:hint="eastAsia" w:ascii="宋体" w:hAnsi="宋体" w:eastAsia="宋体" w:cs="宋体"/>
          <w:color w:val="auto"/>
          <w:kern w:val="0"/>
          <w:sz w:val="21"/>
          <w:szCs w:val="21"/>
          <w:highlight w:val="none"/>
        </w:rPr>
        <w:t>采购人在公告中标结果的同时，通知中标人核验投标时由信用承诺函替代的证明材料。经核验无误后，发出中标通知书。</w:t>
      </w:r>
    </w:p>
    <w:p w14:paraId="63E60ED3">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.2 中标通知书发出后，采购人不得违法改变中标结果，中标人无正当理由不得放弃中标。</w:t>
      </w:r>
    </w:p>
    <w:p w14:paraId="2CAD9B45">
      <w:pPr>
        <w:tabs>
          <w:tab w:val="left" w:pos="1260"/>
        </w:tabs>
        <w:autoSpaceDE w:val="0"/>
        <w:autoSpaceDN w:val="0"/>
        <w:spacing w:line="360" w:lineRule="auto"/>
        <w:ind w:firstLine="420" w:firstLineChars="200"/>
        <w:contextualSpacing/>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 xml:space="preserve">38.3 </w:t>
      </w:r>
      <w:r>
        <w:rPr>
          <w:rFonts w:hint="eastAsia" w:ascii="宋体" w:hAnsi="宋体" w:eastAsia="宋体" w:cs="宋体"/>
          <w:bCs/>
          <w:color w:val="auto"/>
          <w:szCs w:val="21"/>
          <w:highlight w:val="none"/>
          <w:lang w:val="zh-CN"/>
        </w:rPr>
        <w:t>中标人在接到中标通知时，须向代理机构发送投标报价及分项报价一览表（包含主要中标标的的名称、规格型号、数量、单价、服务要求等）电子文档，并同时通知代理机构联系人。</w:t>
      </w:r>
    </w:p>
    <w:p w14:paraId="0CE79FC5">
      <w:pPr>
        <w:tabs>
          <w:tab w:val="left" w:pos="1260"/>
        </w:tabs>
        <w:autoSpaceDE w:val="0"/>
        <w:autoSpaceDN w:val="0"/>
        <w:spacing w:line="360" w:lineRule="auto"/>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39.</w:t>
      </w:r>
      <w:r>
        <w:rPr>
          <w:rFonts w:hint="eastAsia" w:ascii="宋体" w:hAnsi="宋体" w:eastAsia="宋体" w:cs="宋体"/>
          <w:b/>
          <w:color w:val="auto"/>
          <w:szCs w:val="21"/>
          <w:highlight w:val="none"/>
          <w:lang w:val="zh-CN"/>
        </w:rPr>
        <w:t>质疑提出与答复</w:t>
      </w:r>
    </w:p>
    <w:p w14:paraId="7F5BC61B">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39.1 供应商认为招标文件、采购过程和中标结果使自己的权益受到损害的，可以按照</w:t>
      </w:r>
      <w:r>
        <w:rPr>
          <w:rFonts w:hint="eastAsia" w:ascii="宋体" w:hAnsi="宋体" w:eastAsia="宋体" w:cs="宋体"/>
          <w:bCs/>
          <w:color w:val="auto"/>
          <w:kern w:val="0"/>
          <w:szCs w:val="21"/>
          <w:highlight w:val="none"/>
          <w:lang w:val="zh-CN"/>
        </w:rPr>
        <w:t>财政部94号令</w:t>
      </w:r>
      <w:r>
        <w:rPr>
          <w:rFonts w:hint="eastAsia" w:ascii="宋体" w:hAnsi="宋体" w:eastAsia="宋体" w:cs="宋体"/>
          <w:bCs/>
          <w:color w:val="auto"/>
          <w:szCs w:val="21"/>
          <w:highlight w:val="none"/>
          <w:lang w:val="zh-CN"/>
        </w:rPr>
        <w:t>提出质</w:t>
      </w:r>
      <w:r>
        <w:rPr>
          <w:rFonts w:hint="eastAsia" w:ascii="宋体" w:hAnsi="宋体" w:eastAsia="宋体" w:cs="宋体"/>
          <w:color w:val="auto"/>
          <w:szCs w:val="21"/>
          <w:highlight w:val="none"/>
        </w:rPr>
        <w:t>疑。提出质疑的供应商应当是参与本项目采购活动的供应商。</w:t>
      </w:r>
    </w:p>
    <w:p w14:paraId="3C51DA30">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39.1.1</w:t>
      </w:r>
      <w:r>
        <w:rPr>
          <w:rFonts w:hint="eastAsia" w:ascii="宋体" w:hAnsi="宋体" w:eastAsia="宋体" w:cs="宋体"/>
          <w:color w:val="auto"/>
          <w:kern w:val="0"/>
          <w:szCs w:val="21"/>
          <w:highlight w:val="none"/>
        </w:rPr>
        <w:t>对采购文件提出质疑的，潜在投标人应已依法获取采购文件，且应当在获取采购文件或者采购文件公告期限届满之日起7个工作日内通过《全国公共资源交易平台（河南省·许昌市）》一次性提出，提出时应按照《政府采购质疑和投诉办法》（财政部令第94号）第十二条规定提交质疑函和必要的证明材料，质疑提出后潜在投标人应及时联系招标公告中代理机构联系人查看。如未提出视为全面接受。</w:t>
      </w:r>
    </w:p>
    <w:p w14:paraId="0B725D1B">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39.1.2 对采购过程提出质疑的，为各采购程序环节结束之日起七个工作日内，以书面形式向采购人和采购代理机构一次性提出；</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 xml:space="preserve">    39.1.3 对中标结果提出质疑的，为中标结果公告期限届满之日起七个工作日内，以书面形式向采购人和采购代理机构一次性提出。</w:t>
      </w:r>
    </w:p>
    <w:p w14:paraId="3268248F">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39.2 采购人、采购代理机构认为供应商质疑不成立，或者成立但未对中标结果构成影响的，继续开展采购活动；认为供应商质疑成立且影响或者可能影响中标结果的，按照下列情况处理：</w:t>
      </w:r>
    </w:p>
    <w:p w14:paraId="4B1C4206">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39.2.1 对招标文件提出的质疑，依法通过澄清或者修改可以继续开展采购活动的，澄清或者修改招标文件后继续开展采购活动；否则应当修改招标文件后重新开展采购活动。</w:t>
      </w:r>
    </w:p>
    <w:p w14:paraId="498497AF">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39.2.2 对采购过程、中标结果提出的质疑，合格供应商符合法定数量时，可以从合格的中标候选人中另行确定中标供应商的，应当依法另行确定中标供应商；否则应当重新开展采购活动。</w:t>
      </w:r>
    </w:p>
    <w:p w14:paraId="7A9FDE49">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39.3 答复</w:t>
      </w:r>
    </w:p>
    <w:p w14:paraId="72E2EE5C">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39.3.1 对招标文件提出质疑的，质疑供应商和其他有关供应商在法定时限内到《全国公共资源交易平台（河南省·许昌市）》自行下载并打印书面质疑回复函，或者联系采购单位领取书面质疑回复函。</w:t>
      </w:r>
    </w:p>
    <w:p w14:paraId="379D44CA">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39.3.2 对采购过程提出质疑的，质疑供应商和其他有关供应商在法定时限内联系采购单位领取书面质疑回复函。</w:t>
      </w:r>
    </w:p>
    <w:p w14:paraId="02387DCC">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39.3.3 对中标结果提出质疑的，质疑供应商和其他有关供应商在法定时限内联系采购单位领取书面质疑回复函。</w:t>
      </w:r>
    </w:p>
    <w:p w14:paraId="56BD86B1">
      <w:pPr>
        <w:tabs>
          <w:tab w:val="left" w:pos="1260"/>
        </w:tabs>
        <w:autoSpaceDE w:val="0"/>
        <w:autoSpaceDN w:val="0"/>
        <w:spacing w:line="360" w:lineRule="auto"/>
        <w:contextualSpacing/>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40.</w:t>
      </w:r>
      <w:r>
        <w:rPr>
          <w:rFonts w:hint="eastAsia" w:ascii="宋体" w:hAnsi="宋体" w:eastAsia="宋体" w:cs="宋体"/>
          <w:b/>
          <w:color w:val="auto"/>
          <w:szCs w:val="21"/>
          <w:highlight w:val="none"/>
          <w:lang w:val="zh-CN"/>
        </w:rPr>
        <w:t>签订合同</w:t>
      </w:r>
    </w:p>
    <w:p w14:paraId="2BD4EF5E">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采购人应当自中标通知书发出之日起</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zh-CN"/>
        </w:rPr>
        <w:t>日内与采购单位签</w:t>
      </w:r>
      <w:r>
        <w:rPr>
          <w:rFonts w:hint="eastAsia" w:ascii="宋体" w:hAnsi="宋体" w:eastAsia="宋体" w:cs="宋体"/>
          <w:color w:val="auto"/>
          <w:szCs w:val="21"/>
          <w:highlight w:val="none"/>
          <w:lang w:val="en-US" w:eastAsia="zh-CN"/>
        </w:rPr>
        <w:t>订</w:t>
      </w:r>
      <w:r>
        <w:rPr>
          <w:rFonts w:hint="eastAsia" w:ascii="宋体" w:hAnsi="宋体" w:eastAsia="宋体" w:cs="宋体"/>
          <w:color w:val="auto"/>
          <w:szCs w:val="21"/>
          <w:highlight w:val="none"/>
          <w:lang w:val="zh-CN"/>
        </w:rPr>
        <w:t>政府采购合同，采购单位应当自合同签订之日起2个工作日内在河南省电子化政府采购系统进行合同备案。按照招标文件和中标人投标文件的规定，与中标人签订书面合同。所签订的合同不得对招标文件确定的事项和中标人投标文件作实质性修改。</w:t>
      </w:r>
    </w:p>
    <w:p w14:paraId="225F5E67">
      <w:pPr>
        <w:tabs>
          <w:tab w:val="left" w:pos="1260"/>
        </w:tabs>
        <w:autoSpaceDE w:val="0"/>
        <w:autoSpaceDN w:val="0"/>
        <w:spacing w:line="360" w:lineRule="auto"/>
        <w:contextualSpacing/>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41.履约保证金</w:t>
      </w:r>
    </w:p>
    <w:p w14:paraId="6D9D2AE9">
      <w:pPr>
        <w:autoSpaceDE w:val="0"/>
        <w:autoSpaceDN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“投标人须知前附表”中规定</w:t>
      </w:r>
      <w:r>
        <w:rPr>
          <w:rFonts w:hint="eastAsia" w:ascii="宋体" w:hAnsi="宋体" w:eastAsia="宋体" w:cs="宋体"/>
          <w:color w:val="auto"/>
          <w:szCs w:val="21"/>
          <w:highlight w:val="none"/>
        </w:rPr>
        <w:t>中标人提交履约保证金的，中标人应当以支票、汇票、本票或者金融机构、担保机构出具的保函等非现金形式向采购人提交。履约保证金的数额不得超过政府采购合同金额的   %。</w:t>
      </w:r>
    </w:p>
    <w:p w14:paraId="639E77B1">
      <w:pPr>
        <w:pStyle w:val="59"/>
        <w:autoSpaceDE w:val="0"/>
        <w:autoSpaceDN w:val="0"/>
        <w:spacing w:line="360" w:lineRule="auto"/>
        <w:ind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42.政府采购合同融资</w:t>
      </w:r>
    </w:p>
    <w:p w14:paraId="0D29D631">
      <w:pPr>
        <w:pStyle w:val="59"/>
        <w:wordWrap w:val="0"/>
        <w:topLinePunct/>
        <w:autoSpaceDE w:val="0"/>
        <w:autoSpaceDN w:val="0"/>
        <w:adjustRightInd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42.1缓解中小企业融资难题</w:t>
      </w:r>
    </w:p>
    <w:p w14:paraId="078F99FA">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1D4DB7EF">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42.2合作金融机构（排名不分先后）</w:t>
      </w:r>
    </w:p>
    <w:p w14:paraId="047A6A12">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合作金融机构名称：中原银行许昌分行（小微金融部）</w:t>
      </w:r>
    </w:p>
    <w:p w14:paraId="72BA0895">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联系人及电话：陈阳 13137407575   方金龙  15836539901</w:t>
      </w:r>
    </w:p>
    <w:p w14:paraId="4E6FAD37">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地址：许昌市建安大道与紫云路交汇处中原银行</w:t>
      </w:r>
    </w:p>
    <w:p w14:paraId="07E4F389">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合作金融机构名称：浦发银行许昌分行</w:t>
      </w:r>
    </w:p>
    <w:p w14:paraId="1602FB6B">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联系人及电话：赵勇  0374-7313569、7313502 18937459920</w:t>
      </w:r>
    </w:p>
    <w:p w14:paraId="08CDF0A3">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地址：许昌市许继大道1163号许继花园</w:t>
      </w:r>
    </w:p>
    <w:p w14:paraId="04258EF3">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合作金融机构名称：交通银行许昌分行</w:t>
      </w:r>
    </w:p>
    <w:p w14:paraId="37CE5AFA">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联系人：宋纪刚  0374-2369912  13733951305</w:t>
      </w:r>
    </w:p>
    <w:p w14:paraId="53C53D53">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地址：许昌市莲城大道114号</w:t>
      </w:r>
    </w:p>
    <w:p w14:paraId="62E1E266">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合作金融机构名称：光大银行许昌分行</w:t>
      </w:r>
    </w:p>
    <w:p w14:paraId="50176D84">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联系人：李东磊  0374-2928168 18569936868</w:t>
      </w:r>
    </w:p>
    <w:p w14:paraId="42023C51">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地址：许昌市魏都区八一路文峰路交叉口西北角</w:t>
      </w:r>
    </w:p>
    <w:p w14:paraId="336EA35B">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合作金融机构名称：招商银行许昌分行</w:t>
      </w:r>
    </w:p>
    <w:p w14:paraId="78FEC2E8">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联系人及电话：崔星迪  0374-5376058  18839983051</w:t>
      </w:r>
    </w:p>
    <w:p w14:paraId="0A62817C">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地址：许昌市建安大道中段新天下AB座</w:t>
      </w:r>
    </w:p>
    <w:p w14:paraId="2A3F5DA5">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合作金融机构名称：邮储银行许昌市分行</w:t>
      </w:r>
    </w:p>
    <w:p w14:paraId="0AF7D995">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联系人及电话：张彦峰13839001972 武松涛18839902679</w:t>
      </w:r>
    </w:p>
    <w:p w14:paraId="550BF210">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徐亚爽15038297574</w:t>
      </w:r>
    </w:p>
    <w:p w14:paraId="3387B308">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地址：许昌市莲城大道邮储银行莲城支行二楼</w:t>
      </w:r>
    </w:p>
    <w:p w14:paraId="11EFE7CF">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合作金融机构名称：中国银行许昌分行</w:t>
      </w:r>
    </w:p>
    <w:p w14:paraId="320B8BC5">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联系人及电话：白炜 13938772680   刘晓飞  0374-3338596</w:t>
      </w:r>
    </w:p>
    <w:p w14:paraId="1A0BFE43">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地址：许昌市魏都区建设路1488号</w:t>
      </w:r>
    </w:p>
    <w:p w14:paraId="08D99DA6">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合作金融机构名称：中信银行郑州红专路支行</w:t>
      </w:r>
    </w:p>
    <w:p w14:paraId="1AB274D4">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联系人：韩晨  13253490679</w:t>
      </w:r>
    </w:p>
    <w:p w14:paraId="04F5D931">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地址：郑州市金水区经三路北26号中信银行郑州红专路支行</w:t>
      </w:r>
    </w:p>
    <w:p w14:paraId="4D3EEABB">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“许昌市政府采购合同融资金融产品推介名录”链接</w:t>
      </w:r>
    </w:p>
    <w:p w14:paraId="3649A659">
      <w:pPr>
        <w:autoSpaceDE w:val="0"/>
        <w:autoSpaceDN w:val="0"/>
        <w:spacing w:line="360" w:lineRule="auto"/>
        <w:ind w:left="964"/>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http://xuchang.hngp.gov.cn/xuchang/content?infoId=1606365368231095&amp;channelCode=H711001</w:t>
      </w:r>
    </w:p>
    <w:p w14:paraId="57FD0413">
      <w:pPr>
        <w:autoSpaceDE w:val="0"/>
        <w:autoSpaceDN w:val="0"/>
        <w:spacing w:line="360" w:lineRule="auto"/>
        <w:contextualSpacing/>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43. 其他</w:t>
      </w:r>
    </w:p>
    <w:p w14:paraId="44BC918B">
      <w:pPr>
        <w:tabs>
          <w:tab w:val="left" w:pos="1260"/>
        </w:tabs>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本次招标文件未尽事项，以法律法规规定的为准。</w:t>
      </w:r>
    </w:p>
    <w:p w14:paraId="2170624A">
      <w:pPr>
        <w:autoSpaceDE w:val="0"/>
        <w:autoSpaceDN w:val="0"/>
        <w:spacing w:line="360" w:lineRule="auto"/>
        <w:ind w:firstLine="643" w:firstLineChars="200"/>
        <w:contextualSpacing/>
        <w:rPr>
          <w:rFonts w:hint="eastAsia" w:ascii="宋体" w:hAnsi="宋体" w:eastAsia="宋体" w:cs="宋体"/>
          <w:b/>
          <w:color w:val="auto"/>
          <w:kern w:val="0"/>
          <w:sz w:val="32"/>
          <w:szCs w:val="32"/>
          <w:highlight w:val="none"/>
        </w:rPr>
      </w:pPr>
    </w:p>
    <w:p w14:paraId="66E442D9">
      <w:pPr>
        <w:pStyle w:val="6"/>
        <w:ind w:firstLine="0"/>
        <w:rPr>
          <w:rFonts w:hint="eastAsia" w:ascii="宋体" w:hAnsi="宋体" w:eastAsia="宋体" w:cs="宋体"/>
          <w:b/>
          <w:color w:val="auto"/>
          <w:kern w:val="0"/>
          <w:sz w:val="32"/>
          <w:szCs w:val="32"/>
          <w:highlight w:val="none"/>
        </w:rPr>
      </w:pPr>
    </w:p>
    <w:p w14:paraId="707F72F4">
      <w:pPr>
        <w:pStyle w:val="6"/>
        <w:ind w:firstLine="0"/>
        <w:rPr>
          <w:rFonts w:hint="eastAsia" w:ascii="宋体" w:hAnsi="宋体" w:eastAsia="宋体" w:cs="宋体"/>
          <w:b/>
          <w:color w:val="auto"/>
          <w:kern w:val="0"/>
          <w:sz w:val="32"/>
          <w:szCs w:val="32"/>
          <w:highlight w:val="none"/>
        </w:rPr>
      </w:pPr>
    </w:p>
    <w:p w14:paraId="73581643">
      <w:pPr>
        <w:pStyle w:val="6"/>
        <w:ind w:firstLine="0"/>
        <w:rPr>
          <w:rFonts w:hint="eastAsia" w:ascii="宋体" w:hAnsi="宋体" w:eastAsia="宋体" w:cs="宋体"/>
          <w:b/>
          <w:color w:val="auto"/>
          <w:kern w:val="0"/>
          <w:sz w:val="32"/>
          <w:szCs w:val="32"/>
          <w:highlight w:val="none"/>
        </w:rPr>
      </w:pPr>
    </w:p>
    <w:p w14:paraId="34F5ECFC">
      <w:pPr>
        <w:pStyle w:val="6"/>
        <w:ind w:firstLine="0"/>
        <w:rPr>
          <w:rFonts w:hint="eastAsia" w:ascii="宋体" w:hAnsi="宋体" w:eastAsia="宋体" w:cs="宋体"/>
          <w:b/>
          <w:color w:val="auto"/>
          <w:kern w:val="0"/>
          <w:sz w:val="32"/>
          <w:szCs w:val="32"/>
          <w:highlight w:val="none"/>
        </w:rPr>
      </w:pPr>
    </w:p>
    <w:p w14:paraId="1C425456">
      <w:pPr>
        <w:pStyle w:val="6"/>
        <w:ind w:firstLine="0"/>
        <w:rPr>
          <w:rFonts w:hint="eastAsia" w:ascii="宋体" w:hAnsi="宋体" w:eastAsia="宋体" w:cs="宋体"/>
          <w:b/>
          <w:color w:val="auto"/>
          <w:kern w:val="0"/>
          <w:sz w:val="32"/>
          <w:szCs w:val="32"/>
          <w:highlight w:val="none"/>
        </w:rPr>
      </w:pPr>
    </w:p>
    <w:p w14:paraId="7E20ECC6">
      <w:pPr>
        <w:pStyle w:val="7"/>
        <w:rPr>
          <w:rFonts w:hint="eastAsia" w:ascii="宋体" w:hAnsi="宋体" w:eastAsia="宋体" w:cs="宋体"/>
          <w:b/>
          <w:color w:val="auto"/>
          <w:kern w:val="0"/>
          <w:sz w:val="32"/>
          <w:szCs w:val="32"/>
          <w:highlight w:val="none"/>
        </w:rPr>
      </w:pPr>
    </w:p>
    <w:p w14:paraId="2582B332">
      <w:pPr>
        <w:rPr>
          <w:rFonts w:hint="eastAsia"/>
          <w:color w:val="auto"/>
          <w:highlight w:val="none"/>
        </w:rPr>
      </w:pPr>
    </w:p>
    <w:p w14:paraId="19CEA699">
      <w:pPr>
        <w:autoSpaceDE w:val="0"/>
        <w:autoSpaceDN w:val="0"/>
        <w:spacing w:line="360" w:lineRule="auto"/>
        <w:ind w:left="964"/>
        <w:contextualSpacing/>
        <w:jc w:val="center"/>
        <w:rPr>
          <w:rFonts w:hint="eastAsia" w:ascii="宋体" w:hAnsi="宋体" w:eastAsia="宋体" w:cs="宋体"/>
          <w:b/>
          <w:color w:val="auto"/>
          <w:kern w:val="0"/>
          <w:sz w:val="32"/>
          <w:szCs w:val="32"/>
          <w:highlight w:val="none"/>
        </w:rPr>
      </w:pPr>
    </w:p>
    <w:p w14:paraId="1250D9AD">
      <w:pPr>
        <w:autoSpaceDE w:val="0"/>
        <w:autoSpaceDN w:val="0"/>
        <w:spacing w:line="360" w:lineRule="auto"/>
        <w:ind w:left="964"/>
        <w:contextualSpacing/>
        <w:jc w:val="center"/>
        <w:rPr>
          <w:rFonts w:hint="eastAsia" w:ascii="宋体" w:hAnsi="宋体" w:eastAsia="宋体" w:cs="宋体"/>
          <w:b/>
          <w:color w:val="auto"/>
          <w:kern w:val="0"/>
          <w:sz w:val="32"/>
          <w:szCs w:val="32"/>
          <w:highlight w:val="none"/>
        </w:rPr>
      </w:pPr>
    </w:p>
    <w:p w14:paraId="08C0522E">
      <w:pPr>
        <w:autoSpaceDE w:val="0"/>
        <w:autoSpaceDN w:val="0"/>
        <w:spacing w:line="360" w:lineRule="auto"/>
        <w:ind w:left="964"/>
        <w:contextualSpacing/>
        <w:jc w:val="center"/>
        <w:rPr>
          <w:rFonts w:hint="eastAsia" w:ascii="宋体" w:hAnsi="宋体" w:eastAsia="宋体" w:cs="宋体"/>
          <w:b/>
          <w:color w:val="auto"/>
          <w:kern w:val="0"/>
          <w:sz w:val="32"/>
          <w:szCs w:val="32"/>
          <w:highlight w:val="none"/>
        </w:rPr>
      </w:pPr>
    </w:p>
    <w:p w14:paraId="36627C6D">
      <w:pPr>
        <w:autoSpaceDE w:val="0"/>
        <w:autoSpaceDN w:val="0"/>
        <w:spacing w:line="360" w:lineRule="auto"/>
        <w:ind w:left="964"/>
        <w:contextualSpacing/>
        <w:jc w:val="center"/>
        <w:rPr>
          <w:rFonts w:hint="eastAsia" w:ascii="宋体" w:hAnsi="宋体" w:eastAsia="宋体" w:cs="宋体"/>
          <w:b/>
          <w:color w:val="auto"/>
          <w:kern w:val="0"/>
          <w:sz w:val="32"/>
          <w:szCs w:val="32"/>
          <w:highlight w:val="none"/>
        </w:rPr>
      </w:pPr>
    </w:p>
    <w:p w14:paraId="0F32684B">
      <w:pPr>
        <w:autoSpaceDE w:val="0"/>
        <w:autoSpaceDN w:val="0"/>
        <w:spacing w:line="360" w:lineRule="auto"/>
        <w:ind w:left="964"/>
        <w:contextualSpacing/>
        <w:jc w:val="center"/>
        <w:rPr>
          <w:rFonts w:hint="eastAsia" w:ascii="宋体" w:hAnsi="宋体" w:eastAsia="宋体" w:cs="宋体"/>
          <w:b/>
          <w:color w:val="auto"/>
          <w:kern w:val="0"/>
          <w:sz w:val="32"/>
          <w:szCs w:val="32"/>
          <w:highlight w:val="none"/>
        </w:rPr>
      </w:pPr>
    </w:p>
    <w:p w14:paraId="0B635471">
      <w:pPr>
        <w:autoSpaceDE w:val="0"/>
        <w:autoSpaceDN w:val="0"/>
        <w:spacing w:line="360" w:lineRule="auto"/>
        <w:ind w:left="964"/>
        <w:contextualSpacing/>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2"/>
          <w:szCs w:val="32"/>
          <w:highlight w:val="none"/>
        </w:rPr>
        <w:t>第五章 政府采购政策功能</w:t>
      </w:r>
    </w:p>
    <w:p w14:paraId="37159824">
      <w:pPr>
        <w:pStyle w:val="17"/>
        <w:spacing w:line="348"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 w:val="21"/>
          <w:szCs w:val="21"/>
          <w:highlight w:val="none"/>
          <w:lang w:val="zh-CN"/>
        </w:rPr>
        <w:t>根据《中华人民共和国政府采购法</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中华人民共和国政府采购法实施条例</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政府采购货物和服务招标投标管理办法》等规定，政府采购项目应落实节约能源、保护环境、促进中小企业发展、支持监狱企业发展、促进残疾人就业、支持脱贫攻坚等政府采购政策。</w:t>
      </w:r>
    </w:p>
    <w:p w14:paraId="462B800E">
      <w:pPr>
        <w:pStyle w:val="17"/>
        <w:spacing w:line="348"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一、节</w:t>
      </w:r>
      <w:r>
        <w:rPr>
          <w:rFonts w:hint="eastAsia" w:ascii="宋体" w:hAnsi="宋体" w:cs="宋体"/>
          <w:b/>
          <w:color w:val="auto"/>
          <w:sz w:val="21"/>
          <w:szCs w:val="21"/>
          <w:highlight w:val="none"/>
          <w:lang w:val="en-US" w:eastAsia="zh-CN"/>
        </w:rPr>
        <w:t>约</w:t>
      </w:r>
      <w:r>
        <w:rPr>
          <w:rFonts w:hint="eastAsia" w:ascii="宋体" w:hAnsi="宋体" w:eastAsia="宋体" w:cs="宋体"/>
          <w:b/>
          <w:color w:val="auto"/>
          <w:sz w:val="21"/>
          <w:szCs w:val="21"/>
          <w:highlight w:val="none"/>
          <w:lang w:val="zh-CN"/>
        </w:rPr>
        <w:t>能源、保护环境</w:t>
      </w:r>
    </w:p>
    <w:p w14:paraId="6CC717F6">
      <w:pPr>
        <w:pStyle w:val="17"/>
        <w:spacing w:line="348"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按照《财政部、发展改革委、生态环境部、市场监管总局关于调整优化节能产品、环境标志产品政府采购执行机制的通知》（财库〔2019〕9号）和</w:t>
      </w:r>
      <w:r>
        <w:rPr>
          <w:rFonts w:hint="eastAsia" w:ascii="宋体" w:hAnsi="宋体" w:eastAsia="宋体" w:cs="宋体"/>
          <w:color w:val="auto"/>
          <w:sz w:val="21"/>
          <w:szCs w:val="21"/>
          <w:highlight w:val="none"/>
        </w:rPr>
        <w:t>财政部、生态环境部</w:t>
      </w:r>
      <w:r>
        <w:rPr>
          <w:rFonts w:hint="eastAsia" w:ascii="宋体" w:hAnsi="宋体" w:eastAsia="宋体" w:cs="宋体"/>
          <w:color w:val="auto"/>
          <w:sz w:val="21"/>
          <w:szCs w:val="21"/>
          <w:highlight w:val="none"/>
          <w:lang w:val="zh-CN"/>
        </w:rPr>
        <w:t>《关于印发环境标志产品政府采购品目清单的通知》</w:t>
      </w:r>
      <w:r>
        <w:rPr>
          <w:rFonts w:hint="eastAsia" w:ascii="宋体" w:hAnsi="宋体" w:eastAsia="宋体" w:cs="宋体"/>
          <w:color w:val="auto"/>
          <w:sz w:val="21"/>
          <w:szCs w:val="21"/>
          <w:highlight w:val="none"/>
        </w:rPr>
        <w:t>（财库</w:t>
      </w:r>
      <w:r>
        <w:rPr>
          <w:rFonts w:hint="eastAsia" w:ascii="宋体" w:hAnsi="宋体" w:cs="宋体"/>
          <w:color w:val="auto"/>
          <w:sz w:val="21"/>
          <w:szCs w:val="21"/>
          <w:highlight w:val="none"/>
          <w:lang w:eastAsia="zh-CN"/>
        </w:rPr>
        <w:t>〔2019〕18号</w:t>
      </w:r>
      <w:r>
        <w:rPr>
          <w:rFonts w:hint="eastAsia" w:ascii="宋体" w:hAnsi="宋体" w:eastAsia="宋体" w:cs="宋体"/>
          <w:color w:val="auto"/>
          <w:sz w:val="21"/>
          <w:szCs w:val="21"/>
          <w:highlight w:val="none"/>
        </w:rPr>
        <w:t>）以及</w:t>
      </w:r>
      <w:r>
        <w:rPr>
          <w:rFonts w:hint="eastAsia" w:ascii="宋体" w:hAnsi="宋体" w:eastAsia="宋体" w:cs="宋体"/>
          <w:color w:val="auto"/>
          <w:sz w:val="21"/>
          <w:szCs w:val="21"/>
          <w:highlight w:val="none"/>
          <w:lang w:val="zh-CN"/>
        </w:rPr>
        <w:t>财政部、发展改革委</w:t>
      </w:r>
      <w:r>
        <w:rPr>
          <w:rFonts w:hint="eastAsia" w:ascii="宋体" w:hAnsi="宋体" w:eastAsia="宋体" w:cs="宋体"/>
          <w:color w:val="auto"/>
          <w:sz w:val="21"/>
          <w:szCs w:val="21"/>
          <w:highlight w:val="none"/>
        </w:rPr>
        <w:t>《关于印发节能产品政府采购品目清单的通知》（财库</w:t>
      </w:r>
      <w:r>
        <w:rPr>
          <w:rFonts w:hint="eastAsia" w:ascii="宋体" w:hAnsi="宋体" w:cs="宋体"/>
          <w:color w:val="auto"/>
          <w:sz w:val="21"/>
          <w:szCs w:val="21"/>
          <w:highlight w:val="none"/>
          <w:lang w:eastAsia="zh-CN"/>
        </w:rPr>
        <w:t>〔2019〕19号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采购属于政府强</w:t>
      </w:r>
      <w:r>
        <w:rPr>
          <w:rFonts w:hint="eastAsia" w:ascii="宋体" w:hAnsi="宋体" w:eastAsia="宋体" w:cs="宋体"/>
          <w:color w:val="auto"/>
          <w:sz w:val="21"/>
          <w:szCs w:val="21"/>
          <w:highlight w:val="none"/>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62D3C337">
      <w:pPr>
        <w:pStyle w:val="17"/>
        <w:numPr>
          <w:ilvl w:val="0"/>
          <w:numId w:val="0"/>
        </w:numPr>
        <w:spacing w:line="348" w:lineRule="auto"/>
        <w:ind w:leftChars="0"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lang w:val="zh-CN"/>
        </w:rPr>
        <w:t>促进中小企业发展（不含民办非企业）</w:t>
      </w:r>
    </w:p>
    <w:p w14:paraId="3BFC6222">
      <w:pPr>
        <w:pStyle w:val="17"/>
        <w:numPr>
          <w:ilvl w:val="0"/>
          <w:numId w:val="0"/>
        </w:numPr>
        <w:spacing w:line="360" w:lineRule="auto"/>
        <w:ind w:leftChars="200"/>
        <w:contextualSpacing/>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eastAsia="zh-CN"/>
        </w:rPr>
        <w:t xml:space="preserve">（一）专门面向中小企业预留采购份额 </w:t>
      </w:r>
    </w:p>
    <w:p w14:paraId="09266C66">
      <w:pPr>
        <w:pStyle w:val="17"/>
        <w:numPr>
          <w:ilvl w:val="0"/>
          <w:numId w:val="0"/>
        </w:numPr>
        <w:spacing w:line="360" w:lineRule="auto"/>
        <w:ind w:left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val="0"/>
          <w:bCs/>
          <w:color w:val="auto"/>
          <w:sz w:val="21"/>
          <w:szCs w:val="21"/>
          <w:highlight w:val="none"/>
          <w:lang w:val="zh-CN" w:eastAsia="zh-CN"/>
        </w:rPr>
        <w:t>（二）非专门面向中小企业预留采购份额</w:t>
      </w:r>
    </w:p>
    <w:p w14:paraId="5B65EF5A">
      <w:pPr>
        <w:topLinePunct/>
        <w:spacing w:line="348"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14:paraId="42F6B871">
      <w:pPr>
        <w:topLinePunct/>
        <w:spacing w:line="348"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rPr>
        <w:t>在货物采购项目中，供应商提供的货物既有中小企业制造货物，也有大型企业制造货物的，不享受</w:t>
      </w:r>
      <w:r>
        <w:rPr>
          <w:rFonts w:hint="eastAsia" w:ascii="宋体" w:hAnsi="宋体" w:eastAsia="宋体" w:cs="宋体"/>
          <w:color w:val="auto"/>
          <w:szCs w:val="21"/>
          <w:highlight w:val="none"/>
          <w:lang w:val="zh-CN"/>
        </w:rPr>
        <w:t>《政府采购促进中小企业发展管理办法》（财库〔2020〕46号）</w:t>
      </w:r>
      <w:r>
        <w:rPr>
          <w:rFonts w:hint="eastAsia" w:ascii="宋体" w:hAnsi="宋体" w:eastAsia="宋体" w:cs="宋体"/>
          <w:color w:val="auto"/>
          <w:highlight w:val="none"/>
        </w:rPr>
        <w:t>规定的中小企业扶持政策。</w:t>
      </w:r>
    </w:p>
    <w:p w14:paraId="79F87473">
      <w:pPr>
        <w:spacing w:line="348"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lang w:eastAsia="zh-CN"/>
        </w:rPr>
        <w:t>3.</w:t>
      </w:r>
      <w:r>
        <w:rPr>
          <w:rFonts w:hint="eastAsia" w:ascii="宋体" w:hAnsi="宋体" w:eastAsia="宋体" w:cs="宋体"/>
          <w:color w:val="auto"/>
          <w:highlight w:val="none"/>
        </w:rPr>
        <w:t>以联合体形式参加政府采购活动，联合体各方均为中小企业的，联合体视同中小企业。其中，联合体各方均为小微企业的，联合体视同小微企业。</w:t>
      </w:r>
    </w:p>
    <w:p w14:paraId="2AB908AD">
      <w:pPr>
        <w:spacing w:line="348"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lang w:eastAsia="zh-CN"/>
        </w:rPr>
        <w:t>4.</w:t>
      </w:r>
      <w:r>
        <w:rPr>
          <w:rFonts w:hint="eastAsia" w:ascii="宋体" w:hAnsi="宋体" w:eastAsia="宋体" w:cs="宋体"/>
          <w:color w:val="auto"/>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6%的扣除，用扣除后的价格参加评审。组成联合体或者接受分包的小微企业与联合体内其他企业、分包企业之间存在直接控股、管理关系的，不享受价格扣除优惠政策。</w:t>
      </w:r>
    </w:p>
    <w:p w14:paraId="43B45355">
      <w:pPr>
        <w:topLinePunct/>
        <w:spacing w:line="348"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lang w:eastAsia="zh-CN"/>
        </w:rPr>
        <w:t>5.</w:t>
      </w:r>
      <w:r>
        <w:rPr>
          <w:rFonts w:hint="eastAsia" w:ascii="宋体" w:hAnsi="宋体" w:eastAsia="宋体" w:cs="宋体"/>
          <w:color w:val="auto"/>
          <w:highlight w:val="none"/>
        </w:rPr>
        <w:t>按照本次采购标的所属行业的划型标准，符合条件的中小企业应按照招标文件格式要求提供《中小企业声明函》，否则不得享受相关中小企业扶持政策。</w:t>
      </w:r>
    </w:p>
    <w:p w14:paraId="335D293A">
      <w:pPr>
        <w:topLinePunct/>
        <w:spacing w:line="348" w:lineRule="auto"/>
        <w:ind w:firstLine="422" w:firstLineChars="200"/>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三、支持监狱企业发展</w:t>
      </w:r>
    </w:p>
    <w:p w14:paraId="0B3DCDCA">
      <w:pPr>
        <w:spacing w:line="348"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按照财政部、司法部发布的《关于政府采购支持监狱企业发展有关问题的通知》（</w:t>
      </w:r>
      <w:bookmarkStart w:id="0" w:name="OLE_LINK6"/>
      <w:r>
        <w:rPr>
          <w:rFonts w:hint="eastAsia" w:ascii="宋体" w:hAnsi="宋体" w:eastAsia="宋体" w:cs="宋体"/>
          <w:color w:val="auto"/>
          <w:szCs w:val="21"/>
          <w:highlight w:val="none"/>
          <w:lang w:val="zh-CN"/>
        </w:rPr>
        <w:t>财库〔2014〕68号</w:t>
      </w:r>
      <w:bookmarkEnd w:id="0"/>
      <w:r>
        <w:rPr>
          <w:rFonts w:hint="eastAsia" w:ascii="宋体" w:hAnsi="宋体" w:eastAsia="宋体" w:cs="宋体"/>
          <w:color w:val="auto"/>
          <w:szCs w:val="21"/>
          <w:highlight w:val="none"/>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1E962673">
      <w:pPr>
        <w:spacing w:line="348" w:lineRule="auto"/>
        <w:ind w:firstLine="422" w:firstLineChars="200"/>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四、促进残疾人就业</w:t>
      </w:r>
    </w:p>
    <w:p w14:paraId="724C16FB">
      <w:pPr>
        <w:pStyle w:val="17"/>
        <w:spacing w:line="348"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1.</w:t>
      </w:r>
      <w:r>
        <w:rPr>
          <w:rFonts w:hint="eastAsia" w:ascii="宋体" w:hAnsi="宋体" w:eastAsia="宋体" w:cs="宋体"/>
          <w:color w:val="auto"/>
          <w:sz w:val="21"/>
          <w:szCs w:val="21"/>
          <w:highlight w:val="none"/>
          <w:lang w:val="zh-CN"/>
        </w:rPr>
        <w:t>按照财政部、民政部、中国残疾人联合会和残疾人发布的《三部门联合发布关于促进残疾人就业政府采购政策的通知》（财库</w:t>
      </w:r>
      <w:r>
        <w:rPr>
          <w:rFonts w:hint="eastAsia" w:ascii="宋体" w:hAnsi="宋体" w:cs="宋体"/>
          <w:color w:val="auto"/>
          <w:sz w:val="21"/>
          <w:szCs w:val="21"/>
          <w:highlight w:val="none"/>
          <w:lang w:val="zh-CN"/>
        </w:rPr>
        <w:t>〔2017〕141号</w:t>
      </w:r>
      <w:r>
        <w:rPr>
          <w:rFonts w:hint="eastAsia" w:ascii="宋体" w:hAnsi="宋体" w:eastAsia="宋体" w:cs="宋体"/>
          <w:color w:val="auto"/>
          <w:sz w:val="21"/>
          <w:szCs w:val="21"/>
          <w:highlight w:val="none"/>
          <w:lang w:val="zh-CN"/>
        </w:rPr>
        <w:t>）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宋体" w:hAnsi="宋体" w:eastAsia="宋体" w:cs="宋体"/>
          <w:color w:val="auto"/>
          <w:sz w:val="21"/>
          <w:szCs w:val="21"/>
          <w:highlight w:val="none"/>
        </w:rPr>
        <w:t>残疾人福利性单位属于小型、微型企业的，不重复享受政策。</w:t>
      </w:r>
    </w:p>
    <w:p w14:paraId="7CA6727C">
      <w:pPr>
        <w:pStyle w:val="17"/>
        <w:spacing w:line="348"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2.</w:t>
      </w:r>
      <w:r>
        <w:rPr>
          <w:rFonts w:hint="eastAsia" w:ascii="宋体" w:hAnsi="宋体" w:eastAsia="宋体" w:cs="宋体"/>
          <w:color w:val="auto"/>
          <w:sz w:val="21"/>
          <w:szCs w:val="21"/>
          <w:highlight w:val="none"/>
          <w:lang w:val="zh-CN"/>
        </w:rPr>
        <w:t>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4512B0BC">
      <w:pPr>
        <w:pStyle w:val="17"/>
        <w:spacing w:line="348"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3.</w:t>
      </w:r>
      <w:r>
        <w:rPr>
          <w:rFonts w:hint="eastAsia" w:ascii="宋体" w:hAnsi="宋体" w:eastAsia="宋体" w:cs="宋体"/>
          <w:color w:val="auto"/>
          <w:sz w:val="21"/>
          <w:szCs w:val="21"/>
          <w:highlight w:val="none"/>
          <w:lang w:val="zh-CN"/>
        </w:rPr>
        <w:t>中标人为残疾人福利性单位的，采购人应当随中标结果同时公告其《残疾人福利性单位声明函》，接受社会监督。</w:t>
      </w:r>
    </w:p>
    <w:p w14:paraId="64A46E3B">
      <w:pPr>
        <w:spacing w:line="348" w:lineRule="auto"/>
        <w:ind w:firstLine="422" w:firstLineChars="200"/>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五、支持脱贫攻坚（物业服务采购）</w:t>
      </w:r>
    </w:p>
    <w:p w14:paraId="1AE5EC3C">
      <w:pPr>
        <w:topLinePunct/>
        <w:spacing w:line="348"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1.根据《财政部 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14:paraId="072AB21D">
      <w:pPr>
        <w:topLinePunct/>
        <w:spacing w:line="348" w:lineRule="auto"/>
        <w:ind w:firstLine="420" w:firstLineChars="200"/>
        <w:contextualSpacing/>
        <w:rPr>
          <w:rFonts w:hint="eastAsia" w:ascii="宋体" w:hAnsi="宋体" w:eastAsia="宋体" w:cs="宋体"/>
          <w:b/>
          <w:color w:val="auto"/>
          <w:kern w:val="0"/>
          <w:sz w:val="36"/>
          <w:szCs w:val="36"/>
          <w:highlight w:val="none"/>
        </w:rPr>
      </w:pPr>
      <w:r>
        <w:rPr>
          <w:rFonts w:hint="eastAsia" w:ascii="宋体" w:hAnsi="宋体" w:eastAsia="宋体" w:cs="宋体"/>
          <w:color w:val="auto"/>
          <w:szCs w:val="21"/>
          <w:highlight w:val="none"/>
          <w:lang w:val="zh-CN"/>
        </w:rPr>
        <w:t>2.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14:paraId="23A7750A">
      <w:pPr>
        <w:tabs>
          <w:tab w:val="left" w:pos="1260"/>
        </w:tabs>
        <w:autoSpaceDE w:val="0"/>
        <w:autoSpaceDN w:val="0"/>
        <w:adjustRightInd w:val="0"/>
        <w:jc w:val="both"/>
        <w:rPr>
          <w:rFonts w:hint="eastAsia" w:ascii="宋体" w:hAnsi="宋体" w:eastAsia="宋体" w:cs="宋体"/>
          <w:b/>
          <w:color w:val="auto"/>
          <w:kern w:val="0"/>
          <w:sz w:val="32"/>
          <w:szCs w:val="32"/>
          <w:highlight w:val="none"/>
        </w:rPr>
      </w:pPr>
    </w:p>
    <w:p w14:paraId="57937D66">
      <w:pPr>
        <w:tabs>
          <w:tab w:val="left" w:pos="1260"/>
        </w:tabs>
        <w:autoSpaceDE w:val="0"/>
        <w:autoSpaceDN w:val="0"/>
        <w:adjustRightInd w:val="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第六章   资格审查与评标</w:t>
      </w:r>
    </w:p>
    <w:p w14:paraId="50D10016">
      <w:pPr>
        <w:pStyle w:val="17"/>
        <w:spacing w:line="360" w:lineRule="auto"/>
        <w:contextualSpacing/>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lang w:val="zh-CN"/>
        </w:rPr>
        <w:t>一、资格审查</w:t>
      </w:r>
    </w:p>
    <w:p w14:paraId="702514C4">
      <w:pPr>
        <w:pStyle w:val="17"/>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（一）开标结束后，采购人依法对投标人资格进行审查。</w:t>
      </w:r>
    </w:p>
    <w:p w14:paraId="6CF48E72">
      <w:pPr>
        <w:spacing w:line="360" w:lineRule="auto"/>
        <w:ind w:right="420" w:rightChars="200"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（二）资格证明材料（本栏所列内容为本项目的资格审查条件，如有一项不符合要求，则不能进入下一步评审）。</w:t>
      </w:r>
    </w:p>
    <w:p w14:paraId="59B64F29">
      <w:pPr>
        <w:spacing w:line="360" w:lineRule="auto"/>
        <w:ind w:right="420" w:rightChars="200"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（三）资格审查中所涉及的证书及材料，均须在电子投标文件中提供原件扫描件（或图片）。</w:t>
      </w:r>
    </w:p>
    <w:tbl>
      <w:tblPr>
        <w:tblStyle w:val="2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35524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CF70EB0">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410" w:type="dxa"/>
            <w:vAlign w:val="center"/>
          </w:tcPr>
          <w:p w14:paraId="04D78849">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资格审查因素</w:t>
            </w:r>
          </w:p>
        </w:tc>
        <w:tc>
          <w:tcPr>
            <w:tcW w:w="5954" w:type="dxa"/>
            <w:vAlign w:val="center"/>
          </w:tcPr>
          <w:p w14:paraId="1C67392A">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说明与要求</w:t>
            </w:r>
          </w:p>
        </w:tc>
      </w:tr>
      <w:tr w14:paraId="7C40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60DB4B7">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2410" w:type="dxa"/>
            <w:vAlign w:val="center"/>
          </w:tcPr>
          <w:p w14:paraId="17F9E984">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投标函</w:t>
            </w:r>
          </w:p>
        </w:tc>
        <w:tc>
          <w:tcPr>
            <w:tcW w:w="5954" w:type="dxa"/>
            <w:vAlign w:val="center"/>
          </w:tcPr>
          <w:p w14:paraId="74E23174">
            <w:pPr>
              <w:spacing w:line="360" w:lineRule="auto"/>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参考招标文件第八章3.1格式填写</w:t>
            </w:r>
          </w:p>
        </w:tc>
      </w:tr>
      <w:tr w14:paraId="3037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2427D98">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p>
        </w:tc>
        <w:tc>
          <w:tcPr>
            <w:tcW w:w="2410" w:type="dxa"/>
            <w:vAlign w:val="center"/>
          </w:tcPr>
          <w:p w14:paraId="601DB6A0">
            <w:pPr>
              <w:spacing w:line="360" w:lineRule="auto"/>
              <w:jc w:val="center"/>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禹州市政府采购</w:t>
            </w:r>
          </w:p>
          <w:p w14:paraId="6DD29486">
            <w:pPr>
              <w:spacing w:line="360" w:lineRule="auto"/>
              <w:jc w:val="center"/>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供应商信用承诺函</w:t>
            </w:r>
          </w:p>
        </w:tc>
        <w:tc>
          <w:tcPr>
            <w:tcW w:w="5954" w:type="dxa"/>
            <w:vAlign w:val="center"/>
          </w:tcPr>
          <w:p w14:paraId="3756BEFA">
            <w:pPr>
              <w:spacing w:line="360" w:lineRule="auto"/>
              <w:jc w:val="lef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按照招标文件第八章3.</w:t>
            </w:r>
            <w:r>
              <w:rPr>
                <w:rFonts w:hint="eastAsia" w:ascii="宋体" w:hAnsi="宋体" w:eastAsia="宋体" w:cs="宋体"/>
                <w:bCs/>
                <w:color w:val="auto"/>
                <w:szCs w:val="21"/>
                <w:highlight w:val="none"/>
              </w:rPr>
              <w:t>4</w:t>
            </w:r>
            <w:r>
              <w:rPr>
                <w:rFonts w:hint="eastAsia" w:ascii="宋体" w:hAnsi="宋体" w:eastAsia="宋体" w:cs="宋体"/>
                <w:bCs/>
                <w:color w:val="auto"/>
                <w:szCs w:val="21"/>
                <w:highlight w:val="none"/>
                <w:lang w:val="zh-CN"/>
              </w:rPr>
              <w:t>格式填写</w:t>
            </w:r>
          </w:p>
        </w:tc>
      </w:tr>
      <w:tr w14:paraId="723D2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2628B64A">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w:t>
            </w:r>
          </w:p>
        </w:tc>
        <w:tc>
          <w:tcPr>
            <w:tcW w:w="2410" w:type="dxa"/>
            <w:shd w:val="clear" w:color="auto" w:fill="auto"/>
            <w:vAlign w:val="center"/>
          </w:tcPr>
          <w:p w14:paraId="3E7B14F4">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投标人须具备的特殊</w:t>
            </w:r>
          </w:p>
          <w:p w14:paraId="3C899C13">
            <w:pPr>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color w:val="auto"/>
                <w:szCs w:val="21"/>
                <w:highlight w:val="none"/>
              </w:rPr>
              <w:t>资质证书</w:t>
            </w:r>
          </w:p>
        </w:tc>
        <w:tc>
          <w:tcPr>
            <w:tcW w:w="5954" w:type="dxa"/>
            <w:shd w:val="clear" w:color="auto" w:fill="auto"/>
            <w:vAlign w:val="center"/>
          </w:tcPr>
          <w:p w14:paraId="1C4E8E69">
            <w:pPr>
              <w:spacing w:line="360" w:lineRule="auto"/>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详见招标公告</w:t>
            </w:r>
          </w:p>
        </w:tc>
      </w:tr>
      <w:tr w14:paraId="7DDE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6981F712">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w:t>
            </w:r>
          </w:p>
        </w:tc>
        <w:tc>
          <w:tcPr>
            <w:tcW w:w="2410" w:type="dxa"/>
            <w:shd w:val="clear" w:color="auto" w:fill="auto"/>
            <w:vAlign w:val="center"/>
          </w:tcPr>
          <w:p w14:paraId="6238BA03">
            <w:pPr>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Cs w:val="21"/>
                <w:highlight w:val="none"/>
              </w:rPr>
              <w:t>投标</w:t>
            </w:r>
            <w:r>
              <w:rPr>
                <w:rFonts w:hint="eastAsia" w:ascii="宋体" w:hAnsi="宋体" w:eastAsia="宋体" w:cs="宋体"/>
                <w:b/>
                <w:color w:val="auto"/>
                <w:szCs w:val="21"/>
                <w:highlight w:val="none"/>
                <w:lang w:val="zh-CN"/>
              </w:rPr>
              <w:t>报价</w:t>
            </w:r>
          </w:p>
        </w:tc>
        <w:tc>
          <w:tcPr>
            <w:tcW w:w="5954" w:type="dxa"/>
            <w:shd w:val="clear" w:color="auto" w:fill="auto"/>
            <w:vAlign w:val="top"/>
          </w:tcPr>
          <w:p w14:paraId="219B626C">
            <w:pPr>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Cs w:val="21"/>
                <w:highlight w:val="none"/>
                <w:lang w:val="zh-CN"/>
              </w:rPr>
              <w:t>投标报价是否超出招标文件中规定的预算金额（最高限价），超出预算金额（最高限价）的投标无效。</w:t>
            </w:r>
          </w:p>
        </w:tc>
      </w:tr>
      <w:tr w14:paraId="6DD56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299362D2">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w:t>
            </w:r>
          </w:p>
        </w:tc>
        <w:tc>
          <w:tcPr>
            <w:tcW w:w="2410" w:type="dxa"/>
            <w:shd w:val="clear" w:color="auto" w:fill="auto"/>
            <w:vAlign w:val="center"/>
          </w:tcPr>
          <w:p w14:paraId="3E51F150">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szCs w:val="21"/>
                <w:highlight w:val="none"/>
              </w:rPr>
              <w:t>投标承诺函</w:t>
            </w:r>
          </w:p>
        </w:tc>
        <w:tc>
          <w:tcPr>
            <w:tcW w:w="5954" w:type="dxa"/>
            <w:shd w:val="clear" w:color="auto" w:fill="auto"/>
            <w:vAlign w:val="center"/>
          </w:tcPr>
          <w:p w14:paraId="155DB3BF">
            <w:pPr>
              <w:spacing w:line="360" w:lineRule="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Cs w:val="21"/>
                <w:highlight w:val="none"/>
              </w:rPr>
              <w:t>投标人以投标承诺函的形式替代投标保证金。</w:t>
            </w:r>
          </w:p>
        </w:tc>
      </w:tr>
      <w:tr w14:paraId="5B6C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2105398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w:t>
            </w:r>
          </w:p>
        </w:tc>
        <w:tc>
          <w:tcPr>
            <w:tcW w:w="2410" w:type="dxa"/>
            <w:shd w:val="clear" w:color="auto" w:fill="auto"/>
            <w:vAlign w:val="center"/>
          </w:tcPr>
          <w:p w14:paraId="0C1133C6">
            <w:pPr>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Cs w:val="21"/>
                <w:highlight w:val="none"/>
              </w:rPr>
              <w:t>联合体协议</w:t>
            </w:r>
          </w:p>
        </w:tc>
        <w:tc>
          <w:tcPr>
            <w:tcW w:w="5954" w:type="dxa"/>
            <w:shd w:val="clear" w:color="auto" w:fill="auto"/>
            <w:vAlign w:val="top"/>
          </w:tcPr>
          <w:p w14:paraId="0C965787">
            <w:pPr>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Cs/>
                <w:color w:val="auto"/>
                <w:szCs w:val="21"/>
                <w:highlight w:val="none"/>
              </w:rPr>
              <w:t>招标文件接受联合体投标且投标人为联合体的，投标人应提供本协议；否则无须提供。</w:t>
            </w:r>
          </w:p>
        </w:tc>
      </w:tr>
      <w:tr w14:paraId="51DCD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242FADF2">
            <w:pPr>
              <w:spacing w:line="360" w:lineRule="auto"/>
              <w:contextualSpacing/>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w:t>
            </w:r>
          </w:p>
        </w:tc>
        <w:tc>
          <w:tcPr>
            <w:tcW w:w="2410" w:type="dxa"/>
            <w:shd w:val="clear" w:color="auto" w:fill="auto"/>
            <w:vAlign w:val="center"/>
          </w:tcPr>
          <w:p w14:paraId="0E95B7BC">
            <w:pPr>
              <w:spacing w:line="360" w:lineRule="auto"/>
              <w:contextualSpacing/>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rPr>
              <w:t>投标人身份证明及授权</w:t>
            </w:r>
          </w:p>
        </w:tc>
        <w:tc>
          <w:tcPr>
            <w:tcW w:w="5954" w:type="dxa"/>
            <w:shd w:val="clear" w:color="auto" w:fill="auto"/>
            <w:vAlign w:val="top"/>
          </w:tcPr>
          <w:p w14:paraId="3D634A81">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（1）法定代表人身份证明或提供法定代表人授权委托书及被授权人身份证明。（法人投标提供）</w:t>
            </w:r>
          </w:p>
          <w:p w14:paraId="1D49651B">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（2）单位负责人身份证明或提供单位负责人授权委托书及被授权人身份证明。（非法人投标提供）</w:t>
            </w:r>
          </w:p>
          <w:p w14:paraId="0DC33DC3">
            <w:pPr>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注：</w:t>
            </w:r>
          </w:p>
          <w:p w14:paraId="166363FE">
            <w:pPr>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①企业（银行、保险、石油石化、电力、电信等行业除外）、事业单位和社会团体投标人以法人身份参加投标的，法定代表人应与实际提交的“营业执照等证明文件”载明的一致。</w:t>
            </w:r>
          </w:p>
          <w:p w14:paraId="4A611731">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14:paraId="12D4905D">
            <w:pPr>
              <w:spacing w:line="360" w:lineRule="auto"/>
              <w:contextualSpacing/>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Cs w:val="21"/>
                <w:highlight w:val="none"/>
              </w:rPr>
              <w:t>③</w:t>
            </w:r>
            <w:r>
              <w:rPr>
                <w:rFonts w:hint="eastAsia" w:ascii="宋体" w:hAnsi="宋体" w:eastAsia="宋体" w:cs="宋体"/>
                <w:color w:val="auto"/>
                <w:kern w:val="0"/>
                <w:szCs w:val="21"/>
                <w:highlight w:val="none"/>
              </w:rPr>
              <w:t>投标人为自然人的，无需填写法定代表人授权书。</w:t>
            </w:r>
          </w:p>
        </w:tc>
      </w:tr>
      <w:tr w14:paraId="0D51B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00D7518D">
            <w:pPr>
              <w:spacing w:line="360" w:lineRule="auto"/>
              <w:contextualSpacing/>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w:t>
            </w:r>
          </w:p>
        </w:tc>
        <w:tc>
          <w:tcPr>
            <w:tcW w:w="2410" w:type="dxa"/>
            <w:shd w:val="clear" w:color="auto" w:fill="auto"/>
            <w:vAlign w:val="center"/>
          </w:tcPr>
          <w:p w14:paraId="58BFD003">
            <w:pPr>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Cs w:val="21"/>
                <w:highlight w:val="none"/>
              </w:rPr>
              <w:t>单位负责人为同一人或者存在直接控股、管理关系的不同供应商，不得参加同一合同项下的政府采购活动</w:t>
            </w:r>
          </w:p>
        </w:tc>
        <w:tc>
          <w:tcPr>
            <w:tcW w:w="5954" w:type="dxa"/>
            <w:shd w:val="clear" w:color="auto" w:fill="auto"/>
            <w:vAlign w:val="top"/>
          </w:tcPr>
          <w:p w14:paraId="6CB3D31D">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投标人提供与参加本项目投标的其他供应商之间，单位负责人不为同一人并且不存在直接控股、管理关系承诺函（承诺函格式自拟）。</w:t>
            </w:r>
          </w:p>
          <w:p w14:paraId="49E3E91E">
            <w:pPr>
              <w:spacing w:line="360" w:lineRule="auto"/>
              <w:rPr>
                <w:rFonts w:hint="eastAsia" w:ascii="宋体" w:hAnsi="宋体" w:eastAsia="宋体" w:cs="宋体"/>
                <w:color w:val="auto"/>
                <w:kern w:val="2"/>
                <w:sz w:val="21"/>
                <w:szCs w:val="21"/>
                <w:highlight w:val="none"/>
                <w:lang w:val="zh-CN" w:eastAsia="zh-CN" w:bidi="ar-SA"/>
              </w:rPr>
            </w:pPr>
          </w:p>
        </w:tc>
      </w:tr>
      <w:tr w14:paraId="2722A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5713E58">
            <w:pPr>
              <w:spacing w:line="360" w:lineRule="auto"/>
              <w:contextualSpacing/>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w:t>
            </w:r>
          </w:p>
        </w:tc>
        <w:tc>
          <w:tcPr>
            <w:tcW w:w="2410" w:type="dxa"/>
            <w:shd w:val="clear" w:color="auto" w:fill="auto"/>
            <w:vAlign w:val="center"/>
          </w:tcPr>
          <w:p w14:paraId="6ABF4E09">
            <w:pPr>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Cs w:val="21"/>
                <w:highlight w:val="none"/>
              </w:rPr>
              <w:t>为本项目提供整体设计、规范编制或者项目管理、监理、检测等服务的供应商不得参加本项目投标</w:t>
            </w:r>
          </w:p>
        </w:tc>
        <w:tc>
          <w:tcPr>
            <w:tcW w:w="5954" w:type="dxa"/>
            <w:shd w:val="clear" w:color="auto" w:fill="auto"/>
            <w:vAlign w:val="top"/>
          </w:tcPr>
          <w:p w14:paraId="6F15B39A">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投标人提供未为本项目提供整体设计、规范编制或者项目管理、监理、检测等服务承诺函（承诺函格式自拟）。</w:t>
            </w:r>
          </w:p>
          <w:p w14:paraId="18E6534A">
            <w:pPr>
              <w:spacing w:line="360" w:lineRule="auto"/>
              <w:rPr>
                <w:rFonts w:hint="eastAsia" w:ascii="宋体" w:hAnsi="宋体" w:eastAsia="宋体" w:cs="宋体"/>
                <w:bCs/>
                <w:color w:val="auto"/>
                <w:kern w:val="2"/>
                <w:sz w:val="21"/>
                <w:szCs w:val="21"/>
                <w:highlight w:val="none"/>
                <w:lang w:val="zh-CN" w:eastAsia="zh-CN" w:bidi="ar-SA"/>
              </w:rPr>
            </w:pPr>
          </w:p>
        </w:tc>
      </w:tr>
    </w:tbl>
    <w:p w14:paraId="16D8D27A">
      <w:pPr>
        <w:pStyle w:val="17"/>
        <w:spacing w:line="360" w:lineRule="auto"/>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二、评标</w:t>
      </w:r>
    </w:p>
    <w:p w14:paraId="05B37D6B">
      <w:pPr>
        <w:pStyle w:val="17"/>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（一）评标方法</w:t>
      </w:r>
    </w:p>
    <w:p w14:paraId="214335FC">
      <w:pPr>
        <w:pStyle w:val="17"/>
        <w:spacing w:line="360" w:lineRule="auto"/>
        <w:ind w:firstLine="420"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color w:val="auto"/>
          <w:sz w:val="21"/>
          <w:szCs w:val="21"/>
          <w:highlight w:val="none"/>
          <w:lang w:val="zh-CN"/>
        </w:rPr>
        <w:t>本项目采用综合评分法。总分为100分。</w:t>
      </w:r>
    </w:p>
    <w:p w14:paraId="639E49C3">
      <w:pPr>
        <w:pStyle w:val="17"/>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（二）评标委员会负责具体评标事务，并独立履行下列职责</w:t>
      </w:r>
    </w:p>
    <w:p w14:paraId="4657FD0F">
      <w:pPr>
        <w:pStyle w:val="17"/>
        <w:spacing w:line="360" w:lineRule="auto"/>
        <w:ind w:firstLine="422" w:firstLineChars="200"/>
        <w:contextualSpacing/>
        <w:jc w:val="left"/>
        <w:rPr>
          <w:rFonts w:hint="eastAsia" w:ascii="宋体" w:hAnsi="宋体" w:eastAsia="宋体" w:cs="宋体"/>
          <w:b/>
          <w:color w:val="auto"/>
          <w:sz w:val="21"/>
          <w:szCs w:val="21"/>
          <w:highlight w:val="none"/>
          <w:lang w:val="zh-CN"/>
        </w:rPr>
      </w:pPr>
      <w:r>
        <w:rPr>
          <w:rFonts w:hint="eastAsia" w:ascii="宋体" w:hAnsi="宋体" w:cs="宋体"/>
          <w:b/>
          <w:color w:val="auto"/>
          <w:sz w:val="21"/>
          <w:szCs w:val="21"/>
          <w:highlight w:val="none"/>
          <w:lang w:val="zh-CN"/>
        </w:rPr>
        <w:t>1.</w:t>
      </w:r>
      <w:r>
        <w:rPr>
          <w:rFonts w:hint="eastAsia" w:ascii="宋体" w:hAnsi="宋体" w:eastAsia="宋体" w:cs="宋体"/>
          <w:b/>
          <w:color w:val="auto"/>
          <w:sz w:val="21"/>
          <w:szCs w:val="21"/>
          <w:highlight w:val="none"/>
          <w:lang w:val="zh-CN"/>
        </w:rPr>
        <w:t>审查、评价投标文件是否符合招标文件的商务、技术等实质性要求；</w:t>
      </w:r>
    </w:p>
    <w:p w14:paraId="2A88764B">
      <w:pPr>
        <w:pStyle w:val="17"/>
        <w:spacing w:line="360" w:lineRule="auto"/>
        <w:ind w:firstLine="420" w:firstLineChars="200"/>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评标委员会对符合资格的投标人的投标文件进行符合性审查，以确定其是否满足招标文件的商务、技术等实质性要求。</w:t>
      </w:r>
    </w:p>
    <w:p w14:paraId="45B13C59">
      <w:pPr>
        <w:pStyle w:val="17"/>
        <w:spacing w:line="360" w:lineRule="auto"/>
        <w:ind w:firstLine="420" w:firstLineChars="200"/>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注：符合性审查中所涉及的证书及材料，均应在电子投标文件中提供原件扫描件（或图片）。</w:t>
      </w:r>
    </w:p>
    <w:p w14:paraId="10E6BD8F">
      <w:pPr>
        <w:pStyle w:val="17"/>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cs="宋体"/>
          <w:b/>
          <w:color w:val="auto"/>
          <w:sz w:val="21"/>
          <w:szCs w:val="21"/>
          <w:highlight w:val="none"/>
          <w:lang w:val="zh-CN"/>
        </w:rPr>
        <w:t>2.</w:t>
      </w:r>
      <w:r>
        <w:rPr>
          <w:rFonts w:hint="eastAsia" w:ascii="宋体" w:hAnsi="宋体" w:eastAsia="宋体" w:cs="宋体"/>
          <w:b/>
          <w:color w:val="auto"/>
          <w:sz w:val="21"/>
          <w:szCs w:val="21"/>
          <w:highlight w:val="none"/>
          <w:lang w:val="zh-CN"/>
        </w:rPr>
        <w:t>要求投标人对投标文件有关事项作出澄清或者说明；</w:t>
      </w:r>
    </w:p>
    <w:p w14:paraId="6A0AB572">
      <w:pPr>
        <w:pStyle w:val="17"/>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对于投标文件中含义不明确、同类问题表述不一致或者有明显文字和计算错误的内容，评标委员会应当以书面形式要求投标人作出必要的澄清、说明或者补正。</w:t>
      </w:r>
    </w:p>
    <w:p w14:paraId="5F911AF4">
      <w:pPr>
        <w:pStyle w:val="17"/>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51C8621D">
      <w:pPr>
        <w:pStyle w:val="17"/>
        <w:spacing w:line="360" w:lineRule="auto"/>
        <w:ind w:firstLine="465"/>
        <w:contextualSpacing/>
        <w:jc w:val="left"/>
        <w:rPr>
          <w:rFonts w:hint="eastAsia" w:ascii="宋体" w:hAnsi="宋体" w:eastAsia="宋体" w:cs="宋体"/>
          <w:b/>
          <w:color w:val="auto"/>
          <w:sz w:val="21"/>
          <w:szCs w:val="21"/>
          <w:highlight w:val="none"/>
          <w:lang w:val="zh-CN"/>
        </w:rPr>
      </w:pPr>
      <w:r>
        <w:rPr>
          <w:rFonts w:hint="eastAsia" w:ascii="宋体" w:hAnsi="宋体" w:cs="宋体"/>
          <w:b/>
          <w:color w:val="auto"/>
          <w:sz w:val="21"/>
          <w:szCs w:val="21"/>
          <w:highlight w:val="none"/>
          <w:lang w:val="zh-CN"/>
        </w:rPr>
        <w:t>3.</w:t>
      </w:r>
      <w:r>
        <w:rPr>
          <w:rFonts w:hint="eastAsia" w:ascii="宋体" w:hAnsi="宋体" w:eastAsia="宋体" w:cs="宋体"/>
          <w:b/>
          <w:color w:val="auto"/>
          <w:sz w:val="21"/>
          <w:szCs w:val="21"/>
          <w:highlight w:val="none"/>
          <w:lang w:val="zh-CN"/>
        </w:rPr>
        <w:t>对投标文件进行比较和评价；</w:t>
      </w:r>
    </w:p>
    <w:p w14:paraId="4A6FC0E5">
      <w:pPr>
        <w:pStyle w:val="17"/>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4EEA1113">
      <w:pPr>
        <w:pStyle w:val="17"/>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注：评标标准中所</w:t>
      </w:r>
      <w:r>
        <w:rPr>
          <w:rFonts w:hint="eastAsia" w:ascii="宋体" w:hAnsi="宋体" w:cs="宋体"/>
          <w:color w:val="auto"/>
          <w:sz w:val="21"/>
          <w:szCs w:val="21"/>
          <w:highlight w:val="none"/>
          <w:lang w:val="zh-CN"/>
        </w:rPr>
        <w:t>涉及</w:t>
      </w:r>
      <w:r>
        <w:rPr>
          <w:rFonts w:hint="eastAsia" w:ascii="宋体" w:hAnsi="宋体" w:eastAsia="宋体" w:cs="宋体"/>
          <w:color w:val="auto"/>
          <w:sz w:val="21"/>
          <w:szCs w:val="21"/>
          <w:highlight w:val="none"/>
          <w:lang w:val="zh-CN"/>
        </w:rPr>
        <w:t>的证书及材料，均应在电子投标文件中提供原件扫描件（或图片）。</w:t>
      </w:r>
    </w:p>
    <w:p w14:paraId="07F8E824">
      <w:pPr>
        <w:pStyle w:val="17"/>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（1）价格分计算</w:t>
      </w:r>
    </w:p>
    <w:p w14:paraId="0148D076">
      <w:pPr>
        <w:pStyle w:val="17"/>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5836C0C9">
      <w:pPr>
        <w:pStyle w:val="17"/>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非专门面向中小企业采购，对符合《政府采购促进中小企业发展管理办法》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财库〔2020〕46号、《关于进一步加大政府采购支持中小企业力度的通知》（财库〔2022〕19号）规定的小微企业报价给予20%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6%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48A19DBE">
      <w:pPr>
        <w:pStyle w:val="17"/>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小型和微型企业不包含民办非企业单位。</w:t>
      </w:r>
    </w:p>
    <w:p w14:paraId="1E465F60">
      <w:pPr>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2）监狱企业视同小型、微型企业，对监狱企业价格给予2</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zh-CN"/>
        </w:rPr>
        <w:t>的扣除，用扣除后的价格参与评审。监狱企业应当提供由省级以上监狱管理局、戒毒管理局（含新疆生产建设兵团）出具的属于监狱企业的证明文件。</w:t>
      </w:r>
    </w:p>
    <w:p w14:paraId="7AD2CDCF">
      <w:pPr>
        <w:pStyle w:val="17"/>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3）残疾人福利性单位视同小型、微型企业，对残疾人福利性单位提供本单位制造的货物、承担的工程或者服务，或者提供其他残疾人福利性单位制造的货物（不包括使用非残疾人福利性单位注册商标的货物）价格给予2</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zh-CN"/>
        </w:rPr>
        <w:t>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Pr>
          <w:rFonts w:hint="eastAsia" w:ascii="宋体" w:hAnsi="宋体" w:eastAsia="宋体" w:cs="宋体"/>
          <w:color w:val="auto"/>
          <w:sz w:val="21"/>
          <w:szCs w:val="21"/>
          <w:highlight w:val="none"/>
        </w:rPr>
        <w:t>残疾人福利性单位属于小型、微型企业的，不重复享受政策。</w:t>
      </w:r>
    </w:p>
    <w:p w14:paraId="6692345F">
      <w:pPr>
        <w:pStyle w:val="17"/>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zh-CN"/>
        </w:rPr>
        <w:t>关于相同品牌产品</w:t>
      </w:r>
      <w:r>
        <w:rPr>
          <w:rFonts w:hint="eastAsia" w:ascii="宋体" w:hAnsi="宋体" w:eastAsia="宋体" w:cs="宋体"/>
          <w:b/>
          <w:bCs/>
          <w:color w:val="auto"/>
          <w:sz w:val="21"/>
          <w:szCs w:val="21"/>
          <w:highlight w:val="none"/>
          <w:lang w:val="zh-CN"/>
        </w:rPr>
        <w:t>（服务类项目不适用本条款规定）</w:t>
      </w:r>
    </w:p>
    <w:p w14:paraId="19CA2766">
      <w:pPr>
        <w:pStyle w:val="17"/>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用最低评标价法的，提供相同品牌产品的不同投标人参加同一合同项下投标的，以其中通过资格审查、符合性审查且报价最低的参加评标；报价相同的，由采购人或者采购人委托评标委员会采取随机抽取方式确定一个参加评标的投标人，其他投标无效。</w:t>
      </w:r>
    </w:p>
    <w:p w14:paraId="498108E5">
      <w:pPr>
        <w:pStyle w:val="17"/>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采用综合评分法的，提供</w:t>
      </w:r>
      <w:r>
        <w:rPr>
          <w:rFonts w:hint="eastAsia" w:ascii="宋体" w:hAnsi="宋体" w:cs="宋体"/>
          <w:color w:val="auto"/>
          <w:sz w:val="21"/>
          <w:szCs w:val="21"/>
          <w:highlight w:val="none"/>
          <w:lang w:val="zh-CN"/>
        </w:rPr>
        <w:t>同</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val="zh-CN"/>
        </w:rPr>
        <w:t>品牌产品（非单一产品采购项目，多家投标人提供的核心产品品牌相同）且通过资格审查、符合性审查的不同投标人参加同一合同项下投标的，按一家投标人计算，评审后得分最高的</w:t>
      </w:r>
      <w:r>
        <w:rPr>
          <w:rFonts w:hint="eastAsia" w:ascii="宋体" w:hAnsi="宋体" w:cs="宋体"/>
          <w:color w:val="auto"/>
          <w:sz w:val="21"/>
          <w:szCs w:val="21"/>
          <w:highlight w:val="none"/>
          <w:lang w:val="zh-CN"/>
        </w:rPr>
        <w:t>同一</w:t>
      </w:r>
      <w:r>
        <w:rPr>
          <w:rFonts w:hint="eastAsia" w:ascii="宋体" w:hAnsi="宋体" w:eastAsia="宋体" w:cs="宋体"/>
          <w:color w:val="auto"/>
          <w:sz w:val="21"/>
          <w:szCs w:val="21"/>
          <w:highlight w:val="none"/>
          <w:lang w:val="zh-CN"/>
        </w:rPr>
        <w:t>品牌投标人作为中标候选人推荐；评审得分相同的，由采购人或者采购人委托评标委员会采取随机抽取方式确定一个投标人获得中标人推荐资格，其他同品牌投标人不作为中标候选人。</w:t>
      </w:r>
    </w:p>
    <w:p w14:paraId="45A961E5">
      <w:pPr>
        <w:pStyle w:val="17"/>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rPr>
        <w:t>（3）强制采购节能产品和优先采购节能产品、优先采购环保产品</w:t>
      </w:r>
    </w:p>
    <w:p w14:paraId="00443506">
      <w:pPr>
        <w:pStyle w:val="17"/>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1）对《节能产品政府采购品目清单》所列的政府强制采购节能产品</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投标人投标文件中应提供具有国家确定的认证机构出具的、处于有效期之内的节能产品或环境标志产品认证证书，否则将承担其投标被视为非实质性响应投标的风险。</w:t>
      </w:r>
    </w:p>
    <w:p w14:paraId="6433C026">
      <w:pPr>
        <w:pStyle w:val="17"/>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6BF7C22F">
      <w:pPr>
        <w:pStyle w:val="17"/>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19CD85E1">
      <w:pPr>
        <w:keepNext w:val="0"/>
        <w:keepLines w:val="0"/>
        <w:widowControl/>
        <w:suppressLineNumbers w:val="0"/>
        <w:ind w:firstLine="422" w:firstLineChars="200"/>
        <w:jc w:val="left"/>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（4）</w:t>
      </w:r>
      <w:r>
        <w:rPr>
          <w:rFonts w:hint="eastAsia" w:ascii="宋体" w:hAnsi="宋体" w:eastAsia="宋体" w:cs="宋体"/>
          <w:b/>
          <w:bCs/>
          <w:color w:val="auto"/>
          <w:kern w:val="0"/>
          <w:sz w:val="21"/>
          <w:szCs w:val="21"/>
          <w:highlight w:val="none"/>
          <w:lang w:val="en-US" w:eastAsia="zh-CN" w:bidi="ar"/>
        </w:rPr>
        <w:t>网络关键设备、网络安全专用产品要求</w:t>
      </w:r>
    </w:p>
    <w:p w14:paraId="2D7389A1">
      <w:pPr>
        <w:tabs>
          <w:tab w:val="left" w:pos="1260"/>
        </w:tabs>
        <w:autoSpaceDE w:val="0"/>
        <w:autoSpaceDN w:val="0"/>
        <w:spacing w:line="360" w:lineRule="auto"/>
        <w:ind w:firstLine="420" w:firstLineChars="200"/>
        <w:contextualSpacing/>
        <w:rPr>
          <w:rFonts w:hint="eastAsia" w:ascii="宋体" w:hAnsi="宋体" w:eastAsia="宋体" w:cs="宋体"/>
          <w:b w:val="0"/>
          <w:bCs/>
          <w:color w:val="auto"/>
          <w:szCs w:val="21"/>
          <w:highlight w:val="none"/>
          <w:lang w:val="zh-CN"/>
        </w:rPr>
      </w:pPr>
      <w:r>
        <w:rPr>
          <w:rFonts w:hint="eastAsia" w:ascii="宋体" w:hAnsi="宋体" w:eastAsia="宋体" w:cs="宋体"/>
          <w:b w:val="0"/>
          <w:bCs/>
          <w:color w:val="auto"/>
          <w:szCs w:val="21"/>
          <w:highlight w:val="none"/>
          <w:lang w:val="zh-CN"/>
        </w:rPr>
        <w:t>本项目中涉及网络关键设备或网络安全专用产品的，执行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5DD4567C">
      <w:pPr>
        <w:tabs>
          <w:tab w:val="left" w:pos="1260"/>
        </w:tabs>
        <w:autoSpaceDE w:val="0"/>
        <w:autoSpaceDN w:val="0"/>
        <w:spacing w:line="360" w:lineRule="auto"/>
        <w:ind w:firstLine="420" w:firstLineChars="200"/>
        <w:contextualSpacing/>
        <w:rPr>
          <w:rFonts w:hint="eastAsia" w:ascii="宋体" w:hAnsi="宋体" w:eastAsia="宋体" w:cs="宋体"/>
          <w:b w:val="0"/>
          <w:bCs/>
          <w:color w:val="auto"/>
          <w:szCs w:val="21"/>
          <w:highlight w:val="none"/>
          <w:lang w:val="zh-CN"/>
        </w:rPr>
      </w:pPr>
      <w:r>
        <w:rPr>
          <w:rFonts w:hint="eastAsia" w:ascii="宋体" w:hAnsi="宋体" w:eastAsia="宋体" w:cs="宋体"/>
          <w:b w:val="0"/>
          <w:bCs/>
          <w:color w:val="auto"/>
          <w:szCs w:val="21"/>
          <w:highlight w:val="none"/>
          <w:lang w:val="zh-CN"/>
        </w:rPr>
        <w:t>提供资料（下列资料任意一项）：</w:t>
      </w:r>
    </w:p>
    <w:p w14:paraId="7F5DE45E">
      <w:pPr>
        <w:tabs>
          <w:tab w:val="left" w:pos="1260"/>
        </w:tabs>
        <w:autoSpaceDE w:val="0"/>
        <w:autoSpaceDN w:val="0"/>
        <w:spacing w:line="360" w:lineRule="auto"/>
        <w:ind w:firstLine="420" w:firstLineChars="200"/>
        <w:contextualSpacing/>
        <w:rPr>
          <w:rFonts w:hint="eastAsia" w:ascii="宋体" w:hAnsi="宋体" w:eastAsia="宋体" w:cs="宋体"/>
          <w:b w:val="0"/>
          <w:bCs/>
          <w:color w:val="auto"/>
          <w:szCs w:val="21"/>
          <w:highlight w:val="none"/>
          <w:lang w:val="zh-CN"/>
        </w:rPr>
      </w:pPr>
      <w:r>
        <w:rPr>
          <w:rFonts w:hint="eastAsia" w:ascii="宋体" w:hAnsi="宋体" w:eastAsia="宋体" w:cs="宋体"/>
          <w:b w:val="0"/>
          <w:bCs/>
          <w:color w:val="auto"/>
          <w:szCs w:val="21"/>
          <w:highlight w:val="none"/>
          <w:lang w:val="zh-CN"/>
        </w:rPr>
        <w:t>①网络关键设备和网络安全专用产品安全认证证书；</w:t>
      </w:r>
    </w:p>
    <w:p w14:paraId="5F16F97A">
      <w:pPr>
        <w:tabs>
          <w:tab w:val="left" w:pos="1260"/>
        </w:tabs>
        <w:autoSpaceDE w:val="0"/>
        <w:autoSpaceDN w:val="0"/>
        <w:spacing w:line="360" w:lineRule="auto"/>
        <w:ind w:firstLine="420" w:firstLineChars="200"/>
        <w:contextualSpacing/>
        <w:rPr>
          <w:rFonts w:hint="eastAsia" w:ascii="宋体" w:hAnsi="宋体" w:eastAsia="宋体" w:cs="宋体"/>
          <w:b w:val="0"/>
          <w:bCs/>
          <w:color w:val="auto"/>
          <w:szCs w:val="21"/>
          <w:highlight w:val="none"/>
          <w:lang w:val="zh-CN"/>
        </w:rPr>
      </w:pPr>
      <w:r>
        <w:rPr>
          <w:rFonts w:hint="eastAsia" w:ascii="宋体" w:hAnsi="宋体" w:eastAsia="宋体" w:cs="宋体"/>
          <w:b w:val="0"/>
          <w:bCs/>
          <w:color w:val="auto"/>
          <w:szCs w:val="21"/>
          <w:highlight w:val="none"/>
          <w:lang w:val="zh-CN"/>
        </w:rPr>
        <w:t>②网络关键设备安全检测证书、网络安全专用产品安全检测证书；</w:t>
      </w:r>
    </w:p>
    <w:p w14:paraId="60AD10F9">
      <w:pPr>
        <w:tabs>
          <w:tab w:val="left" w:pos="1260"/>
        </w:tabs>
        <w:autoSpaceDE w:val="0"/>
        <w:autoSpaceDN w:val="0"/>
        <w:spacing w:line="360" w:lineRule="auto"/>
        <w:ind w:firstLine="420" w:firstLineChars="200"/>
        <w:contextualSpacing/>
        <w:rPr>
          <w:rFonts w:hint="eastAsia" w:ascii="宋体" w:hAnsi="宋体" w:eastAsia="宋体" w:cs="宋体"/>
          <w:b w:val="0"/>
          <w:bCs/>
          <w:color w:val="auto"/>
          <w:szCs w:val="21"/>
          <w:highlight w:val="none"/>
          <w:lang w:val="zh-CN"/>
        </w:rPr>
      </w:pPr>
      <w:r>
        <w:rPr>
          <w:rFonts w:hint="eastAsia" w:ascii="宋体" w:hAnsi="宋体" w:eastAsia="宋体" w:cs="宋体"/>
          <w:b w:val="0"/>
          <w:bCs/>
          <w:color w:val="auto"/>
          <w:szCs w:val="21"/>
          <w:highlight w:val="none"/>
          <w:lang w:val="zh-CN"/>
        </w:rPr>
        <w:t>③计算机信息系统安全专用产品销售许可证；</w:t>
      </w:r>
    </w:p>
    <w:p w14:paraId="5CE94D67">
      <w:pPr>
        <w:tabs>
          <w:tab w:val="left" w:pos="1260"/>
        </w:tabs>
        <w:autoSpaceDE w:val="0"/>
        <w:autoSpaceDN w:val="0"/>
        <w:spacing w:line="360" w:lineRule="auto"/>
        <w:ind w:firstLine="420" w:firstLineChars="200"/>
        <w:contextualSpacing/>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zh-CN"/>
        </w:rPr>
        <w:t>④中国网信网或工业和信息化部网站或公安部网站或国家认证认可监督管理委员会网站公布的认证、检测结果（提供公布安全认证、安全检测结果页面网址和安全认证、检测结果截图）。</w:t>
      </w:r>
      <w:r>
        <w:rPr>
          <w:rFonts w:hint="eastAsia" w:ascii="宋体" w:hAnsi="宋体" w:eastAsia="宋体" w:cs="宋体"/>
          <w:b w:val="0"/>
          <w:bCs/>
          <w:color w:val="auto"/>
          <w:szCs w:val="21"/>
          <w:highlight w:val="none"/>
          <w:lang w:val="en-US" w:eastAsia="zh-CN"/>
        </w:rPr>
        <w:t xml:space="preserve">  </w:t>
      </w:r>
    </w:p>
    <w:p w14:paraId="2EC911E2">
      <w:pPr>
        <w:tabs>
          <w:tab w:val="left" w:pos="1260"/>
        </w:tabs>
        <w:autoSpaceDE w:val="0"/>
        <w:autoSpaceDN w:val="0"/>
        <w:spacing w:line="360" w:lineRule="auto"/>
        <w:ind w:firstLine="422" w:firstLineChars="200"/>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）投标无效情形</w:t>
      </w:r>
    </w:p>
    <w:p w14:paraId="2A86C160">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54C959D4">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2）符合性审查资料未按招标文件要求签署、盖章的；</w:t>
      </w:r>
    </w:p>
    <w:p w14:paraId="61FA6B47">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3）有下列情形之一的，视为投标人串通投标，其投标无效：</w:t>
      </w:r>
    </w:p>
    <w:p w14:paraId="42D7003D">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a.不同投标人的投标文件由同一单位或者个人编制；</w:t>
      </w:r>
    </w:p>
    <w:p w14:paraId="71869F70">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b.不同投标人委托同一单位或者个人办理投标事宜；</w:t>
      </w:r>
    </w:p>
    <w:p w14:paraId="05103D9C">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c.不同投标人的投标文件载明的项目管理成员或者联系人员为同一人；</w:t>
      </w:r>
    </w:p>
    <w:p w14:paraId="23B117FC">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d.不同投标人的投标文件异常一致或者投标报价呈规律性差异；</w:t>
      </w:r>
    </w:p>
    <w:p w14:paraId="6F44564C">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e.不同投标人的投标文件相互混装；</w:t>
      </w:r>
    </w:p>
    <w:p w14:paraId="137267CC">
      <w:pPr>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390374A">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5）法律法规和招标文件规定的其他无效情形。</w:t>
      </w:r>
    </w:p>
    <w:p w14:paraId="5308C082">
      <w:pPr>
        <w:pStyle w:val="17"/>
        <w:spacing w:line="360" w:lineRule="auto"/>
        <w:ind w:firstLine="422" w:firstLineChars="200"/>
        <w:contextualSpacing/>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lang w:val="zh-CN"/>
        </w:rPr>
        <w:t>）评标标准</w:t>
      </w:r>
    </w:p>
    <w:tbl>
      <w:tblPr>
        <w:tblStyle w:val="29"/>
        <w:tblW w:w="9729" w:type="dxa"/>
        <w:tblInd w:w="-4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6919"/>
        <w:gridCol w:w="956"/>
      </w:tblGrid>
      <w:tr w14:paraId="52291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854" w:type="dxa"/>
            <w:tcBorders>
              <w:top w:val="single" w:color="auto" w:sz="4" w:space="0"/>
              <w:left w:val="single" w:color="auto" w:sz="4" w:space="0"/>
              <w:bottom w:val="single" w:color="auto" w:sz="4" w:space="0"/>
              <w:right w:val="single" w:color="auto" w:sz="4" w:space="0"/>
            </w:tcBorders>
            <w:vAlign w:val="center"/>
          </w:tcPr>
          <w:p w14:paraId="72B6E24E">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分值构成</w:t>
            </w:r>
          </w:p>
          <w:p w14:paraId="384E5928">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（总分100分）</w:t>
            </w:r>
          </w:p>
        </w:tc>
        <w:tc>
          <w:tcPr>
            <w:tcW w:w="7875" w:type="dxa"/>
            <w:gridSpan w:val="2"/>
            <w:tcBorders>
              <w:top w:val="single" w:color="auto" w:sz="4" w:space="0"/>
              <w:left w:val="single" w:color="auto" w:sz="4" w:space="0"/>
              <w:bottom w:val="single" w:color="auto" w:sz="4" w:space="0"/>
              <w:right w:val="single" w:color="auto" w:sz="4" w:space="0"/>
            </w:tcBorders>
            <w:vAlign w:val="center"/>
          </w:tcPr>
          <w:p w14:paraId="4120501F">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价格得分：</w:t>
            </w:r>
            <w:r>
              <w:rPr>
                <w:rFonts w:hint="eastAsia" w:ascii="宋体" w:hAnsi="宋体" w:eastAsia="宋体" w:cs="宋体"/>
                <w:color w:val="auto"/>
                <w:szCs w:val="21"/>
                <w:highlight w:val="none"/>
                <w:lang w:val="en-US" w:eastAsia="zh-CN"/>
              </w:rPr>
              <w:t>50</w:t>
            </w:r>
            <w:r>
              <w:rPr>
                <w:rFonts w:hint="eastAsia" w:ascii="宋体" w:hAnsi="宋体" w:eastAsia="宋体" w:cs="宋体"/>
                <w:color w:val="auto"/>
                <w:szCs w:val="21"/>
                <w:highlight w:val="none"/>
                <w:lang w:val="zh-CN"/>
              </w:rPr>
              <w:t>分</w:t>
            </w:r>
          </w:p>
          <w:p w14:paraId="179EEC3A">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商务部分：</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zh-CN"/>
              </w:rPr>
              <w:t>分</w:t>
            </w:r>
          </w:p>
          <w:p w14:paraId="41F18939">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技术部分：</w:t>
            </w:r>
            <w:r>
              <w:rPr>
                <w:rFonts w:hint="eastAsia" w:ascii="宋体" w:hAnsi="宋体" w:eastAsia="宋体" w:cs="宋体"/>
                <w:color w:val="auto"/>
                <w:szCs w:val="21"/>
                <w:highlight w:val="none"/>
                <w:lang w:val="en-US" w:eastAsia="zh-CN"/>
              </w:rPr>
              <w:t>35</w:t>
            </w:r>
            <w:r>
              <w:rPr>
                <w:rFonts w:hint="eastAsia" w:ascii="宋体" w:hAnsi="宋体" w:eastAsia="宋体" w:cs="宋体"/>
                <w:color w:val="auto"/>
                <w:szCs w:val="21"/>
                <w:highlight w:val="none"/>
                <w:lang w:val="zh-CN"/>
              </w:rPr>
              <w:t>分</w:t>
            </w:r>
          </w:p>
        </w:tc>
      </w:tr>
      <w:tr w14:paraId="05325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9" w:type="dxa"/>
            <w:gridSpan w:val="3"/>
            <w:tcBorders>
              <w:top w:val="single" w:color="auto" w:sz="4" w:space="0"/>
              <w:left w:val="single" w:color="auto" w:sz="4" w:space="0"/>
              <w:bottom w:val="single" w:color="auto" w:sz="4" w:space="0"/>
              <w:right w:val="single" w:color="auto" w:sz="4" w:space="0"/>
            </w:tcBorders>
            <w:vAlign w:val="center"/>
          </w:tcPr>
          <w:p w14:paraId="629B47B8">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一、价格得分（满分</w:t>
            </w:r>
            <w:r>
              <w:rPr>
                <w:rFonts w:hint="eastAsia" w:ascii="宋体" w:hAnsi="宋体" w:eastAsia="宋体" w:cs="宋体"/>
                <w:color w:val="auto"/>
                <w:szCs w:val="21"/>
                <w:highlight w:val="none"/>
                <w:lang w:val="en-US" w:eastAsia="zh-CN"/>
              </w:rPr>
              <w:t>50</w:t>
            </w:r>
            <w:r>
              <w:rPr>
                <w:rFonts w:hint="eastAsia" w:ascii="宋体" w:hAnsi="宋体" w:eastAsia="宋体" w:cs="宋体"/>
                <w:color w:val="auto"/>
                <w:szCs w:val="21"/>
                <w:highlight w:val="none"/>
                <w:lang w:val="zh-CN"/>
              </w:rPr>
              <w:t>分）</w:t>
            </w:r>
          </w:p>
        </w:tc>
      </w:tr>
      <w:tr w14:paraId="2029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854" w:type="dxa"/>
            <w:tcBorders>
              <w:top w:val="single" w:color="auto" w:sz="4" w:space="0"/>
              <w:left w:val="single" w:color="auto" w:sz="4" w:space="0"/>
              <w:bottom w:val="single" w:color="auto" w:sz="4" w:space="0"/>
              <w:right w:val="single" w:color="auto" w:sz="4" w:space="0"/>
            </w:tcBorders>
            <w:vAlign w:val="center"/>
          </w:tcPr>
          <w:p w14:paraId="5177F046">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评分因素</w:t>
            </w:r>
          </w:p>
        </w:tc>
        <w:tc>
          <w:tcPr>
            <w:tcW w:w="6919" w:type="dxa"/>
            <w:tcBorders>
              <w:top w:val="single" w:color="auto" w:sz="4" w:space="0"/>
              <w:left w:val="single" w:color="auto" w:sz="4" w:space="0"/>
              <w:bottom w:val="single" w:color="auto" w:sz="4" w:space="0"/>
              <w:right w:val="single" w:color="auto" w:sz="4" w:space="0"/>
            </w:tcBorders>
            <w:vAlign w:val="center"/>
          </w:tcPr>
          <w:p w14:paraId="6F090E2E">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评分标准</w:t>
            </w:r>
          </w:p>
        </w:tc>
        <w:tc>
          <w:tcPr>
            <w:tcW w:w="956" w:type="dxa"/>
            <w:tcBorders>
              <w:top w:val="single" w:color="auto" w:sz="4" w:space="0"/>
              <w:left w:val="single" w:color="auto" w:sz="4" w:space="0"/>
              <w:bottom w:val="single" w:color="auto" w:sz="4" w:space="0"/>
              <w:right w:val="single" w:color="auto" w:sz="4" w:space="0"/>
            </w:tcBorders>
            <w:vAlign w:val="center"/>
          </w:tcPr>
          <w:p w14:paraId="134A3F35">
            <w:pPr>
              <w:tabs>
                <w:tab w:val="left" w:pos="1260"/>
              </w:tabs>
              <w:autoSpaceDE w:val="0"/>
              <w:autoSpaceDN w:val="0"/>
              <w:spacing w:line="330" w:lineRule="atLeast"/>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分值</w:t>
            </w:r>
          </w:p>
        </w:tc>
      </w:tr>
      <w:tr w14:paraId="7D4F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854" w:type="dxa"/>
            <w:tcBorders>
              <w:top w:val="single" w:color="auto" w:sz="4" w:space="0"/>
              <w:left w:val="single" w:color="auto" w:sz="4" w:space="0"/>
              <w:bottom w:val="single" w:color="auto" w:sz="4" w:space="0"/>
              <w:right w:val="single" w:color="auto" w:sz="4" w:space="0"/>
            </w:tcBorders>
            <w:vAlign w:val="center"/>
          </w:tcPr>
          <w:p w14:paraId="736B6EFD">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投标报价</w:t>
            </w:r>
          </w:p>
          <w:p w14:paraId="4856A967">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评分标准</w:t>
            </w:r>
          </w:p>
        </w:tc>
        <w:tc>
          <w:tcPr>
            <w:tcW w:w="6919" w:type="dxa"/>
            <w:tcBorders>
              <w:top w:val="single" w:color="auto" w:sz="4" w:space="0"/>
              <w:left w:val="single" w:color="auto" w:sz="4" w:space="0"/>
              <w:bottom w:val="single" w:color="auto" w:sz="4" w:space="0"/>
              <w:right w:val="single" w:color="auto" w:sz="4" w:space="0"/>
            </w:tcBorders>
            <w:vAlign w:val="center"/>
          </w:tcPr>
          <w:p w14:paraId="2C8FFE6B">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投标报价得分采用低价优先法计算，即满足招标文件要求且投标价格最低的投标报价为评标基准价，其价格分为满分。其他投标人的价格分统一按照下列公式计算：投标报价得分=（评标基准价/投标报价）×</w:t>
            </w:r>
            <w:r>
              <w:rPr>
                <w:rFonts w:hint="eastAsia" w:ascii="宋体" w:hAnsi="宋体" w:eastAsia="宋体" w:cs="宋体"/>
                <w:color w:val="auto"/>
                <w:szCs w:val="21"/>
                <w:highlight w:val="none"/>
                <w:lang w:val="en-US" w:eastAsia="zh-CN"/>
              </w:rPr>
              <w:t>50</w:t>
            </w:r>
            <w:r>
              <w:rPr>
                <w:rFonts w:hint="eastAsia" w:ascii="宋体" w:hAnsi="宋体" w:eastAsia="宋体" w:cs="宋体"/>
                <w:color w:val="auto"/>
                <w:szCs w:val="21"/>
                <w:highlight w:val="none"/>
                <w:lang w:val="zh-CN"/>
              </w:rPr>
              <w:t>计算按四舍五入法则，保留小数点后两位。</w:t>
            </w:r>
          </w:p>
        </w:tc>
        <w:tc>
          <w:tcPr>
            <w:tcW w:w="956" w:type="dxa"/>
            <w:tcBorders>
              <w:top w:val="single" w:color="auto" w:sz="4" w:space="0"/>
              <w:left w:val="single" w:color="auto" w:sz="4" w:space="0"/>
              <w:bottom w:val="single" w:color="auto" w:sz="4" w:space="0"/>
              <w:right w:val="single" w:color="auto" w:sz="4" w:space="0"/>
            </w:tcBorders>
            <w:vAlign w:val="center"/>
          </w:tcPr>
          <w:p w14:paraId="482A1528">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50</w:t>
            </w:r>
          </w:p>
        </w:tc>
      </w:tr>
      <w:tr w14:paraId="72894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9" w:type="dxa"/>
            <w:gridSpan w:val="3"/>
            <w:tcBorders>
              <w:top w:val="single" w:color="auto" w:sz="4" w:space="0"/>
              <w:left w:val="single" w:color="auto" w:sz="4" w:space="0"/>
              <w:bottom w:val="single" w:color="auto" w:sz="4" w:space="0"/>
              <w:right w:val="single" w:color="auto" w:sz="4" w:space="0"/>
            </w:tcBorders>
            <w:vAlign w:val="center"/>
          </w:tcPr>
          <w:p w14:paraId="73B494B3">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二、商务部分（满分</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zh-CN"/>
              </w:rPr>
              <w:t>分）</w:t>
            </w:r>
          </w:p>
        </w:tc>
      </w:tr>
      <w:tr w14:paraId="0C43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854" w:type="dxa"/>
            <w:tcBorders>
              <w:top w:val="single" w:color="auto" w:sz="4" w:space="0"/>
              <w:left w:val="single" w:color="auto" w:sz="4" w:space="0"/>
              <w:bottom w:val="single" w:color="auto" w:sz="4" w:space="0"/>
              <w:right w:val="single" w:color="auto" w:sz="4" w:space="0"/>
            </w:tcBorders>
            <w:vAlign w:val="center"/>
          </w:tcPr>
          <w:p w14:paraId="14F5D26F">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评分因素</w:t>
            </w:r>
          </w:p>
        </w:tc>
        <w:tc>
          <w:tcPr>
            <w:tcW w:w="6919" w:type="dxa"/>
            <w:tcBorders>
              <w:top w:val="single" w:color="auto" w:sz="4" w:space="0"/>
              <w:left w:val="single" w:color="auto" w:sz="4" w:space="0"/>
              <w:bottom w:val="single" w:color="auto" w:sz="4" w:space="0"/>
              <w:right w:val="single" w:color="auto" w:sz="4" w:space="0"/>
            </w:tcBorders>
            <w:vAlign w:val="center"/>
          </w:tcPr>
          <w:p w14:paraId="45DB8344">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评分标准</w:t>
            </w:r>
          </w:p>
        </w:tc>
        <w:tc>
          <w:tcPr>
            <w:tcW w:w="956" w:type="dxa"/>
            <w:tcBorders>
              <w:top w:val="single" w:color="auto" w:sz="4" w:space="0"/>
              <w:left w:val="single" w:color="auto" w:sz="4" w:space="0"/>
              <w:bottom w:val="single" w:color="auto" w:sz="4" w:space="0"/>
              <w:right w:val="single" w:color="auto" w:sz="4" w:space="0"/>
            </w:tcBorders>
            <w:vAlign w:val="center"/>
          </w:tcPr>
          <w:p w14:paraId="5B0026FF">
            <w:pPr>
              <w:tabs>
                <w:tab w:val="left" w:pos="1260"/>
              </w:tabs>
              <w:autoSpaceDE w:val="0"/>
              <w:autoSpaceDN w:val="0"/>
              <w:spacing w:line="330" w:lineRule="atLeast"/>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分值</w:t>
            </w:r>
          </w:p>
        </w:tc>
      </w:tr>
      <w:tr w14:paraId="60891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1854" w:type="dxa"/>
            <w:tcBorders>
              <w:top w:val="single" w:color="auto" w:sz="4" w:space="0"/>
              <w:left w:val="single" w:color="auto" w:sz="4" w:space="0"/>
              <w:bottom w:val="single" w:color="auto" w:sz="4" w:space="0"/>
              <w:right w:val="single" w:color="auto" w:sz="4" w:space="0"/>
            </w:tcBorders>
            <w:shd w:val="clear" w:color="auto" w:fill="auto"/>
            <w:vAlign w:val="center"/>
          </w:tcPr>
          <w:p w14:paraId="6DB4FFA0">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业绩</w:t>
            </w:r>
          </w:p>
        </w:tc>
        <w:tc>
          <w:tcPr>
            <w:tcW w:w="6919" w:type="dxa"/>
            <w:tcBorders>
              <w:top w:val="single" w:color="auto" w:sz="4" w:space="0"/>
              <w:left w:val="nil"/>
              <w:bottom w:val="single" w:color="auto" w:sz="4" w:space="0"/>
              <w:right w:val="single" w:color="auto" w:sz="4" w:space="0"/>
            </w:tcBorders>
            <w:shd w:val="clear" w:color="auto" w:fill="auto"/>
            <w:vAlign w:val="center"/>
          </w:tcPr>
          <w:p w14:paraId="5E27E96C">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GB" w:eastAsia="zh-CN"/>
              </w:rPr>
              <w:t>（供应商/货物制造商）</w:t>
            </w:r>
            <w:r>
              <w:rPr>
                <w:rFonts w:hint="eastAsia" w:ascii="宋体" w:hAnsi="宋体" w:eastAsia="宋体" w:cs="宋体"/>
                <w:color w:val="auto"/>
                <w:szCs w:val="21"/>
                <w:highlight w:val="none"/>
                <w:lang w:val="zh-CN"/>
              </w:rPr>
              <w:t>20</w:t>
            </w: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lang w:val="zh-CN"/>
              </w:rPr>
              <w:t>年1月1日以来，承接有同类项目业绩</w:t>
            </w:r>
            <w:r>
              <w:rPr>
                <w:rFonts w:hint="eastAsia" w:ascii="宋体" w:hAnsi="宋体" w:eastAsia="宋体" w:cs="宋体"/>
                <w:color w:val="auto"/>
                <w:szCs w:val="21"/>
                <w:highlight w:val="none"/>
                <w:lang w:val="zh-CN" w:eastAsia="zh-CN"/>
              </w:rPr>
              <w:t>的</w:t>
            </w:r>
            <w:r>
              <w:rPr>
                <w:rFonts w:hint="eastAsia" w:ascii="宋体" w:hAnsi="宋体" w:eastAsia="宋体" w:cs="宋体"/>
                <w:color w:val="auto"/>
                <w:szCs w:val="21"/>
                <w:highlight w:val="none"/>
                <w:lang w:val="en-US" w:eastAsia="zh-CN"/>
              </w:rPr>
              <w:t>每个得7.5</w:t>
            </w:r>
            <w:r>
              <w:rPr>
                <w:rFonts w:hint="eastAsia" w:ascii="宋体" w:hAnsi="宋体" w:eastAsia="宋体" w:cs="宋体"/>
                <w:color w:val="auto"/>
                <w:szCs w:val="21"/>
                <w:highlight w:val="none"/>
                <w:lang w:val="zh-CN"/>
              </w:rPr>
              <w:t>分，</w:t>
            </w:r>
            <w:r>
              <w:rPr>
                <w:rFonts w:hint="eastAsia" w:ascii="宋体" w:hAnsi="宋体" w:eastAsia="宋体" w:cs="宋体"/>
                <w:color w:val="auto"/>
                <w:szCs w:val="21"/>
                <w:highlight w:val="none"/>
                <w:lang w:val="zh-CN" w:eastAsia="zh-CN"/>
              </w:rPr>
              <w:t>最高得</w:t>
            </w:r>
            <w:r>
              <w:rPr>
                <w:rFonts w:hint="eastAsia" w:ascii="宋体" w:hAnsi="宋体" w:eastAsia="宋体" w:cs="宋体"/>
                <w:color w:val="auto"/>
                <w:szCs w:val="21"/>
                <w:highlight w:val="none"/>
                <w:lang w:val="en-US" w:eastAsia="zh-CN"/>
              </w:rPr>
              <w:t>15分，</w:t>
            </w:r>
            <w:r>
              <w:rPr>
                <w:rFonts w:hint="eastAsia" w:ascii="宋体" w:hAnsi="宋体" w:eastAsia="宋体" w:cs="宋体"/>
                <w:color w:val="auto"/>
                <w:szCs w:val="21"/>
                <w:highlight w:val="none"/>
                <w:lang w:val="zh-CN"/>
              </w:rPr>
              <w:t>不提供者为0分。</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投标人为联合体的，联合体成员或牵头人业绩均可</w:t>
            </w:r>
            <w:r>
              <w:rPr>
                <w:rFonts w:hint="eastAsia" w:ascii="宋体" w:hAnsi="宋体" w:eastAsia="宋体" w:cs="宋体"/>
                <w:color w:val="auto"/>
                <w:szCs w:val="21"/>
                <w:highlight w:val="none"/>
                <w:lang w:val="zh-CN"/>
              </w:rPr>
              <w:t>）</w:t>
            </w:r>
          </w:p>
          <w:p w14:paraId="5D3C28DC">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注：（“同类项目”是指以往承担过的</w:t>
            </w:r>
            <w:r>
              <w:rPr>
                <w:rFonts w:hint="eastAsia" w:ascii="宋体" w:hAnsi="宋体" w:eastAsia="宋体" w:cs="宋体"/>
                <w:color w:val="auto"/>
                <w:szCs w:val="21"/>
                <w:highlight w:val="none"/>
                <w:lang w:val="en-US" w:eastAsia="zh-CN"/>
              </w:rPr>
              <w:t>项目标的或服务内容、服务标准与本次招标的标的或服务内容、服务标准同类。投标文件中须</w:t>
            </w:r>
            <w:r>
              <w:rPr>
                <w:rFonts w:hint="eastAsia" w:ascii="宋体" w:hAnsi="宋体" w:eastAsia="宋体" w:cs="宋体"/>
                <w:color w:val="auto"/>
                <w:szCs w:val="21"/>
                <w:highlight w:val="none"/>
                <w:lang w:val="zh-CN"/>
              </w:rPr>
              <w:t>提供合同原件扫描件）。</w:t>
            </w:r>
          </w:p>
        </w:tc>
        <w:tc>
          <w:tcPr>
            <w:tcW w:w="956" w:type="dxa"/>
            <w:tcBorders>
              <w:top w:val="single" w:color="auto" w:sz="4" w:space="0"/>
              <w:left w:val="single" w:color="auto" w:sz="4" w:space="0"/>
              <w:bottom w:val="single" w:color="auto" w:sz="4" w:space="0"/>
              <w:right w:val="single" w:color="auto" w:sz="4" w:space="0"/>
            </w:tcBorders>
            <w:vAlign w:val="center"/>
          </w:tcPr>
          <w:p w14:paraId="2E69F3EA">
            <w:pPr>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w:t>
            </w:r>
          </w:p>
        </w:tc>
      </w:tr>
      <w:tr w14:paraId="2204D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729" w:type="dxa"/>
            <w:gridSpan w:val="3"/>
            <w:tcBorders>
              <w:top w:val="single" w:color="auto" w:sz="4" w:space="0"/>
              <w:left w:val="single" w:color="auto" w:sz="4" w:space="0"/>
              <w:bottom w:val="single" w:color="auto" w:sz="4" w:space="0"/>
              <w:right w:val="single" w:color="auto" w:sz="4" w:space="0"/>
            </w:tcBorders>
            <w:vAlign w:val="center"/>
          </w:tcPr>
          <w:p w14:paraId="549653DF">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三、技术部分（满分</w:t>
            </w:r>
            <w:r>
              <w:rPr>
                <w:rFonts w:hint="eastAsia" w:ascii="宋体" w:hAnsi="宋体" w:eastAsia="宋体" w:cs="宋体"/>
                <w:color w:val="auto"/>
                <w:szCs w:val="21"/>
                <w:highlight w:val="none"/>
                <w:lang w:val="en-US" w:eastAsia="zh-CN"/>
              </w:rPr>
              <w:t>35</w:t>
            </w:r>
            <w:r>
              <w:rPr>
                <w:rFonts w:hint="eastAsia" w:ascii="宋体" w:hAnsi="宋体" w:eastAsia="宋体" w:cs="宋体"/>
                <w:color w:val="auto"/>
                <w:szCs w:val="21"/>
                <w:highlight w:val="none"/>
                <w:lang w:val="zh-CN"/>
              </w:rPr>
              <w:t>分）</w:t>
            </w:r>
          </w:p>
        </w:tc>
      </w:tr>
      <w:tr w14:paraId="59FC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854" w:type="dxa"/>
            <w:tcBorders>
              <w:top w:val="single" w:color="auto" w:sz="4" w:space="0"/>
              <w:left w:val="single" w:color="auto" w:sz="4" w:space="0"/>
              <w:bottom w:val="single" w:color="auto" w:sz="4" w:space="0"/>
              <w:right w:val="single" w:color="auto" w:sz="4" w:space="0"/>
            </w:tcBorders>
            <w:vAlign w:val="center"/>
          </w:tcPr>
          <w:p w14:paraId="3272D435">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评分因素</w:t>
            </w:r>
          </w:p>
        </w:tc>
        <w:tc>
          <w:tcPr>
            <w:tcW w:w="6919" w:type="dxa"/>
            <w:tcBorders>
              <w:top w:val="single" w:color="auto" w:sz="4" w:space="0"/>
              <w:left w:val="single" w:color="auto" w:sz="4" w:space="0"/>
              <w:bottom w:val="single" w:color="auto" w:sz="4" w:space="0"/>
              <w:right w:val="single" w:color="auto" w:sz="4" w:space="0"/>
            </w:tcBorders>
            <w:vAlign w:val="center"/>
          </w:tcPr>
          <w:p w14:paraId="0B7972BF">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评分标准</w:t>
            </w:r>
          </w:p>
        </w:tc>
        <w:tc>
          <w:tcPr>
            <w:tcW w:w="956" w:type="dxa"/>
            <w:tcBorders>
              <w:top w:val="single" w:color="auto" w:sz="4" w:space="0"/>
              <w:left w:val="single" w:color="auto" w:sz="4" w:space="0"/>
              <w:bottom w:val="single" w:color="auto" w:sz="4" w:space="0"/>
              <w:right w:val="single" w:color="auto" w:sz="4" w:space="0"/>
            </w:tcBorders>
            <w:vAlign w:val="center"/>
          </w:tcPr>
          <w:p w14:paraId="4460111C">
            <w:pPr>
              <w:tabs>
                <w:tab w:val="left" w:pos="1260"/>
              </w:tabs>
              <w:autoSpaceDE w:val="0"/>
              <w:autoSpaceDN w:val="0"/>
              <w:spacing w:line="330" w:lineRule="atLeast"/>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分值</w:t>
            </w:r>
          </w:p>
        </w:tc>
      </w:tr>
      <w:tr w14:paraId="5464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854" w:type="dxa"/>
            <w:tcBorders>
              <w:top w:val="single" w:color="auto" w:sz="4" w:space="0"/>
              <w:left w:val="single" w:color="auto" w:sz="4" w:space="0"/>
              <w:bottom w:val="single" w:color="auto" w:sz="4" w:space="0"/>
              <w:right w:val="single" w:color="auto" w:sz="4" w:space="0"/>
            </w:tcBorders>
            <w:vAlign w:val="center"/>
          </w:tcPr>
          <w:p w14:paraId="1D468580">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eastAsia="zh-CN"/>
              </w:rPr>
            </w:pPr>
            <w:r>
              <w:rPr>
                <w:rFonts w:hint="eastAsia" w:ascii="宋体" w:hAnsi="宋体" w:eastAsia="宋体" w:cs="宋体"/>
                <w:color w:val="auto"/>
                <w:spacing w:val="-3"/>
                <w:highlight w:val="none"/>
              </w:rPr>
              <w:t>实施方案</w:t>
            </w:r>
            <w:r>
              <w:rPr>
                <w:rFonts w:hint="eastAsia" w:ascii="宋体" w:hAnsi="宋体" w:eastAsia="宋体" w:cs="宋体"/>
                <w:color w:val="auto"/>
                <w:highlight w:val="none"/>
              </w:rPr>
              <w:t xml:space="preserve"> </w:t>
            </w:r>
          </w:p>
        </w:tc>
        <w:tc>
          <w:tcPr>
            <w:tcW w:w="6919" w:type="dxa"/>
            <w:tcBorders>
              <w:top w:val="single" w:color="auto" w:sz="4" w:space="0"/>
              <w:left w:val="nil"/>
              <w:bottom w:val="single" w:color="auto" w:sz="4" w:space="0"/>
              <w:right w:val="single" w:color="auto" w:sz="4" w:space="0"/>
            </w:tcBorders>
            <w:shd w:val="clear" w:color="auto" w:fill="auto"/>
            <w:vAlign w:val="center"/>
          </w:tcPr>
          <w:p w14:paraId="6EFA043B">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1.投标人提供配送服务方案，包括：①整体配送服务方案②工作流程分析③各主要阶段进度安排④保证供货的措施及实施计划⑤</w:t>
            </w:r>
            <w:r>
              <w:rPr>
                <w:rFonts w:hint="eastAsia" w:ascii="宋体" w:hAnsi="宋体" w:eastAsia="宋体" w:cs="宋体"/>
                <w:color w:val="auto"/>
                <w:szCs w:val="21"/>
                <w:highlight w:val="none"/>
                <w:lang w:val="en-US" w:eastAsia="zh-CN"/>
              </w:rPr>
              <w:t>质量控制方案</w:t>
            </w:r>
            <w:r>
              <w:rPr>
                <w:rFonts w:hint="eastAsia" w:ascii="宋体" w:hAnsi="宋体" w:eastAsia="宋体" w:cs="宋体"/>
                <w:color w:val="auto"/>
                <w:szCs w:val="21"/>
                <w:highlight w:val="none"/>
                <w:lang w:val="zh-CN"/>
              </w:rPr>
              <w:t>。每项内容全面详细可行的得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分，仅有简单描述的得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分，不提供的不得分。（满分</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zh-CN"/>
              </w:rPr>
              <w:t>分）</w:t>
            </w:r>
          </w:p>
          <w:p w14:paraId="3356F9C7">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.投标人提供针对突发事件应急预案，包括：①突发事件响应措施</w:t>
            </w:r>
          </w:p>
          <w:p w14:paraId="22D45F21">
            <w:pPr>
              <w:tabs>
                <w:tab w:val="left" w:pos="1260"/>
              </w:tabs>
              <w:autoSpaceDE w:val="0"/>
              <w:autoSpaceDN w:val="0"/>
              <w:spacing w:line="360" w:lineRule="auto"/>
              <w:contextualSpacing/>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②应急处理措施③应急安全保障措施④应急响应团队⑤</w:t>
            </w:r>
            <w:r>
              <w:rPr>
                <w:rFonts w:hint="eastAsia" w:ascii="宋体" w:hAnsi="宋体" w:eastAsia="宋体" w:cs="宋体"/>
                <w:color w:val="auto"/>
                <w:szCs w:val="21"/>
                <w:highlight w:val="none"/>
                <w:lang w:val="en-US" w:eastAsia="zh-CN"/>
              </w:rPr>
              <w:t>应急资源调配</w:t>
            </w:r>
            <w:r>
              <w:rPr>
                <w:rFonts w:hint="eastAsia" w:ascii="宋体" w:hAnsi="宋体" w:eastAsia="宋体" w:cs="宋体"/>
                <w:color w:val="auto"/>
                <w:szCs w:val="21"/>
                <w:highlight w:val="none"/>
                <w:lang w:val="zh-CN"/>
              </w:rPr>
              <w:t>。每项内容全面详细可行的得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分，仅有简单描述的得</w:t>
            </w:r>
            <w:r>
              <w:rPr>
                <w:rFonts w:hint="eastAsia" w:ascii="宋体" w:hAnsi="宋体" w:eastAsia="宋体" w:cs="宋体"/>
                <w:color w:val="auto"/>
                <w:szCs w:val="21"/>
                <w:highlight w:val="none"/>
                <w:lang w:val="en-US" w:eastAsia="zh-CN"/>
              </w:rPr>
              <w:t>0.7</w:t>
            </w:r>
            <w:r>
              <w:rPr>
                <w:rFonts w:hint="eastAsia" w:ascii="宋体" w:hAnsi="宋体" w:eastAsia="宋体" w:cs="宋体"/>
                <w:color w:val="auto"/>
                <w:szCs w:val="21"/>
                <w:highlight w:val="none"/>
                <w:lang w:val="zh-CN"/>
              </w:rPr>
              <w:t>分，不提供的不得分。（满分</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分）</w:t>
            </w:r>
          </w:p>
        </w:tc>
        <w:tc>
          <w:tcPr>
            <w:tcW w:w="956" w:type="dxa"/>
            <w:tcBorders>
              <w:top w:val="single" w:color="auto" w:sz="4" w:space="0"/>
              <w:left w:val="single" w:color="auto" w:sz="4" w:space="0"/>
              <w:bottom w:val="single" w:color="auto" w:sz="4" w:space="0"/>
              <w:right w:val="single" w:color="auto" w:sz="4" w:space="0"/>
            </w:tcBorders>
            <w:vAlign w:val="center"/>
          </w:tcPr>
          <w:p w14:paraId="336295F0">
            <w:pPr>
              <w:tabs>
                <w:tab w:val="left" w:pos="1260"/>
              </w:tabs>
              <w:autoSpaceDE w:val="0"/>
              <w:autoSpaceDN w:val="0"/>
              <w:spacing w:line="360" w:lineRule="auto"/>
              <w:contextualSpacing/>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w:t>
            </w:r>
          </w:p>
        </w:tc>
      </w:tr>
      <w:tr w14:paraId="62047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1854" w:type="dxa"/>
            <w:tcBorders>
              <w:top w:val="single" w:color="auto" w:sz="4" w:space="0"/>
              <w:left w:val="single" w:color="auto" w:sz="4" w:space="0"/>
              <w:right w:val="single" w:color="auto" w:sz="4" w:space="0"/>
            </w:tcBorders>
            <w:vAlign w:val="center"/>
          </w:tcPr>
          <w:p w14:paraId="1ECDA68D">
            <w:pPr>
              <w:pStyle w:val="17"/>
              <w:shd w:val="clear"/>
              <w:spacing w:line="360" w:lineRule="auto"/>
              <w:contextualSpacing/>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pacing w:val="-3"/>
                <w:kern w:val="2"/>
                <w:sz w:val="21"/>
                <w:szCs w:val="22"/>
                <w:highlight w:val="none"/>
                <w:lang w:val="en-US" w:eastAsia="zh-CN" w:bidi="ar-SA"/>
              </w:rPr>
              <w:t>售后服务方案及承诺</w:t>
            </w:r>
          </w:p>
        </w:tc>
        <w:tc>
          <w:tcPr>
            <w:tcW w:w="6919" w:type="dxa"/>
            <w:tcBorders>
              <w:top w:val="single" w:color="auto" w:sz="4" w:space="0"/>
              <w:left w:val="nil"/>
              <w:bottom w:val="single" w:color="auto" w:sz="4" w:space="0"/>
              <w:right w:val="single" w:color="auto" w:sz="4" w:space="0"/>
            </w:tcBorders>
            <w:shd w:val="clear" w:color="auto" w:fill="auto"/>
            <w:vAlign w:val="center"/>
          </w:tcPr>
          <w:p w14:paraId="0D76F489">
            <w:pPr>
              <w:pStyle w:val="92"/>
              <w:spacing w:before="130" w:line="407" w:lineRule="auto"/>
              <w:ind w:left="110" w:right="105" w:firstLine="430" w:firstLineChars="205"/>
              <w:jc w:val="both"/>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 xml:space="preserve">1.投标人有完整的售后服务方案，包含①技术指导方案②问题处理方案（问题响应、问题调查、问题处理、处理情况汇报）③提供备品备件供货方案（收费标准、质量要求、响应时间）④产品出现故障的应急措施⑤运行维护与服务的保障措施。每项内容全面详细可行的得 </w:t>
            </w:r>
            <w:r>
              <w:rPr>
                <w:rFonts w:hint="eastAsia"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zh-CN" w:eastAsia="zh-CN" w:bidi="ar-SA"/>
              </w:rPr>
              <w:t xml:space="preserve"> 分，仅有简单描述的得 </w:t>
            </w:r>
            <w:r>
              <w:rPr>
                <w:rFonts w:hint="eastAsia" w:cs="宋体"/>
                <w:color w:val="auto"/>
                <w:kern w:val="2"/>
                <w:sz w:val="21"/>
                <w:szCs w:val="21"/>
                <w:highlight w:val="none"/>
                <w:lang w:val="en-US" w:eastAsia="zh-CN" w:bidi="ar-SA"/>
              </w:rPr>
              <w:t>1.5</w:t>
            </w:r>
            <w:r>
              <w:rPr>
                <w:rFonts w:hint="eastAsia" w:ascii="宋体" w:hAnsi="宋体" w:eastAsia="宋体" w:cs="宋体"/>
                <w:color w:val="auto"/>
                <w:kern w:val="2"/>
                <w:sz w:val="21"/>
                <w:szCs w:val="21"/>
                <w:highlight w:val="none"/>
                <w:lang w:val="zh-CN" w:eastAsia="zh-CN" w:bidi="ar-SA"/>
              </w:rPr>
              <w:t xml:space="preserve"> 分，不提供的不得分。（满分</w:t>
            </w:r>
            <w:r>
              <w:rPr>
                <w:rFonts w:hint="eastAsia"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zh-CN" w:eastAsia="zh-CN" w:bidi="ar-SA"/>
              </w:rPr>
              <w:t xml:space="preserve"> 分）</w:t>
            </w:r>
          </w:p>
          <w:p w14:paraId="7D119F25">
            <w:pPr>
              <w:pStyle w:val="92"/>
              <w:spacing w:before="28" w:line="403" w:lineRule="auto"/>
              <w:ind w:left="110" w:right="105" w:firstLine="420" w:firstLineChars="20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2.投标人有完整的售后服务承诺：①具体的违约责任承诺②针对性保证措施③质保期内外服务承诺④售后人员配备服务承诺⑤承诺备品备件充足。内容全面详细可行的得</w:t>
            </w:r>
            <w:r>
              <w:rPr>
                <w:rFonts w:hint="eastAsia"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zh-CN" w:eastAsia="zh-CN" w:bidi="ar-SA"/>
              </w:rPr>
              <w:t>分，仅有简单描述</w:t>
            </w:r>
            <w:r>
              <w:rPr>
                <w:rFonts w:hint="eastAsia" w:ascii="宋体" w:hAnsi="宋体" w:eastAsia="宋体" w:cs="宋体"/>
                <w:color w:val="auto"/>
                <w:kern w:val="2"/>
                <w:sz w:val="21"/>
                <w:szCs w:val="21"/>
                <w:highlight w:val="none"/>
                <w:lang w:val="en-US" w:eastAsia="zh-CN" w:bidi="ar-SA"/>
              </w:rPr>
              <w:t>或缺项</w:t>
            </w:r>
            <w:r>
              <w:rPr>
                <w:rFonts w:hint="eastAsia" w:ascii="宋体" w:hAnsi="宋体" w:eastAsia="宋体" w:cs="宋体"/>
                <w:color w:val="auto"/>
                <w:kern w:val="2"/>
                <w:sz w:val="21"/>
                <w:szCs w:val="21"/>
                <w:highlight w:val="none"/>
                <w:lang w:val="zh-CN" w:eastAsia="zh-CN" w:bidi="ar-SA"/>
              </w:rPr>
              <w:t>的得</w:t>
            </w:r>
            <w:r>
              <w:rPr>
                <w:rFonts w:hint="eastAsia"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zh-CN" w:eastAsia="zh-CN" w:bidi="ar-SA"/>
              </w:rPr>
              <w:t>分，不提供的不得分。（满分</w:t>
            </w:r>
            <w:r>
              <w:rPr>
                <w:rFonts w:hint="eastAsia"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zh-CN" w:eastAsia="zh-CN" w:bidi="ar-SA"/>
              </w:rPr>
              <w:t>分）</w:t>
            </w:r>
          </w:p>
          <w:p w14:paraId="7C5B6F56">
            <w:pPr>
              <w:numPr>
                <w:ilvl w:val="0"/>
                <w:numId w:val="0"/>
              </w:numPr>
              <w:tabs>
                <w:tab w:val="left" w:pos="1260"/>
              </w:tabs>
              <w:autoSpaceDE w:val="0"/>
              <w:autoSpaceDN w:val="0"/>
              <w:spacing w:line="360" w:lineRule="auto"/>
              <w:ind w:leftChars="0" w:firstLine="420" w:firstLineChars="200"/>
              <w:contextualSpacing/>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3.提供所投全部产品免费质量保障承诺</w:t>
            </w:r>
            <w:r>
              <w:rPr>
                <w:rFonts w:hint="eastAsia" w:ascii="宋体" w:hAnsi="宋体" w:eastAsia="宋体" w:cs="宋体"/>
                <w:color w:val="auto"/>
                <w:kern w:val="2"/>
                <w:sz w:val="21"/>
                <w:szCs w:val="21"/>
                <w:highlight w:val="none"/>
                <w:lang w:val="en-US" w:eastAsia="zh-CN" w:bidi="ar-SA"/>
              </w:rPr>
              <w:t>函</w:t>
            </w:r>
            <w:r>
              <w:rPr>
                <w:rFonts w:hint="eastAsia" w:ascii="宋体" w:hAnsi="宋体" w:eastAsia="宋体" w:cs="宋体"/>
                <w:color w:val="auto"/>
                <w:kern w:val="2"/>
                <w:sz w:val="21"/>
                <w:szCs w:val="21"/>
                <w:highlight w:val="none"/>
                <w:lang w:val="zh-CN" w:eastAsia="zh-CN" w:bidi="ar-SA"/>
              </w:rPr>
              <w:t>，满足车辆整体质保1年基础上，每延长1年加</w:t>
            </w:r>
            <w:r>
              <w:rPr>
                <w:rFonts w:hint="eastAsia" w:ascii="宋体" w:hAnsi="宋体" w:eastAsia="宋体" w:cs="宋体"/>
                <w:color w:val="auto"/>
                <w:kern w:val="2"/>
                <w:sz w:val="21"/>
                <w:szCs w:val="21"/>
                <w:highlight w:val="none"/>
                <w:lang w:val="en-US" w:eastAsia="zh-CN" w:bidi="ar-SA"/>
              </w:rPr>
              <w:t>0.5</w:t>
            </w:r>
            <w:r>
              <w:rPr>
                <w:rFonts w:hint="eastAsia" w:ascii="宋体" w:hAnsi="宋体" w:eastAsia="宋体" w:cs="宋体"/>
                <w:color w:val="auto"/>
                <w:kern w:val="2"/>
                <w:sz w:val="21"/>
                <w:szCs w:val="21"/>
                <w:highlight w:val="none"/>
                <w:lang w:val="zh-CN" w:eastAsia="zh-CN" w:bidi="ar-SA"/>
              </w:rPr>
              <w:t>分，最多得</w:t>
            </w: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zh-CN" w:eastAsia="zh-CN" w:bidi="ar-SA"/>
              </w:rPr>
              <w:t>分</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zh-CN" w:eastAsia="zh-CN" w:bidi="ar-SA"/>
              </w:rPr>
              <w:t>电池质保5年基础上，每延长1年加</w:t>
            </w:r>
            <w:r>
              <w:rPr>
                <w:rFonts w:hint="eastAsia" w:ascii="宋体" w:hAnsi="宋体" w:eastAsia="宋体" w:cs="宋体"/>
                <w:color w:val="auto"/>
                <w:kern w:val="2"/>
                <w:sz w:val="21"/>
                <w:szCs w:val="21"/>
                <w:highlight w:val="none"/>
                <w:lang w:val="en-US" w:eastAsia="zh-CN" w:bidi="ar-SA"/>
              </w:rPr>
              <w:t>0.5</w:t>
            </w:r>
            <w:r>
              <w:rPr>
                <w:rFonts w:hint="eastAsia" w:ascii="宋体" w:hAnsi="宋体" w:eastAsia="宋体" w:cs="宋体"/>
                <w:color w:val="auto"/>
                <w:kern w:val="2"/>
                <w:sz w:val="21"/>
                <w:szCs w:val="21"/>
                <w:highlight w:val="none"/>
                <w:lang w:val="zh-CN" w:eastAsia="zh-CN" w:bidi="ar-SA"/>
              </w:rPr>
              <w:t>分，最多得</w:t>
            </w: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zh-CN" w:eastAsia="zh-CN" w:bidi="ar-SA"/>
              </w:rPr>
              <w:t>分。不提供不得分。</w:t>
            </w:r>
            <w:r>
              <w:rPr>
                <w:rFonts w:hint="eastAsia" w:ascii="宋体" w:hAnsi="宋体" w:eastAsia="宋体" w:cs="宋体"/>
                <w:color w:val="auto"/>
                <w:kern w:val="2"/>
                <w:sz w:val="21"/>
                <w:szCs w:val="21"/>
                <w:highlight w:val="none"/>
                <w:lang w:val="zh-CN" w:eastAsia="zh-CN" w:bidi="ar-SA"/>
              </w:rPr>
              <w:t>（满分</w:t>
            </w:r>
            <w:r>
              <w:rPr>
                <w:rFonts w:hint="eastAsia"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zh-CN" w:eastAsia="zh-CN" w:bidi="ar-SA"/>
              </w:rPr>
              <w:t>分）</w:t>
            </w:r>
          </w:p>
        </w:tc>
        <w:tc>
          <w:tcPr>
            <w:tcW w:w="956" w:type="dxa"/>
            <w:tcBorders>
              <w:top w:val="single" w:color="auto" w:sz="4" w:space="0"/>
              <w:left w:val="single" w:color="auto" w:sz="4" w:space="0"/>
              <w:bottom w:val="single" w:color="auto" w:sz="4" w:space="0"/>
              <w:right w:val="single" w:color="auto" w:sz="4" w:space="0"/>
            </w:tcBorders>
            <w:vAlign w:val="center"/>
          </w:tcPr>
          <w:p w14:paraId="482658D3">
            <w:pPr>
              <w:tabs>
                <w:tab w:val="left" w:pos="1260"/>
              </w:tabs>
              <w:autoSpaceDE w:val="0"/>
              <w:autoSpaceDN w:val="0"/>
              <w:spacing w:line="360" w:lineRule="auto"/>
              <w:contextualSpacing/>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w:t>
            </w:r>
          </w:p>
        </w:tc>
      </w:tr>
    </w:tbl>
    <w:p w14:paraId="5EF9A996">
      <w:pPr>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其中：价格分计算（落实政府采购政策价格调整部分）</w:t>
      </w:r>
    </w:p>
    <w:tbl>
      <w:tblPr>
        <w:tblStyle w:val="29"/>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823"/>
        <w:gridCol w:w="2552"/>
        <w:gridCol w:w="2835"/>
      </w:tblGrid>
      <w:tr w14:paraId="3288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vAlign w:val="center"/>
          </w:tcPr>
          <w:p w14:paraId="2F44DF17">
            <w:pPr>
              <w:jc w:val="center"/>
              <w:rPr>
                <w:rFonts w:hint="eastAsia"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序号</w:t>
            </w:r>
          </w:p>
        </w:tc>
        <w:tc>
          <w:tcPr>
            <w:tcW w:w="2823" w:type="dxa"/>
            <w:vAlign w:val="center"/>
          </w:tcPr>
          <w:p w14:paraId="3D60EDF3">
            <w:pPr>
              <w:jc w:val="center"/>
              <w:rPr>
                <w:rFonts w:hint="eastAsia"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情形</w:t>
            </w:r>
          </w:p>
        </w:tc>
        <w:tc>
          <w:tcPr>
            <w:tcW w:w="2552" w:type="dxa"/>
            <w:vAlign w:val="center"/>
          </w:tcPr>
          <w:p w14:paraId="6B479F44">
            <w:pPr>
              <w:jc w:val="center"/>
              <w:rPr>
                <w:rFonts w:hint="eastAsia" w:ascii="宋体" w:hAnsi="宋体" w:eastAsia="宋体" w:cs="宋体"/>
                <w:b/>
                <w:color w:val="auto"/>
                <w:szCs w:val="21"/>
                <w:highlight w:val="none"/>
                <w:lang w:val="en-GB"/>
              </w:rPr>
            </w:pPr>
            <w:r>
              <w:rPr>
                <w:rFonts w:hint="eastAsia" w:ascii="宋体" w:hAnsi="宋体" w:eastAsia="宋体" w:cs="宋体"/>
                <w:b/>
                <w:color w:val="auto"/>
                <w:szCs w:val="21"/>
                <w:highlight w:val="none"/>
              </w:rPr>
              <w:t>价格扣除</w:t>
            </w:r>
            <w:r>
              <w:rPr>
                <w:rFonts w:hint="eastAsia" w:ascii="宋体" w:hAnsi="宋体" w:eastAsia="宋体" w:cs="宋体"/>
                <w:b/>
                <w:color w:val="auto"/>
                <w:szCs w:val="21"/>
                <w:highlight w:val="none"/>
                <w:lang w:val="en-GB"/>
              </w:rPr>
              <w:t>比例</w:t>
            </w:r>
          </w:p>
        </w:tc>
        <w:tc>
          <w:tcPr>
            <w:tcW w:w="2835" w:type="dxa"/>
            <w:vAlign w:val="center"/>
          </w:tcPr>
          <w:p w14:paraId="7022D6B5">
            <w:pPr>
              <w:jc w:val="center"/>
              <w:rPr>
                <w:rFonts w:hint="eastAsia"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计算公式</w:t>
            </w:r>
          </w:p>
        </w:tc>
      </w:tr>
      <w:tr w14:paraId="5669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vAlign w:val="center"/>
          </w:tcPr>
          <w:p w14:paraId="236DB46D">
            <w:pPr>
              <w:jc w:val="center"/>
              <w:rPr>
                <w:rFonts w:hint="eastAsia"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1</w:t>
            </w:r>
          </w:p>
        </w:tc>
        <w:tc>
          <w:tcPr>
            <w:tcW w:w="2823" w:type="dxa"/>
            <w:vAlign w:val="center"/>
          </w:tcPr>
          <w:p w14:paraId="55ADF63C">
            <w:pPr>
              <w:jc w:val="center"/>
              <w:rPr>
                <w:rFonts w:hint="eastAsia" w:ascii="宋体" w:hAnsi="宋体" w:eastAsia="宋体" w:cs="宋体"/>
                <w:b/>
                <w:color w:val="auto"/>
                <w:szCs w:val="21"/>
                <w:highlight w:val="none"/>
                <w:lang w:val="en-GB"/>
              </w:rPr>
            </w:pPr>
            <w:r>
              <w:rPr>
                <w:rFonts w:hint="eastAsia" w:ascii="宋体" w:hAnsi="宋体" w:eastAsia="宋体" w:cs="宋体"/>
                <w:color w:val="auto"/>
                <w:szCs w:val="21"/>
                <w:highlight w:val="none"/>
                <w:lang w:val="en-GB"/>
              </w:rPr>
              <w:t>非联合体投标人</w:t>
            </w:r>
          </w:p>
        </w:tc>
        <w:tc>
          <w:tcPr>
            <w:tcW w:w="2552" w:type="dxa"/>
            <w:vAlign w:val="center"/>
          </w:tcPr>
          <w:p w14:paraId="5AF4999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对小型和微型企业报价</w:t>
            </w:r>
          </w:p>
          <w:p w14:paraId="0F8EDC72">
            <w:pPr>
              <w:jc w:val="center"/>
              <w:rPr>
                <w:rFonts w:hint="eastAsia" w:ascii="宋体" w:hAnsi="宋体" w:eastAsia="宋体" w:cs="宋体"/>
                <w:b/>
                <w:color w:val="auto"/>
                <w:szCs w:val="21"/>
                <w:highlight w:val="none"/>
                <w:lang w:val="en-GB"/>
              </w:rPr>
            </w:pPr>
            <w:r>
              <w:rPr>
                <w:rFonts w:hint="eastAsia" w:ascii="宋体" w:hAnsi="宋体" w:eastAsia="宋体" w:cs="宋体"/>
                <w:color w:val="auto"/>
                <w:szCs w:val="21"/>
                <w:highlight w:val="none"/>
              </w:rPr>
              <w:t>扣除20%</w:t>
            </w:r>
          </w:p>
        </w:tc>
        <w:tc>
          <w:tcPr>
            <w:tcW w:w="2835" w:type="dxa"/>
            <w:vMerge w:val="restart"/>
            <w:shd w:val="clear" w:color="auto" w:fill="auto"/>
            <w:vAlign w:val="center"/>
          </w:tcPr>
          <w:p w14:paraId="562F3A0F">
            <w:pPr>
              <w:jc w:val="center"/>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评标价格＝</w:t>
            </w:r>
            <w:r>
              <w:rPr>
                <w:rFonts w:hint="eastAsia" w:ascii="宋体" w:hAnsi="宋体" w:eastAsia="宋体" w:cs="宋体"/>
                <w:color w:val="auto"/>
                <w:szCs w:val="21"/>
                <w:highlight w:val="none"/>
              </w:rPr>
              <w:t>小型和微型企业报价</w:t>
            </w:r>
            <w:r>
              <w:rPr>
                <w:rFonts w:hint="eastAsia" w:ascii="宋体" w:hAnsi="宋体" w:eastAsia="宋体" w:cs="宋体"/>
                <w:color w:val="auto"/>
                <w:szCs w:val="21"/>
                <w:highlight w:val="none"/>
                <w:lang w:val="en-GB"/>
              </w:rPr>
              <w:t>×（1</w:t>
            </w:r>
            <w:r>
              <w:rPr>
                <w:rFonts w:hint="eastAsia" w:ascii="宋体" w:hAnsi="宋体" w:eastAsia="宋体" w:cs="宋体"/>
                <w:color w:val="auto"/>
                <w:szCs w:val="21"/>
                <w:highlight w:val="none"/>
                <w:lang w:val="en-GB" w:eastAsia="zh-CN"/>
              </w:rPr>
              <w:t>%～</w:t>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GB"/>
              </w:rPr>
              <w:t>%）</w:t>
            </w:r>
          </w:p>
          <w:p w14:paraId="52502C5C">
            <w:pPr>
              <w:jc w:val="center"/>
              <w:rPr>
                <w:rFonts w:hint="eastAsia" w:ascii="宋体" w:hAnsi="宋体" w:eastAsia="宋体" w:cs="宋体"/>
                <w:b/>
                <w:color w:val="auto"/>
                <w:szCs w:val="21"/>
                <w:highlight w:val="none"/>
                <w:lang w:val="en-GB"/>
              </w:rPr>
            </w:pPr>
          </w:p>
        </w:tc>
      </w:tr>
      <w:tr w14:paraId="3A9E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721" w:type="dxa"/>
            <w:vAlign w:val="center"/>
          </w:tcPr>
          <w:p w14:paraId="3171B5E3">
            <w:pPr>
              <w:jc w:val="center"/>
              <w:rPr>
                <w:rFonts w:hint="eastAsia"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2</w:t>
            </w:r>
          </w:p>
        </w:tc>
        <w:tc>
          <w:tcPr>
            <w:tcW w:w="2823" w:type="dxa"/>
            <w:vAlign w:val="center"/>
          </w:tcPr>
          <w:p w14:paraId="1D8864BD">
            <w:pPr>
              <w:jc w:val="center"/>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联合体各方均为</w:t>
            </w:r>
          </w:p>
          <w:p w14:paraId="60B5A308">
            <w:pPr>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GB"/>
              </w:rPr>
              <w:t>小型、微型企业</w:t>
            </w:r>
          </w:p>
        </w:tc>
        <w:tc>
          <w:tcPr>
            <w:tcW w:w="2552" w:type="dxa"/>
            <w:vAlign w:val="center"/>
          </w:tcPr>
          <w:p w14:paraId="1B7C894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对小型和微型企业报价</w:t>
            </w:r>
          </w:p>
          <w:p w14:paraId="3687C19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扣除20%</w:t>
            </w:r>
          </w:p>
          <w:p w14:paraId="3924AEDD">
            <w:pPr>
              <w:jc w:val="center"/>
              <w:rPr>
                <w:rFonts w:hint="eastAsia" w:ascii="宋体" w:hAnsi="宋体" w:eastAsia="宋体" w:cs="宋体"/>
                <w:b/>
                <w:color w:val="auto"/>
                <w:szCs w:val="21"/>
                <w:highlight w:val="none"/>
                <w:lang w:val="en-GB"/>
              </w:rPr>
            </w:pPr>
            <w:r>
              <w:rPr>
                <w:rFonts w:hint="eastAsia" w:ascii="宋体" w:hAnsi="宋体" w:eastAsia="宋体" w:cs="宋体"/>
                <w:color w:val="auto"/>
                <w:szCs w:val="21"/>
                <w:highlight w:val="none"/>
              </w:rPr>
              <w:t>（不再享受序号3的价格折扣）</w:t>
            </w:r>
          </w:p>
        </w:tc>
        <w:tc>
          <w:tcPr>
            <w:tcW w:w="2835" w:type="dxa"/>
            <w:vMerge w:val="continue"/>
            <w:shd w:val="clear" w:color="auto" w:fill="auto"/>
          </w:tcPr>
          <w:p w14:paraId="21B2AD70">
            <w:pPr>
              <w:rPr>
                <w:rFonts w:hint="eastAsia" w:ascii="宋体" w:hAnsi="宋体" w:eastAsia="宋体" w:cs="宋体"/>
                <w:color w:val="auto"/>
                <w:szCs w:val="21"/>
                <w:highlight w:val="none"/>
                <w:lang w:val="en-GB"/>
              </w:rPr>
            </w:pPr>
          </w:p>
        </w:tc>
      </w:tr>
      <w:tr w14:paraId="4BC2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7B87EB25">
            <w:pPr>
              <w:jc w:val="center"/>
              <w:rPr>
                <w:rFonts w:hint="eastAsia"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3</w:t>
            </w:r>
          </w:p>
        </w:tc>
        <w:tc>
          <w:tcPr>
            <w:tcW w:w="2823" w:type="dxa"/>
            <w:vAlign w:val="center"/>
          </w:tcPr>
          <w:p w14:paraId="0F78C6BE">
            <w:pPr>
              <w:jc w:val="center"/>
              <w:rPr>
                <w:rFonts w:hint="eastAsia" w:ascii="宋体" w:hAnsi="宋体" w:eastAsia="宋体" w:cs="宋体"/>
                <w:b/>
                <w:color w:val="auto"/>
                <w:szCs w:val="21"/>
                <w:highlight w:val="none"/>
                <w:lang w:val="en-GB"/>
              </w:rPr>
            </w:pPr>
            <w:r>
              <w:rPr>
                <w:rFonts w:hint="eastAsia" w:ascii="宋体" w:hAnsi="宋体" w:eastAsia="宋体" w:cs="宋体"/>
                <w:color w:val="auto"/>
                <w:szCs w:val="21"/>
                <w:highlight w:val="none"/>
              </w:rPr>
              <w:t>接受大中型企业与小微企业组成联合体或者允许大中型企业向一家或者多家小微企业分包的采购项目，对于联合协议或者分包意向协议约定小微企业的合同份额占到合同总金额 30%以上</w:t>
            </w:r>
          </w:p>
        </w:tc>
        <w:tc>
          <w:tcPr>
            <w:tcW w:w="2552" w:type="dxa"/>
            <w:vAlign w:val="center"/>
          </w:tcPr>
          <w:p w14:paraId="2363B3CA">
            <w:pPr>
              <w:jc w:val="center"/>
              <w:rPr>
                <w:rFonts w:hint="eastAsia" w:ascii="宋体" w:hAnsi="宋体" w:eastAsia="宋体" w:cs="宋体"/>
                <w:b/>
                <w:color w:val="auto"/>
                <w:szCs w:val="21"/>
                <w:highlight w:val="none"/>
                <w:lang w:val="en-GB"/>
              </w:rPr>
            </w:pPr>
            <w:r>
              <w:rPr>
                <w:rFonts w:hint="eastAsia" w:ascii="宋体" w:hAnsi="宋体" w:eastAsia="宋体" w:cs="宋体"/>
                <w:color w:val="auto"/>
                <w:szCs w:val="21"/>
                <w:highlight w:val="none"/>
              </w:rPr>
              <w:t>对联合体或者大中型企业的报价</w:t>
            </w:r>
            <w:r>
              <w:rPr>
                <w:rFonts w:hint="eastAsia" w:ascii="宋体" w:hAnsi="宋体" w:eastAsia="宋体" w:cs="宋体"/>
                <w:color w:val="auto"/>
                <w:szCs w:val="21"/>
                <w:highlight w:val="none"/>
                <w:lang w:val="en-GB"/>
              </w:rPr>
              <w:t>扣除6</w:t>
            </w:r>
            <w:r>
              <w:rPr>
                <w:rFonts w:hint="eastAsia" w:ascii="宋体" w:hAnsi="宋体" w:eastAsia="宋体" w:cs="宋体"/>
                <w:color w:val="auto"/>
                <w:szCs w:val="21"/>
                <w:highlight w:val="none"/>
              </w:rPr>
              <w:t>%</w:t>
            </w:r>
          </w:p>
        </w:tc>
        <w:tc>
          <w:tcPr>
            <w:tcW w:w="2835" w:type="dxa"/>
            <w:shd w:val="clear" w:color="auto" w:fill="auto"/>
            <w:vAlign w:val="center"/>
          </w:tcPr>
          <w:p w14:paraId="1A25D596">
            <w:pPr>
              <w:jc w:val="center"/>
              <w:rPr>
                <w:rFonts w:hint="eastAsia" w:ascii="宋体" w:hAnsi="宋体" w:eastAsia="宋体" w:cs="宋体"/>
                <w:b/>
                <w:color w:val="auto"/>
                <w:szCs w:val="21"/>
                <w:highlight w:val="none"/>
                <w:lang w:val="en-GB"/>
              </w:rPr>
            </w:pPr>
            <w:r>
              <w:rPr>
                <w:rFonts w:hint="eastAsia" w:ascii="宋体" w:hAnsi="宋体" w:eastAsia="宋体" w:cs="宋体"/>
                <w:color w:val="auto"/>
                <w:szCs w:val="21"/>
                <w:highlight w:val="none"/>
                <w:lang w:val="en-GB"/>
              </w:rPr>
              <w:t>评标价格＝投标报价×</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GB"/>
              </w:rPr>
              <w:t>%)</w:t>
            </w:r>
          </w:p>
        </w:tc>
      </w:tr>
      <w:tr w14:paraId="7E36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042C1BCE">
            <w:pPr>
              <w:jc w:val="center"/>
              <w:rPr>
                <w:rFonts w:hint="eastAsia"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4</w:t>
            </w:r>
          </w:p>
        </w:tc>
        <w:tc>
          <w:tcPr>
            <w:tcW w:w="2823" w:type="dxa"/>
            <w:vAlign w:val="center"/>
          </w:tcPr>
          <w:p w14:paraId="050BF804">
            <w:pPr>
              <w:jc w:val="center"/>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监狱企业</w:t>
            </w:r>
          </w:p>
        </w:tc>
        <w:tc>
          <w:tcPr>
            <w:tcW w:w="2552" w:type="dxa"/>
            <w:vAlign w:val="center"/>
          </w:tcPr>
          <w:p w14:paraId="6918F460">
            <w:pPr>
              <w:jc w:val="center"/>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对监狱企业产品价格扣除</w:t>
            </w:r>
            <w:r>
              <w:rPr>
                <w:rFonts w:hint="eastAsia" w:ascii="宋体" w:hAnsi="宋体" w:eastAsia="宋体" w:cs="宋体"/>
                <w:color w:val="auto"/>
                <w:szCs w:val="21"/>
                <w:highlight w:val="none"/>
              </w:rPr>
              <w:t>20%</w:t>
            </w:r>
          </w:p>
        </w:tc>
        <w:tc>
          <w:tcPr>
            <w:tcW w:w="2835" w:type="dxa"/>
            <w:shd w:val="clear" w:color="auto" w:fill="auto"/>
            <w:vAlign w:val="center"/>
          </w:tcPr>
          <w:p w14:paraId="4D8262FE">
            <w:pPr>
              <w:jc w:val="center"/>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评标价格＝投标报价—</w:t>
            </w:r>
            <w:r>
              <w:rPr>
                <w:rFonts w:hint="eastAsia" w:ascii="宋体" w:hAnsi="宋体" w:eastAsia="宋体" w:cs="宋体"/>
                <w:color w:val="auto"/>
                <w:szCs w:val="21"/>
                <w:highlight w:val="none"/>
              </w:rPr>
              <w:t>监狱企业产品的价格</w:t>
            </w:r>
            <w:r>
              <w:rPr>
                <w:rFonts w:hint="eastAsia" w:ascii="宋体" w:hAnsi="宋体" w:eastAsia="宋体" w:cs="宋体"/>
                <w:color w:val="auto"/>
                <w:szCs w:val="21"/>
                <w:highlight w:val="none"/>
                <w:lang w:val="en-GB"/>
              </w:rPr>
              <w:t>×</w:t>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GB"/>
              </w:rPr>
              <w:t>%</w:t>
            </w:r>
          </w:p>
        </w:tc>
      </w:tr>
      <w:tr w14:paraId="6001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2D76F9B4">
            <w:pPr>
              <w:jc w:val="center"/>
              <w:rPr>
                <w:rFonts w:hint="eastAsia"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5</w:t>
            </w:r>
          </w:p>
        </w:tc>
        <w:tc>
          <w:tcPr>
            <w:tcW w:w="2823" w:type="dxa"/>
            <w:vAlign w:val="center"/>
          </w:tcPr>
          <w:p w14:paraId="6501F87F">
            <w:pPr>
              <w:jc w:val="center"/>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残疾人福利性单位</w:t>
            </w:r>
          </w:p>
        </w:tc>
        <w:tc>
          <w:tcPr>
            <w:tcW w:w="2552" w:type="dxa"/>
            <w:vAlign w:val="center"/>
          </w:tcPr>
          <w:p w14:paraId="1A50C3D8">
            <w:pPr>
              <w:jc w:val="center"/>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对残疾人福利性单位产品价格扣除</w:t>
            </w:r>
            <w:r>
              <w:rPr>
                <w:rFonts w:hint="eastAsia" w:ascii="宋体" w:hAnsi="宋体" w:eastAsia="宋体" w:cs="宋体"/>
                <w:color w:val="auto"/>
                <w:szCs w:val="21"/>
                <w:highlight w:val="none"/>
              </w:rPr>
              <w:t>20%</w:t>
            </w:r>
          </w:p>
        </w:tc>
        <w:tc>
          <w:tcPr>
            <w:tcW w:w="2835" w:type="dxa"/>
            <w:shd w:val="clear" w:color="auto" w:fill="auto"/>
            <w:vAlign w:val="center"/>
          </w:tcPr>
          <w:p w14:paraId="29DD8BD7">
            <w:pPr>
              <w:jc w:val="center"/>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评标价格＝投标报价—</w:t>
            </w:r>
            <w:r>
              <w:rPr>
                <w:rFonts w:hint="eastAsia" w:ascii="宋体" w:hAnsi="宋体" w:eastAsia="宋体" w:cs="宋体"/>
                <w:color w:val="auto"/>
                <w:szCs w:val="21"/>
                <w:highlight w:val="none"/>
              </w:rPr>
              <w:t>残疾人福利性单位产品的价格</w:t>
            </w:r>
            <w:r>
              <w:rPr>
                <w:rFonts w:hint="eastAsia" w:ascii="宋体" w:hAnsi="宋体" w:eastAsia="宋体" w:cs="宋体"/>
                <w:color w:val="auto"/>
                <w:szCs w:val="21"/>
                <w:highlight w:val="none"/>
                <w:lang w:val="en-GB"/>
              </w:rPr>
              <w:t>×</w:t>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GB"/>
              </w:rPr>
              <w:t>%</w:t>
            </w:r>
          </w:p>
        </w:tc>
      </w:tr>
      <w:tr w14:paraId="5E153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trPr>
        <w:tc>
          <w:tcPr>
            <w:tcW w:w="8931" w:type="dxa"/>
            <w:gridSpan w:val="4"/>
            <w:vAlign w:val="center"/>
          </w:tcPr>
          <w:p w14:paraId="14E00BCE">
            <w:pPr>
              <w:widowControl/>
              <w:adjustRightInd w:val="0"/>
              <w:spacing w:line="360" w:lineRule="auto"/>
              <w:ind w:left="-2" w:leftChars="-1"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1.中小企业应在投标文件</w:t>
            </w:r>
            <w:r>
              <w:rPr>
                <w:rFonts w:hint="eastAsia" w:ascii="宋体" w:hAnsi="宋体" w:eastAsia="宋体" w:cs="宋体"/>
                <w:color w:val="auto"/>
                <w:szCs w:val="21"/>
                <w:highlight w:val="none"/>
                <w:lang w:val="en-US" w:eastAsia="zh-CN"/>
              </w:rPr>
              <w:t>中</w:t>
            </w:r>
            <w:r>
              <w:rPr>
                <w:rFonts w:hint="eastAsia" w:ascii="宋体" w:hAnsi="宋体" w:eastAsia="宋体" w:cs="宋体"/>
                <w:color w:val="auto"/>
                <w:szCs w:val="21"/>
                <w:highlight w:val="none"/>
                <w:lang w:val="zh-CN"/>
              </w:rPr>
              <w:t>提供《中小企业声明函》。监狱企业应当在投标文件中提供由省级以上监狱管理局、戒毒管理局（含新疆生产建设兵团）出具的属于监狱企业的证明文件。残疾人福利性单位应当在投标文件中提供《残疾人福利性单位声明函》。</w:t>
            </w:r>
          </w:p>
          <w:p w14:paraId="4AC5C0B8">
            <w:pPr>
              <w:widowControl/>
              <w:adjustRightInd w:val="0"/>
              <w:spacing w:line="360" w:lineRule="auto"/>
              <w:ind w:left="-2" w:leftChars="-1"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2.经评标委员会审查、评价，投标文件符合招标文件实质性要求且进行了政策性价格扣除后，以评标价格的最低价者定为评标基准价，其价格分为满分。其他投标人的价格统一按下列公式计算。即：</w:t>
            </w:r>
          </w:p>
          <w:p w14:paraId="2C1F6E19">
            <w:pPr>
              <w:widowControl/>
              <w:adjustRightInd w:val="0"/>
              <w:spacing w:line="360" w:lineRule="auto"/>
              <w:ind w:left="-88" w:leftChars="-42" w:firstLine="449" w:firstLineChars="21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评标基准价=评标价格的最低价</w:t>
            </w:r>
          </w:p>
          <w:p w14:paraId="639A8713">
            <w:pPr>
              <w:adjustRightInd w:val="0"/>
              <w:spacing w:line="360" w:lineRule="auto"/>
              <w:ind w:left="-88" w:leftChars="-42" w:firstLine="449" w:firstLineChars="21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其他投标报价得分=（评标基准价/评标价格）×评标标准中价格分值</w:t>
            </w:r>
          </w:p>
        </w:tc>
      </w:tr>
    </w:tbl>
    <w:p w14:paraId="506498BE">
      <w:pPr>
        <w:spacing w:line="360" w:lineRule="auto"/>
        <w:rPr>
          <w:rFonts w:hint="eastAsia" w:ascii="宋体" w:hAnsi="宋体" w:eastAsia="宋体" w:cs="宋体"/>
          <w:bCs/>
          <w:color w:val="auto"/>
          <w:szCs w:val="21"/>
          <w:highlight w:val="none"/>
          <w:lang w:val="en-GB"/>
        </w:rPr>
      </w:pPr>
      <w:r>
        <w:rPr>
          <w:rFonts w:hint="eastAsia" w:ascii="宋体" w:hAnsi="宋体" w:eastAsia="宋体" w:cs="宋体"/>
          <w:bCs/>
          <w:color w:val="auto"/>
          <w:szCs w:val="21"/>
          <w:highlight w:val="none"/>
          <w:lang w:val="en-GB"/>
        </w:rPr>
        <w:t>备注：</w:t>
      </w:r>
    </w:p>
    <w:p w14:paraId="2AEB857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Cs/>
          <w:color w:val="auto"/>
          <w:szCs w:val="21"/>
          <w:highlight w:val="none"/>
          <w:lang w:val="en-GB" w:eastAsia="zh-CN"/>
        </w:rPr>
        <w:t>a.</w:t>
      </w:r>
      <w:r>
        <w:rPr>
          <w:rFonts w:hint="eastAsia" w:ascii="宋体" w:hAnsi="宋体" w:eastAsia="宋体" w:cs="宋体"/>
          <w:bCs/>
          <w:color w:val="auto"/>
          <w:szCs w:val="21"/>
          <w:highlight w:val="none"/>
          <w:lang w:val="en-GB"/>
        </w:rPr>
        <w:t>不接受联合体投标的项目，</w:t>
      </w:r>
      <w:r>
        <w:rPr>
          <w:rFonts w:hint="eastAsia" w:ascii="宋体" w:hAnsi="宋体" w:eastAsia="宋体" w:cs="宋体"/>
          <w:color w:val="auto"/>
          <w:highlight w:val="none"/>
        </w:rPr>
        <w:t>本表中第2项、第3项情形不适用。</w:t>
      </w:r>
    </w:p>
    <w:p w14:paraId="75C85BDF">
      <w:pPr>
        <w:spacing w:line="360" w:lineRule="auto"/>
        <w:ind w:firstLine="420" w:firstLineChars="200"/>
        <w:rPr>
          <w:rFonts w:hint="eastAsia" w:ascii="宋体" w:hAnsi="宋体" w:eastAsia="宋体" w:cs="宋体"/>
          <w:bCs/>
          <w:color w:val="auto"/>
          <w:szCs w:val="21"/>
          <w:highlight w:val="none"/>
          <w:lang w:val="en-GB"/>
        </w:rPr>
      </w:pPr>
      <w:r>
        <w:rPr>
          <w:rFonts w:hint="eastAsia" w:ascii="宋体" w:hAnsi="宋体" w:eastAsia="宋体" w:cs="宋体"/>
          <w:bCs/>
          <w:color w:val="auto"/>
          <w:szCs w:val="21"/>
          <w:highlight w:val="none"/>
          <w:lang w:val="en-GB" w:eastAsia="zh-CN"/>
        </w:rPr>
        <w:t>b.</w:t>
      </w:r>
      <w:r>
        <w:rPr>
          <w:rFonts w:hint="eastAsia" w:ascii="宋体" w:hAnsi="宋体" w:eastAsia="宋体" w:cs="宋体"/>
          <w:color w:val="auto"/>
          <w:highlight w:val="none"/>
        </w:rPr>
        <w:t>在货物采购项目中，货物由中小企业制造，即货物由中小企业生产且使用该中小企业商号或者注册商标</w:t>
      </w:r>
      <w:r>
        <w:rPr>
          <w:rFonts w:hint="eastAsia" w:ascii="宋体" w:hAnsi="宋体" w:eastAsia="宋体" w:cs="宋体"/>
          <w:bCs/>
          <w:color w:val="auto"/>
          <w:szCs w:val="21"/>
          <w:highlight w:val="none"/>
          <w:lang w:val="en-GB"/>
        </w:rPr>
        <w:t>。</w:t>
      </w:r>
      <w:r>
        <w:rPr>
          <w:rFonts w:hint="eastAsia" w:ascii="宋体" w:hAnsi="宋体" w:eastAsia="宋体" w:cs="宋体"/>
          <w:color w:val="auto"/>
          <w:highlight w:val="none"/>
        </w:rPr>
        <w:t>在货物采购项目中，供应商提供的货物既有中小企业制造货物，也有大型企业制造货物的，不享受中小企业扶持政策。在工程采购项目中，工程由中小企业承建，即工程施工单位为中小企业；在服务采购项目中，服务由中小企业承接，即提供服务的人员为中小企业依照《中华人民共和国劳动合同法》订立劳动合同的从业人员。</w:t>
      </w:r>
    </w:p>
    <w:p w14:paraId="691FECA4">
      <w:pPr>
        <w:spacing w:line="360" w:lineRule="auto"/>
        <w:ind w:firstLine="420" w:firstLineChars="200"/>
        <w:rPr>
          <w:rFonts w:hint="eastAsia" w:ascii="宋体" w:hAnsi="宋体" w:eastAsia="宋体" w:cs="宋体"/>
          <w:bCs/>
          <w:color w:val="auto"/>
          <w:szCs w:val="21"/>
          <w:highlight w:val="none"/>
          <w:lang w:val="en-GB"/>
        </w:rPr>
      </w:pPr>
      <w:r>
        <w:rPr>
          <w:rFonts w:hint="eastAsia" w:ascii="宋体" w:hAnsi="宋体" w:eastAsia="宋体" w:cs="宋体"/>
          <w:bCs/>
          <w:color w:val="auto"/>
          <w:szCs w:val="21"/>
          <w:highlight w:val="none"/>
          <w:lang w:val="en-GB" w:eastAsia="zh-CN"/>
        </w:rPr>
        <w:t>c.</w:t>
      </w:r>
      <w:r>
        <w:rPr>
          <w:rFonts w:hint="eastAsia" w:ascii="宋体" w:hAnsi="宋体" w:eastAsia="宋体" w:cs="宋体"/>
          <w:bCs/>
          <w:color w:val="auto"/>
          <w:szCs w:val="21"/>
          <w:highlight w:val="none"/>
          <w:lang w:val="en-GB"/>
        </w:rPr>
        <w:t>中小企业、残疾人福利性单位提供其他企业制造的货物的，则该货物的制造商也必须为上述企业，否则不能享受价格优惠。</w:t>
      </w:r>
    </w:p>
    <w:p w14:paraId="58B538C9">
      <w:pPr>
        <w:spacing w:line="360" w:lineRule="auto"/>
        <w:ind w:firstLine="420" w:firstLineChars="200"/>
        <w:rPr>
          <w:rFonts w:hint="eastAsia" w:ascii="宋体" w:hAnsi="宋体" w:eastAsia="宋体" w:cs="宋体"/>
          <w:bCs/>
          <w:color w:val="auto"/>
          <w:szCs w:val="21"/>
          <w:highlight w:val="none"/>
          <w:lang w:val="en-GB"/>
        </w:rPr>
      </w:pPr>
      <w:r>
        <w:rPr>
          <w:rFonts w:hint="eastAsia" w:ascii="宋体" w:hAnsi="宋体" w:eastAsia="宋体" w:cs="宋体"/>
          <w:bCs/>
          <w:color w:val="auto"/>
          <w:szCs w:val="21"/>
          <w:highlight w:val="none"/>
          <w:lang w:val="en-GB" w:eastAsia="zh-CN"/>
        </w:rPr>
        <w:t>d.</w:t>
      </w:r>
      <w:r>
        <w:rPr>
          <w:rFonts w:hint="eastAsia" w:ascii="宋体" w:hAnsi="宋体" w:eastAsia="宋体" w:cs="宋体"/>
          <w:bCs/>
          <w:color w:val="auto"/>
          <w:szCs w:val="21"/>
          <w:highlight w:val="none"/>
          <w:lang w:val="en-GB"/>
        </w:rPr>
        <w:t>残疾人福利性单位属于小型、微型企业的，不重复享受政策。</w:t>
      </w:r>
    </w:p>
    <w:p w14:paraId="4A59BB51">
      <w:pPr>
        <w:spacing w:line="360" w:lineRule="auto"/>
        <w:ind w:firstLine="420" w:firstLineChars="200"/>
        <w:rPr>
          <w:rFonts w:hint="eastAsia" w:ascii="宋体" w:hAnsi="宋体" w:eastAsia="宋体" w:cs="宋体"/>
          <w:b/>
          <w:color w:val="auto"/>
          <w:sz w:val="21"/>
          <w:szCs w:val="21"/>
          <w:highlight w:val="none"/>
          <w:lang w:val="zh-CN"/>
        </w:rPr>
      </w:pPr>
      <w:r>
        <w:rPr>
          <w:rFonts w:hint="eastAsia" w:ascii="宋体" w:hAnsi="宋体" w:eastAsia="宋体" w:cs="宋体"/>
          <w:bCs/>
          <w:color w:val="auto"/>
          <w:szCs w:val="21"/>
          <w:highlight w:val="none"/>
          <w:lang w:val="en-US" w:eastAsia="zh-CN"/>
        </w:rPr>
        <w:t>e.</w:t>
      </w:r>
      <w:r>
        <w:rPr>
          <w:rFonts w:hint="eastAsia" w:ascii="宋体" w:hAnsi="宋体" w:eastAsia="宋体" w:cs="宋体"/>
          <w:bCs/>
          <w:color w:val="auto"/>
          <w:szCs w:val="21"/>
          <w:highlight w:val="none"/>
          <w:lang w:val="en-GB"/>
        </w:rPr>
        <w:t>小型和微型企业不包括民办非企业单位。</w:t>
      </w:r>
    </w:p>
    <w:p w14:paraId="054F4DE9">
      <w:pPr>
        <w:pStyle w:val="17"/>
        <w:spacing w:line="360" w:lineRule="auto"/>
        <w:ind w:firstLine="211" w:firstLineChars="100"/>
        <w:contextualSpacing/>
        <w:jc w:val="both"/>
        <w:rPr>
          <w:rFonts w:hint="eastAsia" w:ascii="宋体" w:hAnsi="宋体" w:eastAsia="宋体" w:cs="宋体"/>
          <w:color w:val="auto"/>
          <w:sz w:val="21"/>
          <w:szCs w:val="21"/>
          <w:highlight w:val="none"/>
          <w:lang w:val="zh-CN"/>
        </w:rPr>
      </w:pP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lang w:val="zh-CN"/>
        </w:rPr>
        <w:t>）评标结果汇总完成后，除下列情形外，任何人不得修改评标结果：</w:t>
      </w:r>
    </w:p>
    <w:p w14:paraId="733BBC5D">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 分值汇总计算错误的；</w:t>
      </w:r>
    </w:p>
    <w:p w14:paraId="012674DC">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 分项评分超出评分标准范围的；</w:t>
      </w:r>
    </w:p>
    <w:p w14:paraId="7ED8E401">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 评标委员会成员对客观评审因素评分不一致的；</w:t>
      </w:r>
    </w:p>
    <w:p w14:paraId="0099D50D">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 经评标委员会认定评分畸高、畸低的。</w:t>
      </w:r>
    </w:p>
    <w:p w14:paraId="5B2973C1">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65592EF">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投标人对本条第一款情形提出质疑的，采购人或者采购代理机构可以组织原评标委员会进行重新评审，重新评审改变评标结果的，应当书面报告本级财政部门。</w:t>
      </w:r>
    </w:p>
    <w:p w14:paraId="4A89CAC3">
      <w:pPr>
        <w:wordWrap w:val="0"/>
        <w:spacing w:line="360" w:lineRule="auto"/>
        <w:ind w:firstLine="422" w:firstLineChars="200"/>
        <w:contextualSpacing/>
        <w:rPr>
          <w:rFonts w:hint="eastAsia" w:ascii="宋体" w:hAnsi="宋体" w:eastAsia="宋体" w:cs="宋体"/>
          <w:color w:val="auto"/>
          <w:szCs w:val="21"/>
          <w:highlight w:val="none"/>
          <w:lang w:val="zh-CN"/>
        </w:rPr>
      </w:pP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en-US" w:eastAsia="zh-CN"/>
        </w:rPr>
        <w:t>8</w:t>
      </w:r>
      <w:r>
        <w:rPr>
          <w:rFonts w:hint="eastAsia" w:ascii="宋体" w:hAnsi="宋体" w:eastAsia="宋体" w:cs="宋体"/>
          <w:b/>
          <w:bCs/>
          <w:color w:val="auto"/>
          <w:szCs w:val="21"/>
          <w:highlight w:val="none"/>
          <w:lang w:val="zh-CN"/>
        </w:rPr>
        <w:t>）按照《</w:t>
      </w:r>
      <w:r>
        <w:rPr>
          <w:rFonts w:hint="eastAsia" w:ascii="宋体" w:hAnsi="宋体" w:eastAsia="宋体" w:cs="宋体"/>
          <w:color w:val="auto"/>
          <w:szCs w:val="21"/>
          <w:highlight w:val="none"/>
          <w:lang w:val="zh-CN"/>
        </w:rPr>
        <w:t>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14:paraId="46ED6EAC">
      <w:pPr>
        <w:tabs>
          <w:tab w:val="left" w:pos="1260"/>
        </w:tabs>
        <w:autoSpaceDE w:val="0"/>
        <w:autoSpaceDN w:val="0"/>
        <w:spacing w:line="360" w:lineRule="auto"/>
        <w:ind w:firstLine="422" w:firstLineChars="200"/>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9</w:t>
      </w:r>
      <w:r>
        <w:rPr>
          <w:rFonts w:hint="eastAsia" w:ascii="宋体" w:hAnsi="宋体" w:eastAsia="宋体" w:cs="宋体"/>
          <w:b/>
          <w:color w:val="auto"/>
          <w:szCs w:val="21"/>
          <w:highlight w:val="none"/>
          <w:lang w:val="zh-CN"/>
        </w:rPr>
        <w:t>）评标委员会争议处理</w:t>
      </w:r>
    </w:p>
    <w:p w14:paraId="4C5242C3">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7A1F2BEB">
      <w:pPr>
        <w:spacing w:line="360" w:lineRule="auto"/>
        <w:ind w:firstLine="420" w:firstLineChars="200"/>
        <w:contextualSpacing/>
        <w:rPr>
          <w:rFonts w:hint="eastAsia" w:ascii="宋体" w:hAnsi="宋体" w:eastAsia="宋体" w:cs="宋体"/>
          <w:color w:val="auto"/>
          <w:highlight w:val="none"/>
          <w:lang w:val="en-US" w:eastAsia="zh-CN"/>
        </w:rPr>
      </w:pPr>
      <w:r>
        <w:rPr>
          <w:rFonts w:hint="eastAsia" w:ascii="宋体" w:hAnsi="宋体" w:eastAsia="宋体" w:cs="宋体"/>
          <w:bCs/>
          <w:color w:val="auto"/>
          <w:szCs w:val="21"/>
          <w:highlight w:val="none"/>
          <w:lang w:val="zh-CN"/>
        </w:rPr>
        <w:t>确定中标候选人名单，以及根据采购人委托直接确定中标人</w:t>
      </w:r>
      <w:r>
        <w:rPr>
          <w:rFonts w:hint="eastAsia" w:ascii="宋体" w:hAnsi="宋体" w:eastAsia="宋体" w:cs="宋体"/>
          <w:color w:val="auto"/>
          <w:szCs w:val="21"/>
          <w:highlight w:val="none"/>
          <w:lang w:val="zh-CN"/>
        </w:rPr>
        <w:t>。</w:t>
      </w:r>
    </w:p>
    <w:p w14:paraId="54663731">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2"/>
          <w:szCs w:val="32"/>
          <w:highlight w:val="none"/>
        </w:rPr>
      </w:pPr>
    </w:p>
    <w:p w14:paraId="26BC6116">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2"/>
          <w:szCs w:val="32"/>
          <w:highlight w:val="none"/>
        </w:rPr>
      </w:pPr>
    </w:p>
    <w:p w14:paraId="04C61A21">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2"/>
          <w:szCs w:val="32"/>
          <w:highlight w:val="none"/>
        </w:rPr>
      </w:pPr>
    </w:p>
    <w:p w14:paraId="2B0C88EE">
      <w:pPr>
        <w:tabs>
          <w:tab w:val="left" w:pos="1260"/>
        </w:tabs>
        <w:autoSpaceDE w:val="0"/>
        <w:autoSpaceDN w:val="0"/>
        <w:adjustRightInd w:val="0"/>
        <w:spacing w:line="360" w:lineRule="auto"/>
        <w:contextualSpacing/>
        <w:jc w:val="both"/>
        <w:rPr>
          <w:rFonts w:hint="eastAsia" w:ascii="宋体" w:hAnsi="宋体" w:eastAsia="宋体" w:cs="宋体"/>
          <w:b/>
          <w:color w:val="auto"/>
          <w:kern w:val="0"/>
          <w:sz w:val="32"/>
          <w:szCs w:val="32"/>
          <w:highlight w:val="none"/>
        </w:rPr>
      </w:pPr>
    </w:p>
    <w:p w14:paraId="61FF4510">
      <w:pPr>
        <w:tabs>
          <w:tab w:val="left" w:pos="1260"/>
        </w:tabs>
        <w:autoSpaceDE w:val="0"/>
        <w:autoSpaceDN w:val="0"/>
        <w:adjustRightInd w:val="0"/>
        <w:spacing w:line="360" w:lineRule="auto"/>
        <w:contextualSpacing/>
        <w:jc w:val="both"/>
        <w:rPr>
          <w:rFonts w:hint="eastAsia" w:ascii="宋体" w:hAnsi="宋体" w:eastAsia="宋体" w:cs="宋体"/>
          <w:b/>
          <w:color w:val="auto"/>
          <w:kern w:val="0"/>
          <w:sz w:val="32"/>
          <w:szCs w:val="32"/>
          <w:highlight w:val="none"/>
        </w:rPr>
      </w:pPr>
    </w:p>
    <w:p w14:paraId="38D02932">
      <w:pPr>
        <w:tabs>
          <w:tab w:val="left" w:pos="1260"/>
        </w:tabs>
        <w:autoSpaceDE w:val="0"/>
        <w:autoSpaceDN w:val="0"/>
        <w:adjustRightInd w:val="0"/>
        <w:spacing w:line="360" w:lineRule="auto"/>
        <w:contextualSpacing/>
        <w:jc w:val="both"/>
        <w:rPr>
          <w:rFonts w:hint="eastAsia" w:ascii="宋体" w:hAnsi="宋体" w:eastAsia="宋体" w:cs="宋体"/>
          <w:b/>
          <w:color w:val="auto"/>
          <w:kern w:val="0"/>
          <w:sz w:val="32"/>
          <w:szCs w:val="32"/>
          <w:highlight w:val="none"/>
        </w:rPr>
      </w:pPr>
    </w:p>
    <w:p w14:paraId="71DABE05">
      <w:pPr>
        <w:tabs>
          <w:tab w:val="left" w:pos="1260"/>
        </w:tabs>
        <w:autoSpaceDE w:val="0"/>
        <w:autoSpaceDN w:val="0"/>
        <w:adjustRightInd w:val="0"/>
        <w:spacing w:line="360" w:lineRule="auto"/>
        <w:contextualSpacing/>
        <w:jc w:val="both"/>
        <w:rPr>
          <w:rFonts w:hint="eastAsia" w:ascii="宋体" w:hAnsi="宋体" w:eastAsia="宋体" w:cs="宋体"/>
          <w:b/>
          <w:color w:val="auto"/>
          <w:kern w:val="0"/>
          <w:sz w:val="32"/>
          <w:szCs w:val="32"/>
          <w:highlight w:val="none"/>
        </w:rPr>
      </w:pPr>
    </w:p>
    <w:p w14:paraId="1B0186F4">
      <w:pPr>
        <w:tabs>
          <w:tab w:val="left" w:pos="1260"/>
        </w:tabs>
        <w:autoSpaceDE w:val="0"/>
        <w:autoSpaceDN w:val="0"/>
        <w:adjustRightInd w:val="0"/>
        <w:spacing w:line="360" w:lineRule="auto"/>
        <w:contextualSpacing/>
        <w:jc w:val="both"/>
        <w:rPr>
          <w:rFonts w:hint="eastAsia" w:ascii="宋体" w:hAnsi="宋体" w:eastAsia="宋体" w:cs="宋体"/>
          <w:b/>
          <w:color w:val="auto"/>
          <w:kern w:val="0"/>
          <w:sz w:val="32"/>
          <w:szCs w:val="32"/>
          <w:highlight w:val="none"/>
        </w:rPr>
      </w:pPr>
    </w:p>
    <w:p w14:paraId="41998837">
      <w:pPr>
        <w:tabs>
          <w:tab w:val="left" w:pos="1260"/>
        </w:tabs>
        <w:autoSpaceDE w:val="0"/>
        <w:autoSpaceDN w:val="0"/>
        <w:adjustRightInd w:val="0"/>
        <w:spacing w:line="360" w:lineRule="auto"/>
        <w:contextualSpacing/>
        <w:jc w:val="both"/>
        <w:rPr>
          <w:rFonts w:hint="eastAsia" w:ascii="宋体" w:hAnsi="宋体" w:eastAsia="宋体" w:cs="宋体"/>
          <w:b/>
          <w:color w:val="auto"/>
          <w:kern w:val="0"/>
          <w:sz w:val="32"/>
          <w:szCs w:val="32"/>
          <w:highlight w:val="none"/>
        </w:rPr>
      </w:pPr>
    </w:p>
    <w:p w14:paraId="453DEC77">
      <w:pPr>
        <w:tabs>
          <w:tab w:val="left" w:pos="1260"/>
        </w:tabs>
        <w:autoSpaceDE w:val="0"/>
        <w:autoSpaceDN w:val="0"/>
        <w:adjustRightInd w:val="0"/>
        <w:spacing w:line="360" w:lineRule="auto"/>
        <w:contextualSpacing/>
        <w:jc w:val="both"/>
        <w:rPr>
          <w:rFonts w:hint="eastAsia" w:ascii="宋体" w:hAnsi="宋体" w:eastAsia="宋体" w:cs="宋体"/>
          <w:b/>
          <w:color w:val="auto"/>
          <w:kern w:val="0"/>
          <w:sz w:val="32"/>
          <w:szCs w:val="32"/>
          <w:highlight w:val="none"/>
        </w:rPr>
      </w:pPr>
    </w:p>
    <w:p w14:paraId="06B60009">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2"/>
          <w:szCs w:val="32"/>
          <w:highlight w:val="none"/>
        </w:rPr>
        <w:t>第七章 合同条款及格式</w:t>
      </w:r>
    </w:p>
    <w:p w14:paraId="1B9CF256">
      <w:pPr>
        <w:jc w:val="center"/>
        <w:rPr>
          <w:rFonts w:hint="eastAsia" w:ascii="宋体" w:hAnsi="宋体" w:eastAsia="宋体" w:cs="宋体"/>
          <w:color w:val="auto"/>
          <w:kern w:val="0"/>
          <w:sz w:val="40"/>
          <w:szCs w:val="40"/>
          <w:highlight w:val="none"/>
        </w:rPr>
      </w:pPr>
      <w:bookmarkStart w:id="1" w:name="bookmark112"/>
      <w:bookmarkStart w:id="2" w:name="bookmark111"/>
      <w:bookmarkStart w:id="3" w:name="bookmark110"/>
      <w:r>
        <w:rPr>
          <w:rFonts w:hint="eastAsia" w:ascii="宋体" w:hAnsi="宋体" w:eastAsia="宋体" w:cs="宋体"/>
          <w:color w:val="auto"/>
          <w:kern w:val="0"/>
          <w:sz w:val="40"/>
          <w:szCs w:val="40"/>
          <w:highlight w:val="none"/>
        </w:rPr>
        <w:t>政府采购货物合同（范本）</w:t>
      </w:r>
      <w:bookmarkEnd w:id="1"/>
      <w:bookmarkEnd w:id="2"/>
      <w:bookmarkEnd w:id="3"/>
    </w:p>
    <w:p w14:paraId="6B8F7F62">
      <w:pPr>
        <w:rPr>
          <w:rFonts w:hint="eastAsia" w:ascii="宋体" w:hAnsi="宋体" w:eastAsia="宋体" w:cs="宋体"/>
          <w:color w:val="auto"/>
          <w:highlight w:val="none"/>
        </w:rPr>
      </w:pPr>
    </w:p>
    <w:p w14:paraId="70189F9C">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合同编号：</w:t>
      </w:r>
      <w:r>
        <w:rPr>
          <w:rFonts w:hint="eastAsia" w:ascii="宋体" w:hAnsi="宋体" w:eastAsia="宋体" w:cs="宋体"/>
          <w:color w:val="auto"/>
          <w:sz w:val="21"/>
          <w:szCs w:val="21"/>
          <w:highlight w:val="none"/>
          <w:u w:val="single"/>
          <w:lang w:val="zh-CN"/>
        </w:rPr>
        <w:t xml:space="preserve">                          </w:t>
      </w:r>
    </w:p>
    <w:p w14:paraId="7A200298">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签 订 地：</w:t>
      </w:r>
      <w:r>
        <w:rPr>
          <w:rFonts w:hint="eastAsia" w:ascii="宋体" w:hAnsi="宋体" w:eastAsia="宋体" w:cs="宋体"/>
          <w:color w:val="auto"/>
          <w:sz w:val="21"/>
          <w:szCs w:val="21"/>
          <w:highlight w:val="none"/>
          <w:u w:val="single"/>
          <w:lang w:val="zh-CN"/>
        </w:rPr>
        <w:t xml:space="preserve">                          </w:t>
      </w:r>
    </w:p>
    <w:p w14:paraId="32F1C1BD">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甲方（采购人）：</w:t>
      </w:r>
      <w:r>
        <w:rPr>
          <w:rFonts w:hint="eastAsia" w:ascii="宋体" w:hAnsi="宋体" w:eastAsia="宋体" w:cs="宋体"/>
          <w:color w:val="auto"/>
          <w:sz w:val="21"/>
          <w:szCs w:val="21"/>
          <w:highlight w:val="none"/>
          <w:u w:val="single"/>
          <w:lang w:val="zh-CN"/>
        </w:rPr>
        <w:t xml:space="preserve">                    </w:t>
      </w:r>
    </w:p>
    <w:p w14:paraId="315514FC">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住所地：</w:t>
      </w:r>
      <w:r>
        <w:rPr>
          <w:rFonts w:hint="eastAsia" w:ascii="宋体" w:hAnsi="宋体" w:eastAsia="宋体" w:cs="宋体"/>
          <w:color w:val="auto"/>
          <w:sz w:val="21"/>
          <w:szCs w:val="21"/>
          <w:highlight w:val="none"/>
          <w:u w:val="single"/>
          <w:lang w:val="zh-CN"/>
        </w:rPr>
        <w:t xml:space="preserve">                            </w:t>
      </w:r>
    </w:p>
    <w:p w14:paraId="43BC37B8">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乙方（中标人）：</w:t>
      </w:r>
      <w:r>
        <w:rPr>
          <w:rFonts w:hint="eastAsia" w:ascii="宋体" w:hAnsi="宋体" w:eastAsia="宋体" w:cs="宋体"/>
          <w:color w:val="auto"/>
          <w:sz w:val="21"/>
          <w:szCs w:val="21"/>
          <w:highlight w:val="none"/>
          <w:u w:val="single"/>
          <w:lang w:val="zh-CN"/>
        </w:rPr>
        <w:t xml:space="preserve">                    </w:t>
      </w:r>
    </w:p>
    <w:p w14:paraId="5D7AB8A4">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住 所 地：</w:t>
      </w:r>
      <w:r>
        <w:rPr>
          <w:rFonts w:hint="eastAsia" w:ascii="宋体" w:hAnsi="宋体" w:eastAsia="宋体" w:cs="宋体"/>
          <w:color w:val="auto"/>
          <w:sz w:val="21"/>
          <w:szCs w:val="21"/>
          <w:highlight w:val="none"/>
          <w:u w:val="single"/>
          <w:lang w:val="zh-CN"/>
        </w:rPr>
        <w:t xml:space="preserve">                          </w:t>
      </w:r>
    </w:p>
    <w:p w14:paraId="280E6B98">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乙方于</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月</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日参加了</w:t>
      </w:r>
      <w:r>
        <w:rPr>
          <w:rFonts w:hint="eastAsia" w:ascii="宋体" w:hAnsi="宋体" w:eastAsia="宋体" w:cs="宋体"/>
          <w:color w:val="auto"/>
          <w:sz w:val="21"/>
          <w:szCs w:val="21"/>
          <w:highlight w:val="none"/>
          <w:u w:val="single"/>
          <w:lang w:val="zh-CN"/>
        </w:rPr>
        <w:t>（采购代理机构）</w:t>
      </w:r>
      <w:r>
        <w:rPr>
          <w:rFonts w:hint="eastAsia" w:ascii="宋体" w:hAnsi="宋体" w:eastAsia="宋体" w:cs="宋体"/>
          <w:color w:val="auto"/>
          <w:sz w:val="21"/>
          <w:szCs w:val="21"/>
          <w:highlight w:val="none"/>
          <w:lang w:val="zh-CN"/>
        </w:rPr>
        <w:t>组织的“</w:t>
      </w:r>
      <w:r>
        <w:rPr>
          <w:rFonts w:hint="eastAsia" w:ascii="宋体" w:hAnsi="宋体" w:eastAsia="宋体" w:cs="宋体"/>
          <w:color w:val="auto"/>
          <w:sz w:val="21"/>
          <w:szCs w:val="21"/>
          <w:highlight w:val="none"/>
          <w:u w:val="single"/>
          <w:lang w:val="zh-CN"/>
        </w:rPr>
        <w:t>（项目名称及项目编号）</w:t>
      </w:r>
      <w:r>
        <w:rPr>
          <w:rFonts w:hint="eastAsia" w:ascii="宋体" w:hAnsi="宋体" w:eastAsia="宋体" w:cs="宋体"/>
          <w:color w:val="auto"/>
          <w:sz w:val="21"/>
          <w:szCs w:val="21"/>
          <w:highlight w:val="none"/>
          <w:lang w:val="zh-CN"/>
        </w:rPr>
        <w:t>”政府采购活动，经评标委员会评审确定乙方为</w:t>
      </w:r>
      <w:r>
        <w:rPr>
          <w:rFonts w:hint="eastAsia" w:ascii="宋体" w:hAnsi="宋体" w:eastAsia="宋体" w:cs="宋体"/>
          <w:color w:val="auto"/>
          <w:sz w:val="21"/>
          <w:szCs w:val="21"/>
          <w:highlight w:val="none"/>
          <w:u w:val="single"/>
          <w:lang w:val="zh-CN"/>
        </w:rPr>
        <w:t>（包及包名称）</w:t>
      </w:r>
      <w:r>
        <w:rPr>
          <w:rFonts w:hint="eastAsia" w:ascii="宋体" w:hAnsi="宋体" w:eastAsia="宋体" w:cs="宋体"/>
          <w:color w:val="auto"/>
          <w:sz w:val="21"/>
          <w:szCs w:val="21"/>
          <w:highlight w:val="none"/>
          <w:lang w:val="zh-CN"/>
        </w:rPr>
        <w:t>中标人，按照《中华人民共和国民法典》《中华人民共和国政府采购法》和相关的法律法规规定，以及招标文件规定，经甲乙双方协商一致，签订本政府采购合同。</w:t>
      </w:r>
    </w:p>
    <w:p w14:paraId="6C4D4267">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第一条货物条款</w:t>
      </w:r>
    </w:p>
    <w:p w14:paraId="4FFD91EF">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乙方向甲方提供以下货物</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5013"/>
        <w:gridCol w:w="884"/>
        <w:gridCol w:w="884"/>
        <w:gridCol w:w="1179"/>
      </w:tblGrid>
      <w:tr w14:paraId="69E4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3F01A4D2">
            <w:pPr>
              <w:spacing w:line="44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货物名称</w:t>
            </w:r>
          </w:p>
        </w:tc>
        <w:tc>
          <w:tcPr>
            <w:tcW w:w="5013" w:type="dxa"/>
            <w:noWrap/>
            <w:vAlign w:val="center"/>
          </w:tcPr>
          <w:p w14:paraId="54C6C539">
            <w:pPr>
              <w:spacing w:line="44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品牌、规格型号（技术参数）</w:t>
            </w:r>
          </w:p>
        </w:tc>
        <w:tc>
          <w:tcPr>
            <w:tcW w:w="884" w:type="dxa"/>
            <w:noWrap/>
            <w:vAlign w:val="center"/>
          </w:tcPr>
          <w:p w14:paraId="251B9C68">
            <w:pPr>
              <w:spacing w:line="440" w:lineRule="exact"/>
              <w:ind w:firstLine="105"/>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单价</w:t>
            </w:r>
          </w:p>
        </w:tc>
        <w:tc>
          <w:tcPr>
            <w:tcW w:w="884" w:type="dxa"/>
            <w:noWrap/>
            <w:vAlign w:val="center"/>
          </w:tcPr>
          <w:p w14:paraId="0550FC11">
            <w:pPr>
              <w:spacing w:line="44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数量</w:t>
            </w:r>
          </w:p>
        </w:tc>
        <w:tc>
          <w:tcPr>
            <w:tcW w:w="1179" w:type="dxa"/>
            <w:noWrap/>
            <w:vAlign w:val="center"/>
          </w:tcPr>
          <w:p w14:paraId="30C390E7">
            <w:pPr>
              <w:spacing w:line="44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小计</w:t>
            </w:r>
          </w:p>
        </w:tc>
      </w:tr>
      <w:tr w14:paraId="5DEAB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4C4FC60E">
            <w:pPr>
              <w:spacing w:line="440" w:lineRule="exact"/>
              <w:jc w:val="center"/>
              <w:rPr>
                <w:rFonts w:hint="eastAsia" w:ascii="宋体" w:hAnsi="宋体" w:eastAsia="宋体" w:cs="宋体"/>
                <w:color w:val="auto"/>
                <w:sz w:val="21"/>
                <w:szCs w:val="21"/>
                <w:highlight w:val="none"/>
                <w:lang w:val="zh-CN"/>
              </w:rPr>
            </w:pPr>
          </w:p>
        </w:tc>
        <w:tc>
          <w:tcPr>
            <w:tcW w:w="5013" w:type="dxa"/>
            <w:noWrap/>
            <w:vAlign w:val="center"/>
          </w:tcPr>
          <w:p w14:paraId="079238C3">
            <w:pPr>
              <w:spacing w:line="440" w:lineRule="exact"/>
              <w:jc w:val="center"/>
              <w:rPr>
                <w:rFonts w:hint="eastAsia" w:ascii="宋体" w:hAnsi="宋体" w:eastAsia="宋体" w:cs="宋体"/>
                <w:color w:val="auto"/>
                <w:sz w:val="21"/>
                <w:szCs w:val="21"/>
                <w:highlight w:val="none"/>
                <w:lang w:val="zh-CN"/>
              </w:rPr>
            </w:pPr>
          </w:p>
        </w:tc>
        <w:tc>
          <w:tcPr>
            <w:tcW w:w="884" w:type="dxa"/>
            <w:noWrap/>
            <w:vAlign w:val="center"/>
          </w:tcPr>
          <w:p w14:paraId="3505ADB3">
            <w:pPr>
              <w:spacing w:line="440" w:lineRule="exact"/>
              <w:jc w:val="center"/>
              <w:rPr>
                <w:rFonts w:hint="eastAsia" w:ascii="宋体" w:hAnsi="宋体" w:eastAsia="宋体" w:cs="宋体"/>
                <w:color w:val="auto"/>
                <w:sz w:val="21"/>
                <w:szCs w:val="21"/>
                <w:highlight w:val="none"/>
                <w:lang w:val="zh-CN"/>
              </w:rPr>
            </w:pPr>
          </w:p>
        </w:tc>
        <w:tc>
          <w:tcPr>
            <w:tcW w:w="884" w:type="dxa"/>
            <w:noWrap/>
            <w:vAlign w:val="center"/>
          </w:tcPr>
          <w:p w14:paraId="1F7CB2FD">
            <w:pPr>
              <w:spacing w:line="440" w:lineRule="exact"/>
              <w:jc w:val="center"/>
              <w:rPr>
                <w:rFonts w:hint="eastAsia" w:ascii="宋体" w:hAnsi="宋体" w:eastAsia="宋体" w:cs="宋体"/>
                <w:color w:val="auto"/>
                <w:sz w:val="21"/>
                <w:szCs w:val="21"/>
                <w:highlight w:val="none"/>
                <w:lang w:val="zh-CN"/>
              </w:rPr>
            </w:pPr>
          </w:p>
        </w:tc>
        <w:tc>
          <w:tcPr>
            <w:tcW w:w="1179" w:type="dxa"/>
            <w:noWrap/>
            <w:vAlign w:val="center"/>
          </w:tcPr>
          <w:p w14:paraId="081823AE">
            <w:pPr>
              <w:spacing w:line="440" w:lineRule="exact"/>
              <w:jc w:val="center"/>
              <w:rPr>
                <w:rFonts w:hint="eastAsia" w:ascii="宋体" w:hAnsi="宋体" w:eastAsia="宋体" w:cs="宋体"/>
                <w:color w:val="auto"/>
                <w:sz w:val="21"/>
                <w:szCs w:val="21"/>
                <w:highlight w:val="none"/>
                <w:lang w:val="zh-CN"/>
              </w:rPr>
            </w:pPr>
          </w:p>
        </w:tc>
      </w:tr>
      <w:tr w14:paraId="4C82F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3F7F77D9">
            <w:pPr>
              <w:spacing w:line="440" w:lineRule="exact"/>
              <w:jc w:val="center"/>
              <w:rPr>
                <w:rFonts w:hint="eastAsia" w:ascii="宋体" w:hAnsi="宋体" w:eastAsia="宋体" w:cs="宋体"/>
                <w:color w:val="auto"/>
                <w:sz w:val="21"/>
                <w:szCs w:val="21"/>
                <w:highlight w:val="none"/>
                <w:lang w:val="zh-CN"/>
              </w:rPr>
            </w:pPr>
          </w:p>
        </w:tc>
        <w:tc>
          <w:tcPr>
            <w:tcW w:w="5013" w:type="dxa"/>
            <w:noWrap/>
            <w:vAlign w:val="center"/>
          </w:tcPr>
          <w:p w14:paraId="231C9BF8">
            <w:pPr>
              <w:spacing w:line="440" w:lineRule="exact"/>
              <w:jc w:val="center"/>
              <w:rPr>
                <w:rFonts w:hint="eastAsia" w:ascii="宋体" w:hAnsi="宋体" w:eastAsia="宋体" w:cs="宋体"/>
                <w:color w:val="auto"/>
                <w:sz w:val="21"/>
                <w:szCs w:val="21"/>
                <w:highlight w:val="none"/>
                <w:lang w:val="zh-CN"/>
              </w:rPr>
            </w:pPr>
          </w:p>
        </w:tc>
        <w:tc>
          <w:tcPr>
            <w:tcW w:w="884" w:type="dxa"/>
            <w:noWrap/>
            <w:vAlign w:val="center"/>
          </w:tcPr>
          <w:p w14:paraId="00247415">
            <w:pPr>
              <w:spacing w:line="440" w:lineRule="exact"/>
              <w:jc w:val="center"/>
              <w:rPr>
                <w:rFonts w:hint="eastAsia" w:ascii="宋体" w:hAnsi="宋体" w:eastAsia="宋体" w:cs="宋体"/>
                <w:color w:val="auto"/>
                <w:sz w:val="21"/>
                <w:szCs w:val="21"/>
                <w:highlight w:val="none"/>
                <w:lang w:val="zh-CN"/>
              </w:rPr>
            </w:pPr>
          </w:p>
        </w:tc>
        <w:tc>
          <w:tcPr>
            <w:tcW w:w="884" w:type="dxa"/>
            <w:noWrap/>
            <w:vAlign w:val="center"/>
          </w:tcPr>
          <w:p w14:paraId="5F9F0976">
            <w:pPr>
              <w:spacing w:line="440" w:lineRule="exact"/>
              <w:jc w:val="center"/>
              <w:rPr>
                <w:rFonts w:hint="eastAsia" w:ascii="宋体" w:hAnsi="宋体" w:eastAsia="宋体" w:cs="宋体"/>
                <w:color w:val="auto"/>
                <w:sz w:val="21"/>
                <w:szCs w:val="21"/>
                <w:highlight w:val="none"/>
                <w:lang w:val="zh-CN"/>
              </w:rPr>
            </w:pPr>
          </w:p>
        </w:tc>
        <w:tc>
          <w:tcPr>
            <w:tcW w:w="1179" w:type="dxa"/>
            <w:noWrap/>
            <w:vAlign w:val="center"/>
          </w:tcPr>
          <w:p w14:paraId="4E59607B">
            <w:pPr>
              <w:spacing w:line="440" w:lineRule="exact"/>
              <w:jc w:val="center"/>
              <w:rPr>
                <w:rFonts w:hint="eastAsia" w:ascii="宋体" w:hAnsi="宋体" w:eastAsia="宋体" w:cs="宋体"/>
                <w:color w:val="auto"/>
                <w:sz w:val="21"/>
                <w:szCs w:val="21"/>
                <w:highlight w:val="none"/>
                <w:lang w:val="zh-CN"/>
              </w:rPr>
            </w:pPr>
          </w:p>
        </w:tc>
      </w:tr>
      <w:tr w14:paraId="66071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0FC1D404">
            <w:pPr>
              <w:spacing w:line="440" w:lineRule="exact"/>
              <w:jc w:val="center"/>
              <w:rPr>
                <w:rFonts w:hint="eastAsia" w:ascii="宋体" w:hAnsi="宋体" w:eastAsia="宋体" w:cs="宋体"/>
                <w:color w:val="auto"/>
                <w:sz w:val="21"/>
                <w:szCs w:val="21"/>
                <w:highlight w:val="none"/>
                <w:lang w:val="zh-CN"/>
              </w:rPr>
            </w:pPr>
          </w:p>
        </w:tc>
        <w:tc>
          <w:tcPr>
            <w:tcW w:w="5013" w:type="dxa"/>
            <w:noWrap/>
            <w:vAlign w:val="center"/>
          </w:tcPr>
          <w:p w14:paraId="4D6C0293">
            <w:pPr>
              <w:spacing w:line="440" w:lineRule="exact"/>
              <w:jc w:val="center"/>
              <w:rPr>
                <w:rFonts w:hint="eastAsia" w:ascii="宋体" w:hAnsi="宋体" w:eastAsia="宋体" w:cs="宋体"/>
                <w:color w:val="auto"/>
                <w:sz w:val="21"/>
                <w:szCs w:val="21"/>
                <w:highlight w:val="none"/>
                <w:lang w:val="zh-CN"/>
              </w:rPr>
            </w:pPr>
          </w:p>
        </w:tc>
        <w:tc>
          <w:tcPr>
            <w:tcW w:w="884" w:type="dxa"/>
            <w:noWrap/>
            <w:vAlign w:val="center"/>
          </w:tcPr>
          <w:p w14:paraId="6CBE329C">
            <w:pPr>
              <w:spacing w:line="440" w:lineRule="exact"/>
              <w:jc w:val="center"/>
              <w:rPr>
                <w:rFonts w:hint="eastAsia" w:ascii="宋体" w:hAnsi="宋体" w:eastAsia="宋体" w:cs="宋体"/>
                <w:color w:val="auto"/>
                <w:sz w:val="21"/>
                <w:szCs w:val="21"/>
                <w:highlight w:val="none"/>
                <w:lang w:val="zh-CN"/>
              </w:rPr>
            </w:pPr>
          </w:p>
        </w:tc>
        <w:tc>
          <w:tcPr>
            <w:tcW w:w="884" w:type="dxa"/>
            <w:noWrap/>
            <w:vAlign w:val="center"/>
          </w:tcPr>
          <w:p w14:paraId="5BA184B1">
            <w:pPr>
              <w:spacing w:line="440" w:lineRule="exact"/>
              <w:jc w:val="center"/>
              <w:rPr>
                <w:rFonts w:hint="eastAsia" w:ascii="宋体" w:hAnsi="宋体" w:eastAsia="宋体" w:cs="宋体"/>
                <w:color w:val="auto"/>
                <w:sz w:val="21"/>
                <w:szCs w:val="21"/>
                <w:highlight w:val="none"/>
                <w:lang w:val="zh-CN"/>
              </w:rPr>
            </w:pPr>
          </w:p>
        </w:tc>
        <w:tc>
          <w:tcPr>
            <w:tcW w:w="1179" w:type="dxa"/>
            <w:noWrap/>
            <w:vAlign w:val="center"/>
          </w:tcPr>
          <w:p w14:paraId="63585D8B">
            <w:pPr>
              <w:spacing w:line="440" w:lineRule="exact"/>
              <w:jc w:val="center"/>
              <w:rPr>
                <w:rFonts w:hint="eastAsia" w:ascii="宋体" w:hAnsi="宋体" w:eastAsia="宋体" w:cs="宋体"/>
                <w:color w:val="auto"/>
                <w:sz w:val="21"/>
                <w:szCs w:val="21"/>
                <w:highlight w:val="none"/>
                <w:lang w:val="zh-CN"/>
              </w:rPr>
            </w:pPr>
          </w:p>
        </w:tc>
      </w:tr>
      <w:tr w14:paraId="38E5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9" w:type="dxa"/>
            <w:gridSpan w:val="2"/>
            <w:noWrap/>
            <w:vAlign w:val="center"/>
          </w:tcPr>
          <w:p w14:paraId="682179B0">
            <w:pPr>
              <w:spacing w:line="44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合计</w:t>
            </w:r>
          </w:p>
        </w:tc>
        <w:tc>
          <w:tcPr>
            <w:tcW w:w="2947" w:type="dxa"/>
            <w:gridSpan w:val="3"/>
            <w:noWrap/>
            <w:vAlign w:val="center"/>
          </w:tcPr>
          <w:p w14:paraId="00BE1900">
            <w:pPr>
              <w:spacing w:line="440" w:lineRule="exact"/>
              <w:jc w:val="center"/>
              <w:rPr>
                <w:rFonts w:hint="eastAsia" w:ascii="宋体" w:hAnsi="宋体" w:eastAsia="宋体" w:cs="宋体"/>
                <w:color w:val="auto"/>
                <w:sz w:val="21"/>
                <w:szCs w:val="21"/>
                <w:highlight w:val="none"/>
                <w:lang w:val="zh-CN"/>
              </w:rPr>
            </w:pPr>
          </w:p>
        </w:tc>
      </w:tr>
    </w:tbl>
    <w:p w14:paraId="5C3A5E61">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注：如上述表格不适用相关货物的，具体品牌、数量、规格型号（技术参数）及质保期等可用附件形式列明，作为本合同组成部分。……</w:t>
      </w:r>
    </w:p>
    <w:p w14:paraId="49530418">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第二条合同总金额</w:t>
      </w:r>
    </w:p>
    <w:p w14:paraId="5EFAFD02">
      <w:pPr>
        <w:spacing w:line="400" w:lineRule="exact"/>
        <w:ind w:firstLine="420" w:firstLineChars="200"/>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lang w:val="zh-CN"/>
        </w:rPr>
        <w:t>合同总金额为人民币（大写）：</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w:t>
      </w:r>
    </w:p>
    <w:p w14:paraId="2A7A87C9">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此价格为合同执行不变价，不因国家政策变化而变化，该价款包括货物及与之配套的设计、制造、正版软件、检验、包装、运输、保险、税费以及安装、组织验收、培训、技术服务（包括技术资料、图纸提供等）、质保期服务等全部价款，除此之外，甲方不再向乙方支付其他任何费用。……</w:t>
      </w:r>
    </w:p>
    <w:p w14:paraId="1814DC09">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第三条质量要求及技术标准</w:t>
      </w:r>
    </w:p>
    <w:p w14:paraId="344FD48C">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1.货物原产地：</w:t>
      </w:r>
    </w:p>
    <w:p w14:paraId="6B0F6087">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2.货物的质量要求：……</w:t>
      </w:r>
    </w:p>
    <w:p w14:paraId="36BADFCF">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3.货物的技术标准：……</w:t>
      </w:r>
    </w:p>
    <w:p w14:paraId="79AB959E">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第四条交货</w:t>
      </w:r>
    </w:p>
    <w:p w14:paraId="7D40AE8F">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1.交货日期：</w:t>
      </w:r>
    </w:p>
    <w:p w14:paraId="242D3BF8">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2.交货地点：……</w:t>
      </w:r>
    </w:p>
    <w:p w14:paraId="43A7DD57">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第五条包装、装运及运输</w:t>
      </w:r>
    </w:p>
    <w:p w14:paraId="062D93EC">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1.乙方负责包装、装运和运输，由于不适当的包装、装运和运输造成货物有任何损坏均由乙方负责。</w:t>
      </w:r>
    </w:p>
    <w:p w14:paraId="093537E5">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2.包装费、运费及相关费用已包含在合同总金额内。</w:t>
      </w:r>
    </w:p>
    <w:p w14:paraId="296F196B">
      <w:pPr>
        <w:autoSpaceDE w:val="0"/>
        <w:autoSpaceDN w:val="0"/>
        <w:adjustRightInd w:val="0"/>
        <w:spacing w:line="40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rPr>
        <w:t>根据财政部等三部门《关于印发&lt;商品包装政府采购需求标准（试行）&gt;、&lt;快递包装政府采购需求标准（试行）&gt;的通知》规定，对乙方提出的具体包装要求：</w:t>
      </w:r>
    </w:p>
    <w:p w14:paraId="6C21F646">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第六条货款支付</w:t>
      </w:r>
    </w:p>
    <w:p w14:paraId="1134FD01">
      <w:pPr>
        <w:tabs>
          <w:tab w:val="left" w:pos="840"/>
        </w:tabs>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1.货物运到交货地点，经甲乙双方共同验收合格后由甲方负责办理货款支付手续。</w:t>
      </w:r>
    </w:p>
    <w:p w14:paraId="7C728365">
      <w:pPr>
        <w:tabs>
          <w:tab w:val="left" w:pos="840"/>
        </w:tabs>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2.允许并鼓励乙方提供电子发票，甲方自收到发票之日起2个工作日内支付资金，并不得附加未经约定的其他条件。</w:t>
      </w:r>
    </w:p>
    <w:p w14:paraId="30306A33">
      <w:pPr>
        <w:tabs>
          <w:tab w:val="left" w:pos="840"/>
        </w:tabs>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3.付款方式</w:t>
      </w:r>
    </w:p>
    <w:p w14:paraId="6795BADC">
      <w:pPr>
        <w:tabs>
          <w:tab w:val="left" w:pos="840"/>
        </w:tabs>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3.1预付款比例：</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％，于政府采购合同签订生效并具备实施条件后2个工作日内支付。</w:t>
      </w:r>
    </w:p>
    <w:p w14:paraId="4029DEE3">
      <w:pPr>
        <w:tabs>
          <w:tab w:val="left" w:pos="840"/>
        </w:tabs>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第七条履约保证金</w:t>
      </w:r>
    </w:p>
    <w:p w14:paraId="584FB23E">
      <w:pPr>
        <w:autoSpaceDE w:val="0"/>
        <w:autoSpaceDN w:val="0"/>
        <w:adjustRightInd w:val="0"/>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根据许昌市优化政府采购营商环境要求，项目不收取履约保证金。</w:t>
      </w:r>
    </w:p>
    <w:p w14:paraId="4DFEC4E5">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第八条售后服务及承诺</w:t>
      </w:r>
    </w:p>
    <w:p w14:paraId="30FA29CE">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1.乙方有完善的服务体系，有能力提供持续的、本地化售后服务。</w:t>
      </w:r>
    </w:p>
    <w:p w14:paraId="64DCA088">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2.乙方负责系统安装和调试以及操作人员培训，并制定详细的培训计划，使操作人员能独立进行管理、操作、维护和故障处理等工作，做好相关记录及技术文档收集整理，待验收合格后移交给甲方。</w:t>
      </w:r>
    </w:p>
    <w:p w14:paraId="5E42E684">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3.供货及服务范围：乙方负责货物的供应、运输、安装调试、免费培训、售后服务。</w:t>
      </w:r>
    </w:p>
    <w:p w14:paraId="32F53A41">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第九条</w:t>
      </w:r>
      <w:r>
        <w:rPr>
          <w:rFonts w:hint="eastAsia" w:ascii="宋体" w:hAnsi="宋体" w:eastAsia="宋体" w:cs="宋体"/>
          <w:color w:val="auto"/>
          <w:kern w:val="1"/>
          <w:sz w:val="21"/>
          <w:szCs w:val="21"/>
          <w:highlight w:val="none"/>
        </w:rPr>
        <w:t>验收</w:t>
      </w:r>
    </w:p>
    <w:p w14:paraId="222383B9">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1.货物运抵现场后，采购人将对货物数量、质量、规格等进行检验。如发现货物和规格或者两者都与合同不符，采购人有权根据检验结果要求中标人立即更换或者提出索赔要求。</w:t>
      </w:r>
    </w:p>
    <w:p w14:paraId="049DE2E1">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2.开箱检查设备外观，如有损伤或质量缺陷，乙方应及时更换。</w:t>
      </w:r>
    </w:p>
    <w:p w14:paraId="18558A45">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3.依据合同设备清单，对设备品牌、规格型号（技术参数）、数量、质保书等必备附件进行检查。</w:t>
      </w:r>
    </w:p>
    <w:p w14:paraId="66B09A87">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货物由中标人进行安装，完毕后，采购人应对货物的数量、质量、规格、性能等进行详细而全面的检验。在收到乙方项目验收建议之日起7个工作日内，对采购项目进行实质性验收（验收建议有明显不当的除外）。</w:t>
      </w:r>
    </w:p>
    <w:p w14:paraId="5CDE56AF">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对大型或复杂的政府采购项目，以及特种设备，甲方应当邀请国家认可的质量检测机构参与验收工作，并出具验收报告，相关费用负担由甲乙双方约定，履约验收报告应当依法依规及时在河南省政府采购网公开发布。</w:t>
      </w:r>
    </w:p>
    <w:p w14:paraId="58E1DB5D">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6.根据财</w:t>
      </w:r>
      <w:r>
        <w:rPr>
          <w:rFonts w:hint="eastAsia" w:ascii="宋体" w:hAnsi="宋体" w:eastAsia="宋体" w:cs="宋体"/>
          <w:color w:val="auto"/>
          <w:sz w:val="21"/>
          <w:szCs w:val="21"/>
          <w:highlight w:val="none"/>
        </w:rPr>
        <w:t>政部等三部门《关于印发&lt;商品包装政府采购需求标准（试行）&gt;、&lt;快递包装政府采购需求标准（试行）&gt;的通知》规定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zh-CN"/>
        </w:rPr>
        <w:t>采购文件对商品包装和快递包装提出具体要求的，</w:t>
      </w:r>
      <w:r>
        <w:rPr>
          <w:rFonts w:hint="eastAsia" w:ascii="宋体" w:hAnsi="宋体" w:eastAsia="宋体" w:cs="宋体"/>
          <w:color w:val="auto"/>
          <w:sz w:val="21"/>
          <w:szCs w:val="21"/>
          <w:highlight w:val="none"/>
        </w:rPr>
        <w:t>对乙方所提供包装的履约验收要求（必要时要求乙方在履约验收环节出具检测报告）：</w:t>
      </w:r>
      <w:r>
        <w:rPr>
          <w:rFonts w:hint="eastAsia" w:ascii="宋体" w:hAnsi="宋体" w:eastAsia="宋体" w:cs="宋体"/>
          <w:color w:val="auto"/>
          <w:sz w:val="21"/>
          <w:szCs w:val="21"/>
          <w:highlight w:val="none"/>
          <w:u w:val="single"/>
          <w:lang w:val="zh-CN"/>
        </w:rPr>
        <w:t xml:space="preserve">                        </w:t>
      </w:r>
    </w:p>
    <w:p w14:paraId="7A6857CF">
      <w:pPr>
        <w:numPr>
          <w:ilvl w:val="0"/>
          <w:numId w:val="14"/>
        </w:numPr>
        <w:spacing w:line="40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权利瑕疵担当</w:t>
      </w:r>
    </w:p>
    <w:p w14:paraId="3BA38AD9">
      <w:pPr>
        <w:numPr>
          <w:ilvl w:val="0"/>
          <w:numId w:val="15"/>
        </w:numPr>
        <w:spacing w:line="40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乙方保证对其出售的标的物享有合法的权利；</w:t>
      </w:r>
    </w:p>
    <w:p w14:paraId="532470E0">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2.乙方应保证在其出售的标的物上不存在任何未曾向甲方透露的担保物权，如抵押权、质押权、留置权等；</w:t>
      </w:r>
    </w:p>
    <w:p w14:paraId="6909B82C">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3.乙方应保证其所出售的标的物没有侵害任何第三人的知识产权和商业秘密等权利；</w:t>
      </w:r>
    </w:p>
    <w:p w14:paraId="6C2A2DDC">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4.如甲方使用该标的物构成上述侵权的，则由乙方承担全部责任。</w:t>
      </w:r>
    </w:p>
    <w:p w14:paraId="5B5825BE">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第十一条知识产权</w:t>
      </w:r>
    </w:p>
    <w:p w14:paraId="141FE781">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乙方保证，甲方在使用该货物或者货物的任何一部分时，免受第三方提出的侵犯其专利权、商标权或其他知识产权的起诉。如发生此类纠纷，由乙方承担一切责任；如因此给甲方造成损失的，乙方负责全额赔偿。</w:t>
      </w:r>
    </w:p>
    <w:p w14:paraId="063569F8">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2.乙方为执行本合同而提供的技术资料或者其他相关资料、软件等由甲方永久免费使用。</w:t>
      </w:r>
    </w:p>
    <w:p w14:paraId="1DC739F8">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第十二条甲方责任</w:t>
      </w:r>
    </w:p>
    <w:p w14:paraId="7047309D">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1.及时办理付款手续。</w:t>
      </w:r>
    </w:p>
    <w:p w14:paraId="634C6877">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2.负责提供工作场地，协助乙方办理有关事宜。</w:t>
      </w:r>
    </w:p>
    <w:p w14:paraId="331C5172">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3.对合同条款及所知悉的乙方商业秘密负有保密义务。</w:t>
      </w:r>
    </w:p>
    <w:p w14:paraId="66960AAF">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第十三条乙方责任</w:t>
      </w:r>
    </w:p>
    <w:p w14:paraId="40117B42">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1.保证所供货物均为投标文件承诺的货物，符合相关质量检测标准，具有该产品的出厂标准或国家鉴定证书，保证其全部部件为全新的未使用的且符合相关质量要求。</w:t>
      </w:r>
    </w:p>
    <w:p w14:paraId="5D263390">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2.保证货物的售后服务，严格依据投标文件及相关承诺，对货物及系统进行保修、维护等服务。</w:t>
      </w:r>
    </w:p>
    <w:p w14:paraId="56FE074C">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3.保证其所供货物不存在侵犯第三方知识产权的行为，否则由此产生的损失由乙方承担。</w:t>
      </w:r>
    </w:p>
    <w:p w14:paraId="71E88963">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第十四条违约责任</w:t>
      </w:r>
    </w:p>
    <w:p w14:paraId="054C7D66">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1.甲乙双方任意一方无故终止合同的，违约方应当按照合同总金额的%向守约方支付违约金。</w:t>
      </w:r>
    </w:p>
    <w:p w14:paraId="465B9E2E">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2.乙方逾期交付货物时，每逾</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日乙方向甲方支付合同总金额</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‰的滞纳金。逾期交货超过</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日的，甲方有权决定是否继续履行合同，如甲方决定终止履行合同的，乙方应按照第1款的规定赔偿甲方违约金。</w:t>
      </w:r>
    </w:p>
    <w:p w14:paraId="7F66AC4A">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3.乙方所供货物品牌、规格型号、质量等不符合合同约定标准，甲方有权拒收，以及甲方收货后，发现产品出现质量问题不能使用的，甲方有权终止合同，同时，乙方向甲方支付合同总金额</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%的违约金，如果违约金不足以支付甲方所受损失的，甲方有权要求其赔偿。</w:t>
      </w:r>
    </w:p>
    <w:p w14:paraId="7F3261E6">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4.在质保期内产品出现质量问题，乙方必须在接到甲方通知后</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小时内到达现场解决，否则甲方有权另请单位解决，由此产生的费用由乙方承担，产生的损失由乙方赔偿。</w:t>
      </w:r>
    </w:p>
    <w:p w14:paraId="1CD98F95">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5.甲方逾期支付资金的违约责任：</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w:t>
      </w:r>
    </w:p>
    <w:p w14:paraId="2665D306">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6.因甲方原因导致变更、中止或者终止政府采购合同的，甲方对供应商受到的损失予以赔偿或者补偿：</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w:t>
      </w:r>
    </w:p>
    <w:p w14:paraId="34590049">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7.甲乙双方违背其他合同条款，违约方赔偿对方损失。</w:t>
      </w:r>
    </w:p>
    <w:p w14:paraId="4B229718">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第十五条不可抗力</w:t>
      </w:r>
    </w:p>
    <w:p w14:paraId="7D48C362">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甲乙双方的任何一方由于不可抗力不能履行合同时，应当及时通知对方不能履行或不能完全履行的情况和理由；在取得有关主管机关证明后，允许延期履行、部分履行或者终止履行合同的，根据情况可</w:t>
      </w:r>
      <w:r>
        <w:rPr>
          <w:rFonts w:hint="eastAsia" w:ascii="宋体" w:hAnsi="宋体" w:eastAsia="宋体" w:cs="宋体"/>
          <w:color w:val="auto"/>
          <w:sz w:val="21"/>
          <w:szCs w:val="21"/>
          <w:highlight w:val="none"/>
          <w:lang w:val="en-US" w:eastAsia="zh-CN"/>
        </w:rPr>
        <w:t>以</w:t>
      </w:r>
      <w:r>
        <w:rPr>
          <w:rFonts w:hint="eastAsia" w:ascii="宋体" w:hAnsi="宋体" w:eastAsia="宋体" w:cs="宋体"/>
          <w:color w:val="auto"/>
          <w:sz w:val="21"/>
          <w:szCs w:val="21"/>
          <w:highlight w:val="none"/>
          <w:lang w:val="zh-CN"/>
        </w:rPr>
        <w:t>部分或全部免予承担违约责任。</w:t>
      </w:r>
    </w:p>
    <w:p w14:paraId="0FC5D6BA">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第十六条保密</w:t>
      </w:r>
    </w:p>
    <w:p w14:paraId="490CB24C">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1EC5F2A7">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乙方违反本合同所规定的保密义务，应按照本合同总金额的</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%支付违约金。</w:t>
      </w:r>
    </w:p>
    <w:p w14:paraId="6597B862">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第十七条争议解决</w:t>
      </w:r>
    </w:p>
    <w:p w14:paraId="0BDAFD37">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甲乙双方在合同履行中发生争议，应通过协商解决。如协商不成，可以向合同签订地法院提起诉讼。</w:t>
      </w:r>
    </w:p>
    <w:p w14:paraId="4BBA4C45">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第十八条合同生效及其它</w:t>
      </w:r>
    </w:p>
    <w:p w14:paraId="170D32A2">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1.除招标文件规定且甲方事先书面同意外，乙方不得部分或者全部转让、分包履行其应履行的合同项下的义务。</w:t>
      </w:r>
    </w:p>
    <w:p w14:paraId="15FEF855">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2.合同由甲、乙双方法定代表人（或者授权代表）签字并加盖单位公章，以最后一方签字日期为合同生效日期。</w:t>
      </w:r>
    </w:p>
    <w:p w14:paraId="16D32BCE">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3.本合同一式份，甲方</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份，乙方</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份。</w:t>
      </w:r>
    </w:p>
    <w:p w14:paraId="1C7A59D0">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第十九条  政府采购合同融资</w:t>
      </w:r>
    </w:p>
    <w:p w14:paraId="1086FF1D">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在政府采购合同签订前开展融资业务的。中标（成交）供应商持政府采购中标（成交）通知书提前与金融机构进行合同融资商洽，双方达成融资意向后，中标（成交）供应商与采购人签订政府采购合同，合同中供应商的银行账户要与合同融资的回款账户一致。中标（成交）供应商和贷款金融机构要及时将政府采购合同作为融资质押的信息告知采购人。采购人要从严加强合同付款账户管理，未经贷款银行同意，不随意更改合同付款账户。</w:t>
      </w:r>
    </w:p>
    <w:p w14:paraId="44F7519F">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政府采购合同签订后开展融资的账户管理。在合同履约期间，中标（成交）供应商持已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拟贷款银行回款账户一致。</w:t>
      </w:r>
    </w:p>
    <w:p w14:paraId="561B6E96">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14:paraId="628A29C9">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第二十条本合同附件</w:t>
      </w:r>
    </w:p>
    <w:p w14:paraId="24BCAA1E">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1.中标通知书；</w:t>
      </w:r>
    </w:p>
    <w:p w14:paraId="2CFD5030">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2.政府采购招标文件（含招标文件的澄清、修改等）；</w:t>
      </w:r>
    </w:p>
    <w:p w14:paraId="0E55DD6F">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3.乙方投标文件；</w:t>
      </w:r>
    </w:p>
    <w:p w14:paraId="032C2F4D">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4.中标人在评标过程中做出的有关澄清、说明、承诺或者补正文件（材料）。</w:t>
      </w:r>
    </w:p>
    <w:p w14:paraId="7DFE9CCA">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p w14:paraId="0F4956EB">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甲   方：                               乙   方：</w:t>
      </w:r>
    </w:p>
    <w:p w14:paraId="7A76B7E3">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单位名称（公章）：                        单位名称（公章）：</w:t>
      </w:r>
    </w:p>
    <w:p w14:paraId="1576BE1E">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法定代表人（授权代表）签字：            法定代表人（授权代表）签字：</w:t>
      </w:r>
    </w:p>
    <w:p w14:paraId="412D9C5C">
      <w:pPr>
        <w:spacing w:line="40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电   话：                               电   话：</w:t>
      </w:r>
    </w:p>
    <w:p w14:paraId="09D1E94B">
      <w:pPr>
        <w:spacing w:line="400" w:lineRule="exact"/>
        <w:ind w:firstLine="420" w:firstLineChars="200"/>
        <w:rPr>
          <w:rFonts w:hint="eastAsia" w:ascii="宋体" w:hAnsi="宋体" w:eastAsia="宋体" w:cs="宋体"/>
          <w:color w:val="auto"/>
          <w:sz w:val="21"/>
          <w:szCs w:val="21"/>
          <w:highlight w:val="none"/>
          <w:lang w:val="zh-CN"/>
        </w:rPr>
      </w:pPr>
    </w:p>
    <w:p w14:paraId="6B9D2EEC">
      <w:pPr>
        <w:spacing w:line="360" w:lineRule="auto"/>
        <w:contextualSpacing/>
        <w:jc w:val="center"/>
        <w:rPr>
          <w:rFonts w:hint="eastAsia" w:ascii="宋体" w:hAnsi="宋体" w:eastAsia="宋体" w:cs="宋体"/>
          <w:b/>
          <w:color w:val="auto"/>
          <w:kern w:val="0"/>
          <w:sz w:val="21"/>
          <w:szCs w:val="21"/>
          <w:highlight w:val="none"/>
        </w:rPr>
      </w:pPr>
      <w:r>
        <w:rPr>
          <w:rFonts w:hint="eastAsia" w:ascii="宋体" w:hAnsi="宋体" w:eastAsia="宋体" w:cs="宋体"/>
          <w:color w:val="auto"/>
          <w:sz w:val="21"/>
          <w:szCs w:val="21"/>
          <w:highlight w:val="none"/>
          <w:lang w:val="zh-CN"/>
        </w:rPr>
        <w:t>年  月  日                                 年  月  日</w:t>
      </w:r>
    </w:p>
    <w:p w14:paraId="65166305">
      <w:pPr>
        <w:pStyle w:val="17"/>
        <w:spacing w:line="360" w:lineRule="auto"/>
        <w:contextualSpacing/>
        <w:jc w:val="center"/>
        <w:rPr>
          <w:rFonts w:hint="eastAsia" w:ascii="宋体" w:hAnsi="宋体" w:eastAsia="宋体" w:cs="宋体"/>
          <w:b/>
          <w:color w:val="auto"/>
          <w:kern w:val="0"/>
          <w:sz w:val="21"/>
          <w:szCs w:val="21"/>
          <w:highlight w:val="none"/>
        </w:rPr>
      </w:pPr>
    </w:p>
    <w:p w14:paraId="2101F10B">
      <w:pPr>
        <w:pStyle w:val="17"/>
        <w:spacing w:line="360" w:lineRule="auto"/>
        <w:contextualSpacing/>
        <w:jc w:val="center"/>
        <w:rPr>
          <w:rFonts w:hint="eastAsia" w:ascii="宋体" w:hAnsi="宋体" w:eastAsia="宋体" w:cs="宋体"/>
          <w:b/>
          <w:color w:val="auto"/>
          <w:kern w:val="0"/>
          <w:sz w:val="36"/>
          <w:szCs w:val="36"/>
          <w:highlight w:val="none"/>
        </w:rPr>
      </w:pPr>
    </w:p>
    <w:p w14:paraId="27BC1E11">
      <w:pPr>
        <w:pStyle w:val="17"/>
        <w:spacing w:line="360" w:lineRule="auto"/>
        <w:contextualSpacing/>
        <w:jc w:val="center"/>
        <w:rPr>
          <w:rFonts w:hint="eastAsia" w:ascii="宋体" w:hAnsi="宋体" w:eastAsia="宋体" w:cs="宋体"/>
          <w:b/>
          <w:color w:val="auto"/>
          <w:kern w:val="0"/>
          <w:sz w:val="36"/>
          <w:szCs w:val="36"/>
          <w:highlight w:val="none"/>
        </w:rPr>
      </w:pPr>
    </w:p>
    <w:p w14:paraId="69760A1C">
      <w:pPr>
        <w:pStyle w:val="17"/>
        <w:spacing w:line="360" w:lineRule="auto"/>
        <w:contextualSpacing/>
        <w:rPr>
          <w:rFonts w:hint="eastAsia" w:ascii="宋体" w:hAnsi="宋体" w:eastAsia="宋体" w:cs="宋体"/>
          <w:b/>
          <w:color w:val="auto"/>
          <w:kern w:val="0"/>
          <w:sz w:val="36"/>
          <w:szCs w:val="36"/>
          <w:highlight w:val="none"/>
        </w:rPr>
      </w:pPr>
    </w:p>
    <w:p w14:paraId="0D3296F3">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第八章投标文件有关格式</w:t>
      </w:r>
    </w:p>
    <w:p w14:paraId="4155F75D">
      <w:pPr>
        <w:spacing w:line="480" w:lineRule="exact"/>
        <w:ind w:firstLine="540" w:firstLineChars="192"/>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注：</w:t>
      </w:r>
    </w:p>
    <w:p w14:paraId="57DF4A54">
      <w:pPr>
        <w:spacing w:line="480" w:lineRule="exact"/>
        <w:ind w:firstLine="463" w:firstLineChars="192"/>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1.以下的投标文件格式为通用的格式，投标人在制作投标文件时应以招标文件内容要求为准，选择相应的投标文件格式。</w:t>
      </w:r>
    </w:p>
    <w:p w14:paraId="041BFC2A">
      <w:pPr>
        <w:spacing w:line="480" w:lineRule="exact"/>
        <w:ind w:firstLine="463" w:firstLineChars="192"/>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2.没有给定格式的，投标人可以自行设计。</w:t>
      </w:r>
    </w:p>
    <w:p w14:paraId="353C3C4F">
      <w:pPr>
        <w:pStyle w:val="27"/>
        <w:rPr>
          <w:rFonts w:hint="eastAsia" w:ascii="宋体" w:hAnsi="宋体" w:eastAsia="宋体" w:cs="宋体"/>
          <w:color w:val="auto"/>
          <w:highlight w:val="none"/>
          <w:lang w:val="zh-CN"/>
        </w:rPr>
      </w:pPr>
    </w:p>
    <w:p w14:paraId="73BC8C36">
      <w:pPr>
        <w:pStyle w:val="28"/>
        <w:rPr>
          <w:rFonts w:hint="eastAsia" w:ascii="宋体" w:hAnsi="宋体" w:eastAsia="宋体" w:cs="宋体"/>
          <w:color w:val="auto"/>
          <w:highlight w:val="none"/>
          <w:lang w:val="zh-CN"/>
        </w:rPr>
      </w:pPr>
    </w:p>
    <w:p w14:paraId="1CFE7B30">
      <w:pPr>
        <w:rPr>
          <w:rFonts w:hint="eastAsia" w:ascii="宋体" w:hAnsi="宋体" w:eastAsia="宋体" w:cs="宋体"/>
          <w:color w:val="auto"/>
          <w:highlight w:val="none"/>
          <w:lang w:val="zh-CN"/>
        </w:rPr>
      </w:pPr>
    </w:p>
    <w:p w14:paraId="1AF5FCBE">
      <w:pPr>
        <w:pStyle w:val="11"/>
        <w:rPr>
          <w:rFonts w:hint="eastAsia" w:ascii="宋体" w:hAnsi="宋体" w:eastAsia="宋体" w:cs="宋体"/>
          <w:color w:val="auto"/>
          <w:highlight w:val="none"/>
          <w:lang w:val="zh-CN"/>
        </w:rPr>
      </w:pPr>
    </w:p>
    <w:p w14:paraId="7D0F5F2B">
      <w:pPr>
        <w:pStyle w:val="24"/>
        <w:rPr>
          <w:rFonts w:hint="eastAsia" w:ascii="宋体" w:hAnsi="宋体" w:eastAsia="宋体" w:cs="宋体"/>
          <w:color w:val="auto"/>
          <w:highlight w:val="none"/>
          <w:lang w:val="zh-CN"/>
        </w:rPr>
      </w:pPr>
    </w:p>
    <w:p w14:paraId="298D65E4">
      <w:pPr>
        <w:pStyle w:val="24"/>
        <w:rPr>
          <w:rFonts w:hint="eastAsia" w:ascii="宋体" w:hAnsi="宋体" w:eastAsia="宋体" w:cs="宋体"/>
          <w:color w:val="auto"/>
          <w:highlight w:val="none"/>
          <w:lang w:val="zh-CN"/>
        </w:rPr>
      </w:pPr>
    </w:p>
    <w:p w14:paraId="7BA82B8B">
      <w:pPr>
        <w:pStyle w:val="24"/>
        <w:rPr>
          <w:rFonts w:hint="eastAsia" w:ascii="宋体" w:hAnsi="宋体" w:eastAsia="宋体" w:cs="宋体"/>
          <w:color w:val="auto"/>
          <w:highlight w:val="none"/>
          <w:lang w:val="zh-CN"/>
        </w:rPr>
      </w:pPr>
    </w:p>
    <w:p w14:paraId="04B4D70C">
      <w:pPr>
        <w:pStyle w:val="24"/>
        <w:rPr>
          <w:rFonts w:hint="eastAsia" w:ascii="宋体" w:hAnsi="宋体" w:eastAsia="宋体" w:cs="宋体"/>
          <w:color w:val="auto"/>
          <w:highlight w:val="none"/>
          <w:lang w:val="zh-CN"/>
        </w:rPr>
      </w:pPr>
    </w:p>
    <w:p w14:paraId="067F1D0D">
      <w:pPr>
        <w:pStyle w:val="24"/>
        <w:rPr>
          <w:rFonts w:hint="eastAsia" w:ascii="宋体" w:hAnsi="宋体" w:eastAsia="宋体" w:cs="宋体"/>
          <w:color w:val="auto"/>
          <w:highlight w:val="none"/>
          <w:lang w:val="zh-CN"/>
        </w:rPr>
      </w:pPr>
    </w:p>
    <w:p w14:paraId="604E480C">
      <w:pPr>
        <w:pStyle w:val="24"/>
        <w:rPr>
          <w:rFonts w:hint="eastAsia" w:ascii="宋体" w:hAnsi="宋体" w:eastAsia="宋体" w:cs="宋体"/>
          <w:color w:val="auto"/>
          <w:highlight w:val="none"/>
          <w:lang w:val="zh-CN"/>
        </w:rPr>
      </w:pPr>
    </w:p>
    <w:p w14:paraId="4152DA2B">
      <w:pPr>
        <w:pStyle w:val="24"/>
        <w:rPr>
          <w:rFonts w:hint="eastAsia" w:ascii="宋体" w:hAnsi="宋体" w:eastAsia="宋体" w:cs="宋体"/>
          <w:color w:val="auto"/>
          <w:highlight w:val="none"/>
          <w:lang w:val="zh-CN"/>
        </w:rPr>
      </w:pPr>
    </w:p>
    <w:p w14:paraId="56B3C49B">
      <w:pPr>
        <w:pStyle w:val="24"/>
        <w:rPr>
          <w:rFonts w:hint="eastAsia" w:ascii="宋体" w:hAnsi="宋体" w:eastAsia="宋体" w:cs="宋体"/>
          <w:color w:val="auto"/>
          <w:highlight w:val="none"/>
          <w:lang w:val="zh-CN"/>
        </w:rPr>
      </w:pPr>
    </w:p>
    <w:p w14:paraId="5CD069E4">
      <w:pPr>
        <w:pStyle w:val="24"/>
        <w:rPr>
          <w:rFonts w:hint="eastAsia" w:ascii="宋体" w:hAnsi="宋体" w:eastAsia="宋体" w:cs="宋体"/>
          <w:color w:val="auto"/>
          <w:highlight w:val="none"/>
          <w:lang w:val="zh-CN"/>
        </w:rPr>
      </w:pPr>
    </w:p>
    <w:p w14:paraId="5F355A2E">
      <w:pPr>
        <w:pStyle w:val="24"/>
        <w:rPr>
          <w:rFonts w:hint="eastAsia" w:ascii="宋体" w:hAnsi="宋体" w:eastAsia="宋体" w:cs="宋体"/>
          <w:color w:val="auto"/>
          <w:highlight w:val="none"/>
          <w:lang w:val="zh-CN"/>
        </w:rPr>
      </w:pPr>
    </w:p>
    <w:p w14:paraId="3D06C568">
      <w:pPr>
        <w:pStyle w:val="24"/>
        <w:rPr>
          <w:rFonts w:hint="eastAsia" w:ascii="宋体" w:hAnsi="宋体" w:eastAsia="宋体" w:cs="宋体"/>
          <w:color w:val="auto"/>
          <w:highlight w:val="none"/>
          <w:lang w:val="zh-CN"/>
        </w:rPr>
      </w:pPr>
    </w:p>
    <w:p w14:paraId="242DBC25">
      <w:pPr>
        <w:pStyle w:val="69"/>
        <w:numPr>
          <w:ilvl w:val="0"/>
          <w:numId w:val="0"/>
        </w:numPr>
        <w:tabs>
          <w:tab w:val="left" w:pos="660"/>
        </w:tabs>
        <w:snapToGrid w:val="0"/>
        <w:spacing w:before="0" w:line="400" w:lineRule="exact"/>
        <w:jc w:val="center"/>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一、供应商应答索引表</w:t>
      </w:r>
    </w:p>
    <w:tbl>
      <w:tblPr>
        <w:tblStyle w:val="29"/>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5CEE2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6892680E">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3751" w:type="dxa"/>
            <w:vAlign w:val="center"/>
          </w:tcPr>
          <w:p w14:paraId="47C338B8">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  目</w:t>
            </w:r>
          </w:p>
        </w:tc>
        <w:tc>
          <w:tcPr>
            <w:tcW w:w="1559" w:type="dxa"/>
            <w:vAlign w:val="center"/>
          </w:tcPr>
          <w:p w14:paraId="21ACACA8">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投标人应答</w:t>
            </w:r>
          </w:p>
          <w:p w14:paraId="272348E5">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（有/没有）</w:t>
            </w:r>
          </w:p>
        </w:tc>
        <w:tc>
          <w:tcPr>
            <w:tcW w:w="1560" w:type="dxa"/>
            <w:vAlign w:val="center"/>
          </w:tcPr>
          <w:p w14:paraId="1DAF68A2">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投标文件中所在页码</w:t>
            </w:r>
          </w:p>
        </w:tc>
        <w:tc>
          <w:tcPr>
            <w:tcW w:w="2018" w:type="dxa"/>
            <w:vAlign w:val="center"/>
          </w:tcPr>
          <w:p w14:paraId="42D97203">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备注说明</w:t>
            </w:r>
          </w:p>
        </w:tc>
      </w:tr>
      <w:tr w14:paraId="4E232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FE0050F">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751" w:type="dxa"/>
            <w:vAlign w:val="center"/>
          </w:tcPr>
          <w:p w14:paraId="0E1E6571">
            <w:pPr>
              <w:pStyle w:val="17"/>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投标人应答索引表</w:t>
            </w:r>
          </w:p>
        </w:tc>
        <w:tc>
          <w:tcPr>
            <w:tcW w:w="1559" w:type="dxa"/>
            <w:vAlign w:val="center"/>
          </w:tcPr>
          <w:p w14:paraId="7CF6CC11">
            <w:pPr>
              <w:snapToGrid w:val="0"/>
              <w:spacing w:line="400" w:lineRule="exact"/>
              <w:jc w:val="center"/>
              <w:rPr>
                <w:rFonts w:hint="eastAsia" w:ascii="宋体" w:hAnsi="宋体" w:eastAsia="宋体" w:cs="宋体"/>
                <w:color w:val="auto"/>
                <w:szCs w:val="21"/>
                <w:highlight w:val="none"/>
              </w:rPr>
            </w:pPr>
          </w:p>
        </w:tc>
        <w:tc>
          <w:tcPr>
            <w:tcW w:w="1560" w:type="dxa"/>
            <w:vAlign w:val="center"/>
          </w:tcPr>
          <w:p w14:paraId="21DE2A79">
            <w:pPr>
              <w:snapToGrid w:val="0"/>
              <w:spacing w:line="400" w:lineRule="exact"/>
              <w:rPr>
                <w:rFonts w:hint="eastAsia" w:ascii="宋体" w:hAnsi="宋体" w:eastAsia="宋体" w:cs="宋体"/>
                <w:color w:val="auto"/>
                <w:szCs w:val="21"/>
                <w:highlight w:val="none"/>
              </w:rPr>
            </w:pPr>
          </w:p>
        </w:tc>
        <w:tc>
          <w:tcPr>
            <w:tcW w:w="2018" w:type="dxa"/>
            <w:vAlign w:val="center"/>
          </w:tcPr>
          <w:p w14:paraId="721D1F86">
            <w:pPr>
              <w:snapToGrid w:val="0"/>
              <w:spacing w:line="400" w:lineRule="exact"/>
              <w:rPr>
                <w:rFonts w:hint="eastAsia" w:ascii="宋体" w:hAnsi="宋体" w:eastAsia="宋体" w:cs="宋体"/>
                <w:color w:val="auto"/>
                <w:szCs w:val="21"/>
                <w:highlight w:val="none"/>
              </w:rPr>
            </w:pPr>
          </w:p>
        </w:tc>
      </w:tr>
      <w:tr w14:paraId="3B5D2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A4EC162">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751" w:type="dxa"/>
            <w:vAlign w:val="center"/>
          </w:tcPr>
          <w:p w14:paraId="5CB1DDE6">
            <w:pPr>
              <w:pStyle w:val="17"/>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开标一览表</w:t>
            </w:r>
          </w:p>
        </w:tc>
        <w:tc>
          <w:tcPr>
            <w:tcW w:w="1559" w:type="dxa"/>
            <w:vAlign w:val="center"/>
          </w:tcPr>
          <w:p w14:paraId="0C8F6ADF">
            <w:pPr>
              <w:snapToGrid w:val="0"/>
              <w:spacing w:line="400" w:lineRule="exact"/>
              <w:jc w:val="center"/>
              <w:rPr>
                <w:rFonts w:hint="eastAsia" w:ascii="宋体" w:hAnsi="宋体" w:eastAsia="宋体" w:cs="宋体"/>
                <w:color w:val="auto"/>
                <w:szCs w:val="21"/>
                <w:highlight w:val="none"/>
              </w:rPr>
            </w:pPr>
          </w:p>
        </w:tc>
        <w:tc>
          <w:tcPr>
            <w:tcW w:w="1560" w:type="dxa"/>
            <w:vAlign w:val="center"/>
          </w:tcPr>
          <w:p w14:paraId="40FBFAE4">
            <w:pPr>
              <w:snapToGrid w:val="0"/>
              <w:spacing w:line="400" w:lineRule="exact"/>
              <w:rPr>
                <w:rFonts w:hint="eastAsia" w:ascii="宋体" w:hAnsi="宋体" w:eastAsia="宋体" w:cs="宋体"/>
                <w:color w:val="auto"/>
                <w:szCs w:val="21"/>
                <w:highlight w:val="none"/>
              </w:rPr>
            </w:pPr>
          </w:p>
        </w:tc>
        <w:tc>
          <w:tcPr>
            <w:tcW w:w="2018" w:type="dxa"/>
            <w:vAlign w:val="center"/>
          </w:tcPr>
          <w:p w14:paraId="4745FF83">
            <w:pPr>
              <w:snapToGrid w:val="0"/>
              <w:spacing w:line="400" w:lineRule="exact"/>
              <w:rPr>
                <w:rFonts w:hint="eastAsia" w:ascii="宋体" w:hAnsi="宋体" w:eastAsia="宋体" w:cs="宋体"/>
                <w:color w:val="auto"/>
                <w:szCs w:val="21"/>
                <w:highlight w:val="none"/>
              </w:rPr>
            </w:pPr>
          </w:p>
        </w:tc>
      </w:tr>
      <w:tr w14:paraId="04CDE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B408576">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751" w:type="dxa"/>
            <w:vAlign w:val="center"/>
          </w:tcPr>
          <w:p w14:paraId="2B46488D">
            <w:pPr>
              <w:pStyle w:val="17"/>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投标函</w:t>
            </w:r>
          </w:p>
        </w:tc>
        <w:tc>
          <w:tcPr>
            <w:tcW w:w="1559" w:type="dxa"/>
            <w:vAlign w:val="center"/>
          </w:tcPr>
          <w:p w14:paraId="6E56E706">
            <w:pPr>
              <w:snapToGrid w:val="0"/>
              <w:spacing w:line="400" w:lineRule="exact"/>
              <w:jc w:val="center"/>
              <w:rPr>
                <w:rFonts w:hint="eastAsia" w:ascii="宋体" w:hAnsi="宋体" w:eastAsia="宋体" w:cs="宋体"/>
                <w:color w:val="auto"/>
                <w:szCs w:val="21"/>
                <w:highlight w:val="none"/>
              </w:rPr>
            </w:pPr>
          </w:p>
        </w:tc>
        <w:tc>
          <w:tcPr>
            <w:tcW w:w="1560" w:type="dxa"/>
            <w:vAlign w:val="center"/>
          </w:tcPr>
          <w:p w14:paraId="05816144">
            <w:pPr>
              <w:snapToGrid w:val="0"/>
              <w:spacing w:line="400" w:lineRule="exact"/>
              <w:rPr>
                <w:rFonts w:hint="eastAsia" w:ascii="宋体" w:hAnsi="宋体" w:eastAsia="宋体" w:cs="宋体"/>
                <w:color w:val="auto"/>
                <w:szCs w:val="21"/>
                <w:highlight w:val="none"/>
              </w:rPr>
            </w:pPr>
          </w:p>
        </w:tc>
        <w:tc>
          <w:tcPr>
            <w:tcW w:w="2018" w:type="dxa"/>
            <w:vAlign w:val="center"/>
          </w:tcPr>
          <w:p w14:paraId="7C48AFB7">
            <w:pPr>
              <w:snapToGrid w:val="0"/>
              <w:spacing w:line="400" w:lineRule="exact"/>
              <w:rPr>
                <w:rFonts w:hint="eastAsia" w:ascii="宋体" w:hAnsi="宋体" w:eastAsia="宋体" w:cs="宋体"/>
                <w:color w:val="auto"/>
                <w:szCs w:val="21"/>
                <w:highlight w:val="none"/>
              </w:rPr>
            </w:pPr>
          </w:p>
        </w:tc>
      </w:tr>
      <w:tr w14:paraId="27BBA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1239989">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751" w:type="dxa"/>
            <w:vAlign w:val="center"/>
          </w:tcPr>
          <w:p w14:paraId="5EDD8F21">
            <w:pPr>
              <w:pStyle w:val="17"/>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zh-CN"/>
              </w:rPr>
              <w:t>法定代表人（单位负责人）资格证明书</w:t>
            </w:r>
          </w:p>
        </w:tc>
        <w:tc>
          <w:tcPr>
            <w:tcW w:w="1559" w:type="dxa"/>
            <w:vAlign w:val="center"/>
          </w:tcPr>
          <w:p w14:paraId="4E802936">
            <w:pPr>
              <w:snapToGrid w:val="0"/>
              <w:spacing w:line="400" w:lineRule="exact"/>
              <w:jc w:val="center"/>
              <w:rPr>
                <w:rFonts w:hint="eastAsia" w:ascii="宋体" w:hAnsi="宋体" w:eastAsia="宋体" w:cs="宋体"/>
                <w:color w:val="auto"/>
                <w:szCs w:val="21"/>
                <w:highlight w:val="none"/>
              </w:rPr>
            </w:pPr>
          </w:p>
        </w:tc>
        <w:tc>
          <w:tcPr>
            <w:tcW w:w="1560" w:type="dxa"/>
            <w:vAlign w:val="center"/>
          </w:tcPr>
          <w:p w14:paraId="1B518114">
            <w:pPr>
              <w:snapToGrid w:val="0"/>
              <w:spacing w:line="400" w:lineRule="exact"/>
              <w:rPr>
                <w:rFonts w:hint="eastAsia" w:ascii="宋体" w:hAnsi="宋体" w:eastAsia="宋体" w:cs="宋体"/>
                <w:color w:val="auto"/>
                <w:szCs w:val="21"/>
                <w:highlight w:val="none"/>
              </w:rPr>
            </w:pPr>
          </w:p>
        </w:tc>
        <w:tc>
          <w:tcPr>
            <w:tcW w:w="2018" w:type="dxa"/>
            <w:vAlign w:val="center"/>
          </w:tcPr>
          <w:p w14:paraId="27801C36">
            <w:pPr>
              <w:snapToGrid w:val="0"/>
              <w:spacing w:line="400" w:lineRule="exact"/>
              <w:rPr>
                <w:rFonts w:hint="eastAsia" w:ascii="宋体" w:hAnsi="宋体" w:eastAsia="宋体" w:cs="宋体"/>
                <w:color w:val="auto"/>
                <w:szCs w:val="21"/>
                <w:highlight w:val="none"/>
              </w:rPr>
            </w:pPr>
          </w:p>
        </w:tc>
      </w:tr>
      <w:tr w14:paraId="351E5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E621E21">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751" w:type="dxa"/>
            <w:vAlign w:val="center"/>
          </w:tcPr>
          <w:p w14:paraId="4087E454">
            <w:pPr>
              <w:pStyle w:val="17"/>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法定代表人（单位负责人）授权书</w:t>
            </w:r>
          </w:p>
        </w:tc>
        <w:tc>
          <w:tcPr>
            <w:tcW w:w="1559" w:type="dxa"/>
            <w:vAlign w:val="center"/>
          </w:tcPr>
          <w:p w14:paraId="34923AAE">
            <w:pPr>
              <w:snapToGrid w:val="0"/>
              <w:spacing w:line="400" w:lineRule="exact"/>
              <w:jc w:val="center"/>
              <w:rPr>
                <w:rFonts w:hint="eastAsia" w:ascii="宋体" w:hAnsi="宋体" w:eastAsia="宋体" w:cs="宋体"/>
                <w:color w:val="auto"/>
                <w:szCs w:val="21"/>
                <w:highlight w:val="none"/>
              </w:rPr>
            </w:pPr>
          </w:p>
        </w:tc>
        <w:tc>
          <w:tcPr>
            <w:tcW w:w="1560" w:type="dxa"/>
            <w:vAlign w:val="center"/>
          </w:tcPr>
          <w:p w14:paraId="1936A2E9">
            <w:pPr>
              <w:snapToGrid w:val="0"/>
              <w:spacing w:line="400" w:lineRule="exact"/>
              <w:rPr>
                <w:rFonts w:hint="eastAsia" w:ascii="宋体" w:hAnsi="宋体" w:eastAsia="宋体" w:cs="宋体"/>
                <w:color w:val="auto"/>
                <w:szCs w:val="21"/>
                <w:highlight w:val="none"/>
              </w:rPr>
            </w:pPr>
          </w:p>
        </w:tc>
        <w:tc>
          <w:tcPr>
            <w:tcW w:w="2018" w:type="dxa"/>
            <w:vAlign w:val="center"/>
          </w:tcPr>
          <w:p w14:paraId="09B216B7">
            <w:pPr>
              <w:snapToGrid w:val="0"/>
              <w:spacing w:line="400" w:lineRule="exact"/>
              <w:rPr>
                <w:rFonts w:hint="eastAsia" w:ascii="宋体" w:hAnsi="宋体" w:eastAsia="宋体" w:cs="宋体"/>
                <w:color w:val="auto"/>
                <w:szCs w:val="21"/>
                <w:highlight w:val="none"/>
              </w:rPr>
            </w:pPr>
          </w:p>
        </w:tc>
      </w:tr>
      <w:tr w14:paraId="65634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93CC2B8">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751" w:type="dxa"/>
            <w:vAlign w:val="center"/>
          </w:tcPr>
          <w:p w14:paraId="7C9C282B">
            <w:pPr>
              <w:pStyle w:val="17"/>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bCs/>
                <w:color w:val="auto"/>
                <w:sz w:val="21"/>
                <w:szCs w:val="21"/>
                <w:highlight w:val="none"/>
                <w:lang w:val="zh-CN"/>
              </w:rPr>
              <w:t>投标承诺函</w:t>
            </w:r>
          </w:p>
        </w:tc>
        <w:tc>
          <w:tcPr>
            <w:tcW w:w="1559" w:type="dxa"/>
            <w:vAlign w:val="center"/>
          </w:tcPr>
          <w:p w14:paraId="3B0E2A7B">
            <w:pPr>
              <w:snapToGrid w:val="0"/>
              <w:spacing w:line="400" w:lineRule="exact"/>
              <w:jc w:val="center"/>
              <w:rPr>
                <w:rFonts w:hint="eastAsia" w:ascii="宋体" w:hAnsi="宋体" w:eastAsia="宋体" w:cs="宋体"/>
                <w:color w:val="auto"/>
                <w:szCs w:val="21"/>
                <w:highlight w:val="none"/>
              </w:rPr>
            </w:pPr>
          </w:p>
        </w:tc>
        <w:tc>
          <w:tcPr>
            <w:tcW w:w="1560" w:type="dxa"/>
            <w:vAlign w:val="center"/>
          </w:tcPr>
          <w:p w14:paraId="28304C5A">
            <w:pPr>
              <w:snapToGrid w:val="0"/>
              <w:spacing w:line="400" w:lineRule="exact"/>
              <w:rPr>
                <w:rFonts w:hint="eastAsia" w:ascii="宋体" w:hAnsi="宋体" w:eastAsia="宋体" w:cs="宋体"/>
                <w:color w:val="auto"/>
                <w:szCs w:val="21"/>
                <w:highlight w:val="none"/>
              </w:rPr>
            </w:pPr>
          </w:p>
        </w:tc>
        <w:tc>
          <w:tcPr>
            <w:tcW w:w="2018" w:type="dxa"/>
            <w:vAlign w:val="center"/>
          </w:tcPr>
          <w:p w14:paraId="4D308079">
            <w:pPr>
              <w:snapToGrid w:val="0"/>
              <w:spacing w:line="400" w:lineRule="exact"/>
              <w:rPr>
                <w:rFonts w:hint="eastAsia" w:ascii="宋体" w:hAnsi="宋体" w:eastAsia="宋体" w:cs="宋体"/>
                <w:color w:val="auto"/>
                <w:szCs w:val="21"/>
                <w:highlight w:val="none"/>
              </w:rPr>
            </w:pPr>
          </w:p>
        </w:tc>
      </w:tr>
      <w:tr w14:paraId="30735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757B8B1">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3751" w:type="dxa"/>
            <w:vAlign w:val="center"/>
          </w:tcPr>
          <w:p w14:paraId="4ED229FE">
            <w:pPr>
              <w:pStyle w:val="17"/>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禹州市政府采购供应商信用承诺函</w:t>
            </w:r>
          </w:p>
        </w:tc>
        <w:tc>
          <w:tcPr>
            <w:tcW w:w="1559" w:type="dxa"/>
            <w:vAlign w:val="center"/>
          </w:tcPr>
          <w:p w14:paraId="75162D4A">
            <w:pPr>
              <w:jc w:val="center"/>
              <w:rPr>
                <w:rFonts w:hint="eastAsia" w:ascii="宋体" w:hAnsi="宋体" w:eastAsia="宋体" w:cs="宋体"/>
                <w:color w:val="auto"/>
                <w:szCs w:val="21"/>
                <w:highlight w:val="none"/>
              </w:rPr>
            </w:pPr>
          </w:p>
        </w:tc>
        <w:tc>
          <w:tcPr>
            <w:tcW w:w="1560" w:type="dxa"/>
            <w:vAlign w:val="center"/>
          </w:tcPr>
          <w:p w14:paraId="33E6B53B">
            <w:pPr>
              <w:snapToGrid w:val="0"/>
              <w:spacing w:line="400" w:lineRule="exact"/>
              <w:rPr>
                <w:rFonts w:hint="eastAsia" w:ascii="宋体" w:hAnsi="宋体" w:eastAsia="宋体" w:cs="宋体"/>
                <w:color w:val="auto"/>
                <w:szCs w:val="21"/>
                <w:highlight w:val="none"/>
              </w:rPr>
            </w:pPr>
          </w:p>
        </w:tc>
        <w:tc>
          <w:tcPr>
            <w:tcW w:w="2018" w:type="dxa"/>
            <w:vAlign w:val="center"/>
          </w:tcPr>
          <w:p w14:paraId="0769D0B1">
            <w:pPr>
              <w:snapToGrid w:val="0"/>
              <w:spacing w:line="400" w:lineRule="exact"/>
              <w:rPr>
                <w:rFonts w:hint="eastAsia" w:ascii="宋体" w:hAnsi="宋体" w:eastAsia="宋体" w:cs="宋体"/>
                <w:color w:val="auto"/>
                <w:szCs w:val="21"/>
                <w:highlight w:val="none"/>
              </w:rPr>
            </w:pPr>
          </w:p>
        </w:tc>
      </w:tr>
      <w:tr w14:paraId="36DEF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05AFB16">
            <w:pPr>
              <w:adjustRightInd w:val="0"/>
              <w:snapToGrid w:val="0"/>
              <w:spacing w:line="400" w:lineRule="exact"/>
              <w:jc w:val="center"/>
              <w:textAlignment w:val="baseline"/>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8</w:t>
            </w:r>
          </w:p>
        </w:tc>
        <w:tc>
          <w:tcPr>
            <w:tcW w:w="3751" w:type="dxa"/>
            <w:vAlign w:val="center"/>
          </w:tcPr>
          <w:p w14:paraId="32CF5CD8">
            <w:pPr>
              <w:pStyle w:val="17"/>
              <w:kinsoku w:val="0"/>
              <w:overflowPunct w:val="0"/>
              <w:autoSpaceDE w:val="0"/>
              <w:autoSpaceDN w:val="0"/>
              <w:spacing w:line="320" w:lineRule="exac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联合体协议</w:t>
            </w:r>
          </w:p>
        </w:tc>
        <w:tc>
          <w:tcPr>
            <w:tcW w:w="1559" w:type="dxa"/>
            <w:vAlign w:val="center"/>
          </w:tcPr>
          <w:p w14:paraId="3D8E345D">
            <w:pPr>
              <w:jc w:val="center"/>
              <w:rPr>
                <w:rFonts w:hint="eastAsia" w:ascii="宋体" w:hAnsi="宋体" w:eastAsia="宋体" w:cs="宋体"/>
                <w:color w:val="auto"/>
                <w:szCs w:val="21"/>
                <w:highlight w:val="none"/>
              </w:rPr>
            </w:pPr>
          </w:p>
        </w:tc>
        <w:tc>
          <w:tcPr>
            <w:tcW w:w="1560" w:type="dxa"/>
            <w:vAlign w:val="center"/>
          </w:tcPr>
          <w:p w14:paraId="26B05F24">
            <w:pPr>
              <w:snapToGrid w:val="0"/>
              <w:spacing w:line="400" w:lineRule="exact"/>
              <w:rPr>
                <w:rFonts w:hint="eastAsia" w:ascii="宋体" w:hAnsi="宋体" w:eastAsia="宋体" w:cs="宋体"/>
                <w:color w:val="auto"/>
                <w:szCs w:val="21"/>
                <w:highlight w:val="none"/>
              </w:rPr>
            </w:pPr>
          </w:p>
        </w:tc>
        <w:tc>
          <w:tcPr>
            <w:tcW w:w="2018" w:type="dxa"/>
            <w:vAlign w:val="center"/>
          </w:tcPr>
          <w:p w14:paraId="51C2C574">
            <w:pPr>
              <w:snapToGrid w:val="0"/>
              <w:spacing w:line="400" w:lineRule="exact"/>
              <w:rPr>
                <w:rFonts w:hint="eastAsia" w:ascii="宋体" w:hAnsi="宋体" w:eastAsia="宋体" w:cs="宋体"/>
                <w:color w:val="auto"/>
                <w:szCs w:val="21"/>
                <w:highlight w:val="none"/>
              </w:rPr>
            </w:pPr>
          </w:p>
        </w:tc>
      </w:tr>
      <w:tr w14:paraId="7116A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A81E674">
            <w:pPr>
              <w:adjustRightInd w:val="0"/>
              <w:snapToGrid w:val="0"/>
              <w:spacing w:line="400" w:lineRule="exact"/>
              <w:jc w:val="center"/>
              <w:textAlignment w:val="baseline"/>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9</w:t>
            </w:r>
          </w:p>
        </w:tc>
        <w:tc>
          <w:tcPr>
            <w:tcW w:w="3751" w:type="dxa"/>
            <w:vAlign w:val="center"/>
          </w:tcPr>
          <w:p w14:paraId="50BC2543">
            <w:pPr>
              <w:pStyle w:val="17"/>
              <w:kinsoku w:val="0"/>
              <w:overflowPunct w:val="0"/>
              <w:autoSpaceDE w:val="0"/>
              <w:autoSpaceDN w:val="0"/>
              <w:spacing w:line="320" w:lineRule="exac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投标人与参加本项目投标的其他供应商之间，单位负责人不为同一人并且不存在直接控股、管理关系承诺函</w:t>
            </w:r>
          </w:p>
        </w:tc>
        <w:tc>
          <w:tcPr>
            <w:tcW w:w="1559" w:type="dxa"/>
            <w:vAlign w:val="center"/>
          </w:tcPr>
          <w:p w14:paraId="1B59D908">
            <w:pPr>
              <w:jc w:val="center"/>
              <w:rPr>
                <w:rFonts w:hint="eastAsia" w:ascii="宋体" w:hAnsi="宋体" w:eastAsia="宋体" w:cs="宋体"/>
                <w:color w:val="auto"/>
                <w:szCs w:val="21"/>
                <w:highlight w:val="none"/>
              </w:rPr>
            </w:pPr>
          </w:p>
        </w:tc>
        <w:tc>
          <w:tcPr>
            <w:tcW w:w="1560" w:type="dxa"/>
            <w:vAlign w:val="center"/>
          </w:tcPr>
          <w:p w14:paraId="0C80654E">
            <w:pPr>
              <w:snapToGrid w:val="0"/>
              <w:spacing w:line="400" w:lineRule="exact"/>
              <w:rPr>
                <w:rFonts w:hint="eastAsia" w:ascii="宋体" w:hAnsi="宋体" w:eastAsia="宋体" w:cs="宋体"/>
                <w:color w:val="auto"/>
                <w:szCs w:val="21"/>
                <w:highlight w:val="none"/>
              </w:rPr>
            </w:pPr>
          </w:p>
        </w:tc>
        <w:tc>
          <w:tcPr>
            <w:tcW w:w="2018" w:type="dxa"/>
            <w:vAlign w:val="center"/>
          </w:tcPr>
          <w:p w14:paraId="6BF6DA0B">
            <w:pPr>
              <w:snapToGrid w:val="0"/>
              <w:spacing w:line="400" w:lineRule="exact"/>
              <w:rPr>
                <w:rFonts w:hint="eastAsia" w:ascii="宋体" w:hAnsi="宋体" w:eastAsia="宋体" w:cs="宋体"/>
                <w:color w:val="auto"/>
                <w:szCs w:val="21"/>
                <w:highlight w:val="none"/>
              </w:rPr>
            </w:pPr>
          </w:p>
        </w:tc>
      </w:tr>
      <w:tr w14:paraId="1ABE9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6E43C37">
            <w:pPr>
              <w:adjustRightInd w:val="0"/>
              <w:snapToGrid w:val="0"/>
              <w:spacing w:line="400" w:lineRule="exact"/>
              <w:jc w:val="center"/>
              <w:textAlignment w:val="baseline"/>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10</w:t>
            </w:r>
          </w:p>
        </w:tc>
        <w:tc>
          <w:tcPr>
            <w:tcW w:w="3751" w:type="dxa"/>
            <w:vAlign w:val="center"/>
          </w:tcPr>
          <w:p w14:paraId="6C31E402">
            <w:pPr>
              <w:pStyle w:val="17"/>
              <w:kinsoku w:val="0"/>
              <w:overflowPunct w:val="0"/>
              <w:autoSpaceDE w:val="0"/>
              <w:autoSpaceDN w:val="0"/>
              <w:spacing w:line="320" w:lineRule="exact"/>
              <w:rPr>
                <w:rFonts w:hint="eastAsia" w:ascii="宋体" w:hAnsi="宋体" w:eastAsia="宋体" w:cs="宋体"/>
                <w:bCs/>
                <w:color w:val="auto"/>
                <w:sz w:val="21"/>
                <w:szCs w:val="21"/>
                <w:highlight w:val="none"/>
                <w:lang w:val="zh-CN"/>
              </w:rPr>
            </w:pPr>
            <w:r>
              <w:rPr>
                <w:rFonts w:hint="eastAsia" w:ascii="宋体" w:hAnsi="宋体" w:eastAsia="宋体" w:cs="宋体"/>
                <w:color w:val="auto"/>
                <w:sz w:val="21"/>
                <w:szCs w:val="21"/>
                <w:highlight w:val="none"/>
                <w:lang w:val="zh-CN"/>
              </w:rPr>
              <w:t>投标人未为本项目提供整体设计、规范编制或者项目管理、监理、检测等服务承诺函</w:t>
            </w:r>
          </w:p>
        </w:tc>
        <w:tc>
          <w:tcPr>
            <w:tcW w:w="1559" w:type="dxa"/>
            <w:vAlign w:val="center"/>
          </w:tcPr>
          <w:p w14:paraId="33D19B5B">
            <w:pPr>
              <w:jc w:val="center"/>
              <w:rPr>
                <w:rFonts w:hint="eastAsia" w:ascii="宋体" w:hAnsi="宋体" w:eastAsia="宋体" w:cs="宋体"/>
                <w:color w:val="auto"/>
                <w:szCs w:val="21"/>
                <w:highlight w:val="none"/>
              </w:rPr>
            </w:pPr>
          </w:p>
        </w:tc>
        <w:tc>
          <w:tcPr>
            <w:tcW w:w="1560" w:type="dxa"/>
            <w:vAlign w:val="center"/>
          </w:tcPr>
          <w:p w14:paraId="60CF2547">
            <w:pPr>
              <w:snapToGrid w:val="0"/>
              <w:spacing w:line="400" w:lineRule="exact"/>
              <w:rPr>
                <w:rFonts w:hint="eastAsia" w:ascii="宋体" w:hAnsi="宋体" w:eastAsia="宋体" w:cs="宋体"/>
                <w:color w:val="auto"/>
                <w:szCs w:val="21"/>
                <w:highlight w:val="none"/>
              </w:rPr>
            </w:pPr>
          </w:p>
        </w:tc>
        <w:tc>
          <w:tcPr>
            <w:tcW w:w="2018" w:type="dxa"/>
            <w:vAlign w:val="center"/>
          </w:tcPr>
          <w:p w14:paraId="287DE71F">
            <w:pPr>
              <w:snapToGrid w:val="0"/>
              <w:spacing w:line="400" w:lineRule="exact"/>
              <w:rPr>
                <w:rFonts w:hint="eastAsia" w:ascii="宋体" w:hAnsi="宋体" w:eastAsia="宋体" w:cs="宋体"/>
                <w:color w:val="auto"/>
                <w:szCs w:val="21"/>
                <w:highlight w:val="none"/>
              </w:rPr>
            </w:pPr>
          </w:p>
        </w:tc>
      </w:tr>
      <w:tr w14:paraId="6C6FF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BF672FB">
            <w:pPr>
              <w:adjustRightInd w:val="0"/>
              <w:snapToGrid w:val="0"/>
              <w:spacing w:line="400" w:lineRule="exact"/>
              <w:jc w:val="center"/>
              <w:textAlignment w:val="baseline"/>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Cs w:val="21"/>
                <w:highlight w:val="none"/>
              </w:rPr>
              <w:t>11</w:t>
            </w:r>
          </w:p>
        </w:tc>
        <w:tc>
          <w:tcPr>
            <w:tcW w:w="3751" w:type="dxa"/>
            <w:vAlign w:val="center"/>
          </w:tcPr>
          <w:p w14:paraId="4FA1C1B4">
            <w:pPr>
              <w:pStyle w:val="17"/>
              <w:kinsoku w:val="0"/>
              <w:overflowPunct w:val="0"/>
              <w:autoSpaceDE w:val="0"/>
              <w:autoSpaceDN w:val="0"/>
              <w:spacing w:line="32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分项报价表</w:t>
            </w:r>
          </w:p>
        </w:tc>
        <w:tc>
          <w:tcPr>
            <w:tcW w:w="1559" w:type="dxa"/>
            <w:vAlign w:val="center"/>
          </w:tcPr>
          <w:p w14:paraId="30EED97E">
            <w:pPr>
              <w:jc w:val="center"/>
              <w:rPr>
                <w:rFonts w:hint="eastAsia" w:ascii="宋体" w:hAnsi="宋体" w:eastAsia="宋体" w:cs="宋体"/>
                <w:color w:val="auto"/>
                <w:szCs w:val="21"/>
                <w:highlight w:val="none"/>
              </w:rPr>
            </w:pPr>
          </w:p>
        </w:tc>
        <w:tc>
          <w:tcPr>
            <w:tcW w:w="1560" w:type="dxa"/>
            <w:vAlign w:val="center"/>
          </w:tcPr>
          <w:p w14:paraId="280CA8DF">
            <w:pPr>
              <w:snapToGrid w:val="0"/>
              <w:spacing w:line="400" w:lineRule="exact"/>
              <w:rPr>
                <w:rFonts w:hint="eastAsia" w:ascii="宋体" w:hAnsi="宋体" w:eastAsia="宋体" w:cs="宋体"/>
                <w:color w:val="auto"/>
                <w:szCs w:val="21"/>
                <w:highlight w:val="none"/>
              </w:rPr>
            </w:pPr>
          </w:p>
        </w:tc>
        <w:tc>
          <w:tcPr>
            <w:tcW w:w="2018" w:type="dxa"/>
            <w:vAlign w:val="center"/>
          </w:tcPr>
          <w:p w14:paraId="32354777">
            <w:pPr>
              <w:snapToGrid w:val="0"/>
              <w:spacing w:line="400" w:lineRule="exact"/>
              <w:rPr>
                <w:rFonts w:hint="eastAsia" w:ascii="宋体" w:hAnsi="宋体" w:eastAsia="宋体" w:cs="宋体"/>
                <w:color w:val="auto"/>
                <w:szCs w:val="21"/>
                <w:highlight w:val="none"/>
              </w:rPr>
            </w:pPr>
          </w:p>
        </w:tc>
      </w:tr>
      <w:tr w14:paraId="30860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8D7CC0D">
            <w:pPr>
              <w:adjustRightInd w:val="0"/>
              <w:snapToGrid w:val="0"/>
              <w:spacing w:line="400" w:lineRule="exact"/>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12</w:t>
            </w:r>
          </w:p>
        </w:tc>
        <w:tc>
          <w:tcPr>
            <w:tcW w:w="3751" w:type="dxa"/>
            <w:vAlign w:val="center"/>
          </w:tcPr>
          <w:p w14:paraId="5D70A98A">
            <w:pPr>
              <w:pStyle w:val="17"/>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技术规格偏离表</w:t>
            </w:r>
          </w:p>
        </w:tc>
        <w:tc>
          <w:tcPr>
            <w:tcW w:w="1559" w:type="dxa"/>
            <w:vAlign w:val="center"/>
          </w:tcPr>
          <w:p w14:paraId="4F5DF0FC">
            <w:pPr>
              <w:jc w:val="center"/>
              <w:rPr>
                <w:rFonts w:hint="eastAsia" w:ascii="宋体" w:hAnsi="宋体" w:eastAsia="宋体" w:cs="宋体"/>
                <w:color w:val="auto"/>
                <w:szCs w:val="21"/>
                <w:highlight w:val="none"/>
              </w:rPr>
            </w:pPr>
          </w:p>
        </w:tc>
        <w:tc>
          <w:tcPr>
            <w:tcW w:w="1560" w:type="dxa"/>
            <w:vAlign w:val="center"/>
          </w:tcPr>
          <w:p w14:paraId="2D2FDEC2">
            <w:pPr>
              <w:snapToGrid w:val="0"/>
              <w:spacing w:line="400" w:lineRule="exact"/>
              <w:rPr>
                <w:rFonts w:hint="eastAsia" w:ascii="宋体" w:hAnsi="宋体" w:eastAsia="宋体" w:cs="宋体"/>
                <w:color w:val="auto"/>
                <w:szCs w:val="21"/>
                <w:highlight w:val="none"/>
              </w:rPr>
            </w:pPr>
          </w:p>
        </w:tc>
        <w:tc>
          <w:tcPr>
            <w:tcW w:w="2018" w:type="dxa"/>
            <w:vAlign w:val="center"/>
          </w:tcPr>
          <w:p w14:paraId="0A979BCB">
            <w:pPr>
              <w:snapToGrid w:val="0"/>
              <w:spacing w:line="400" w:lineRule="exact"/>
              <w:rPr>
                <w:rFonts w:hint="eastAsia" w:ascii="宋体" w:hAnsi="宋体" w:eastAsia="宋体" w:cs="宋体"/>
                <w:color w:val="auto"/>
                <w:szCs w:val="21"/>
                <w:highlight w:val="none"/>
              </w:rPr>
            </w:pPr>
          </w:p>
        </w:tc>
      </w:tr>
      <w:tr w14:paraId="7522B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88D5BCA">
            <w:pPr>
              <w:adjustRightInd w:val="0"/>
              <w:snapToGrid w:val="0"/>
              <w:spacing w:line="400" w:lineRule="exact"/>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13</w:t>
            </w:r>
          </w:p>
        </w:tc>
        <w:tc>
          <w:tcPr>
            <w:tcW w:w="3751" w:type="dxa"/>
            <w:vAlign w:val="center"/>
          </w:tcPr>
          <w:p w14:paraId="2CD1BAF1">
            <w:pPr>
              <w:pStyle w:val="17"/>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技术方案（实施方案）</w:t>
            </w:r>
          </w:p>
        </w:tc>
        <w:tc>
          <w:tcPr>
            <w:tcW w:w="1559" w:type="dxa"/>
            <w:vAlign w:val="center"/>
          </w:tcPr>
          <w:p w14:paraId="0E8184E9">
            <w:pPr>
              <w:jc w:val="center"/>
              <w:rPr>
                <w:rFonts w:hint="eastAsia" w:ascii="宋体" w:hAnsi="宋体" w:eastAsia="宋体" w:cs="宋体"/>
                <w:color w:val="auto"/>
                <w:szCs w:val="21"/>
                <w:highlight w:val="none"/>
              </w:rPr>
            </w:pPr>
          </w:p>
        </w:tc>
        <w:tc>
          <w:tcPr>
            <w:tcW w:w="1560" w:type="dxa"/>
            <w:tcBorders>
              <w:top w:val="single" w:color="auto" w:sz="4" w:space="0"/>
            </w:tcBorders>
            <w:vAlign w:val="center"/>
          </w:tcPr>
          <w:p w14:paraId="4A41640E">
            <w:pPr>
              <w:snapToGrid w:val="0"/>
              <w:spacing w:line="400" w:lineRule="exact"/>
              <w:rPr>
                <w:rFonts w:hint="eastAsia" w:ascii="宋体" w:hAnsi="宋体" w:eastAsia="宋体" w:cs="宋体"/>
                <w:color w:val="auto"/>
                <w:szCs w:val="21"/>
                <w:highlight w:val="none"/>
              </w:rPr>
            </w:pPr>
          </w:p>
        </w:tc>
        <w:tc>
          <w:tcPr>
            <w:tcW w:w="2018" w:type="dxa"/>
            <w:tcBorders>
              <w:top w:val="single" w:color="auto" w:sz="4" w:space="0"/>
            </w:tcBorders>
            <w:vAlign w:val="center"/>
          </w:tcPr>
          <w:p w14:paraId="478C1D65">
            <w:pPr>
              <w:snapToGrid w:val="0"/>
              <w:spacing w:line="400" w:lineRule="exact"/>
              <w:rPr>
                <w:rFonts w:hint="eastAsia" w:ascii="宋体" w:hAnsi="宋体" w:eastAsia="宋体" w:cs="宋体"/>
                <w:color w:val="auto"/>
                <w:szCs w:val="21"/>
                <w:highlight w:val="none"/>
              </w:rPr>
            </w:pPr>
          </w:p>
        </w:tc>
      </w:tr>
      <w:tr w14:paraId="299CC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5C41CEB">
            <w:pPr>
              <w:adjustRightInd w:val="0"/>
              <w:snapToGrid w:val="0"/>
              <w:spacing w:line="400" w:lineRule="exact"/>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14</w:t>
            </w:r>
          </w:p>
        </w:tc>
        <w:tc>
          <w:tcPr>
            <w:tcW w:w="3751" w:type="dxa"/>
            <w:vAlign w:val="center"/>
          </w:tcPr>
          <w:p w14:paraId="199A5EE5">
            <w:pPr>
              <w:pStyle w:val="17"/>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服务承诺</w:t>
            </w:r>
            <w:r>
              <w:rPr>
                <w:rFonts w:hint="eastAsia" w:ascii="宋体" w:hAnsi="宋体" w:eastAsia="宋体" w:cs="宋体"/>
                <w:bCs/>
                <w:color w:val="auto"/>
                <w:kern w:val="0"/>
                <w:sz w:val="21"/>
                <w:szCs w:val="21"/>
                <w:highlight w:val="none"/>
                <w:lang w:val="en-US" w:eastAsia="zh-CN"/>
              </w:rPr>
              <w:t>及</w:t>
            </w:r>
            <w:r>
              <w:rPr>
                <w:rFonts w:hint="eastAsia" w:ascii="宋体" w:hAnsi="宋体" w:eastAsia="宋体" w:cs="宋体"/>
                <w:bCs/>
                <w:color w:val="auto"/>
                <w:kern w:val="0"/>
                <w:sz w:val="21"/>
                <w:szCs w:val="21"/>
                <w:highlight w:val="none"/>
              </w:rPr>
              <w:t>售后服务方案</w:t>
            </w:r>
          </w:p>
        </w:tc>
        <w:tc>
          <w:tcPr>
            <w:tcW w:w="1559" w:type="dxa"/>
            <w:vAlign w:val="center"/>
          </w:tcPr>
          <w:p w14:paraId="7003EA5C">
            <w:pPr>
              <w:jc w:val="center"/>
              <w:rPr>
                <w:rFonts w:hint="eastAsia" w:ascii="宋体" w:hAnsi="宋体" w:eastAsia="宋体" w:cs="宋体"/>
                <w:color w:val="auto"/>
                <w:szCs w:val="21"/>
                <w:highlight w:val="none"/>
              </w:rPr>
            </w:pPr>
          </w:p>
        </w:tc>
        <w:tc>
          <w:tcPr>
            <w:tcW w:w="1560" w:type="dxa"/>
            <w:vAlign w:val="center"/>
          </w:tcPr>
          <w:p w14:paraId="457EC834">
            <w:pPr>
              <w:snapToGrid w:val="0"/>
              <w:spacing w:line="400" w:lineRule="exact"/>
              <w:rPr>
                <w:rFonts w:hint="eastAsia" w:ascii="宋体" w:hAnsi="宋体" w:eastAsia="宋体" w:cs="宋体"/>
                <w:color w:val="auto"/>
                <w:szCs w:val="21"/>
                <w:highlight w:val="none"/>
              </w:rPr>
            </w:pPr>
          </w:p>
        </w:tc>
        <w:tc>
          <w:tcPr>
            <w:tcW w:w="2018" w:type="dxa"/>
            <w:vAlign w:val="center"/>
          </w:tcPr>
          <w:p w14:paraId="56228CD9">
            <w:pPr>
              <w:snapToGrid w:val="0"/>
              <w:spacing w:line="400" w:lineRule="exact"/>
              <w:rPr>
                <w:rFonts w:hint="eastAsia" w:ascii="宋体" w:hAnsi="宋体" w:eastAsia="宋体" w:cs="宋体"/>
                <w:color w:val="auto"/>
                <w:szCs w:val="21"/>
                <w:highlight w:val="none"/>
              </w:rPr>
            </w:pPr>
          </w:p>
        </w:tc>
      </w:tr>
      <w:tr w14:paraId="0A271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22F6DCC">
            <w:pPr>
              <w:adjustRightInd w:val="0"/>
              <w:snapToGrid w:val="0"/>
              <w:spacing w:line="400" w:lineRule="exact"/>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15</w:t>
            </w:r>
          </w:p>
        </w:tc>
        <w:tc>
          <w:tcPr>
            <w:tcW w:w="3751" w:type="dxa"/>
            <w:vAlign w:val="center"/>
          </w:tcPr>
          <w:p w14:paraId="4E7552DF">
            <w:pPr>
              <w:pStyle w:val="17"/>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业绩情况表</w:t>
            </w:r>
          </w:p>
        </w:tc>
        <w:tc>
          <w:tcPr>
            <w:tcW w:w="1559" w:type="dxa"/>
            <w:vAlign w:val="center"/>
          </w:tcPr>
          <w:p w14:paraId="5934C396">
            <w:pPr>
              <w:jc w:val="center"/>
              <w:rPr>
                <w:rFonts w:hint="eastAsia" w:ascii="宋体" w:hAnsi="宋体" w:eastAsia="宋体" w:cs="宋体"/>
                <w:color w:val="auto"/>
                <w:szCs w:val="21"/>
                <w:highlight w:val="none"/>
              </w:rPr>
            </w:pPr>
          </w:p>
        </w:tc>
        <w:tc>
          <w:tcPr>
            <w:tcW w:w="1560" w:type="dxa"/>
            <w:vAlign w:val="center"/>
          </w:tcPr>
          <w:p w14:paraId="39E3E2EF">
            <w:pPr>
              <w:snapToGrid w:val="0"/>
              <w:spacing w:line="400" w:lineRule="exact"/>
              <w:rPr>
                <w:rFonts w:hint="eastAsia" w:ascii="宋体" w:hAnsi="宋体" w:eastAsia="宋体" w:cs="宋体"/>
                <w:color w:val="auto"/>
                <w:szCs w:val="21"/>
                <w:highlight w:val="none"/>
              </w:rPr>
            </w:pPr>
          </w:p>
        </w:tc>
        <w:tc>
          <w:tcPr>
            <w:tcW w:w="2018" w:type="dxa"/>
            <w:vAlign w:val="center"/>
          </w:tcPr>
          <w:p w14:paraId="41C9C89C">
            <w:pPr>
              <w:snapToGrid w:val="0"/>
              <w:spacing w:line="400" w:lineRule="exact"/>
              <w:rPr>
                <w:rFonts w:hint="eastAsia" w:ascii="宋体" w:hAnsi="宋体" w:eastAsia="宋体" w:cs="宋体"/>
                <w:color w:val="auto"/>
                <w:szCs w:val="21"/>
                <w:highlight w:val="none"/>
              </w:rPr>
            </w:pPr>
          </w:p>
        </w:tc>
      </w:tr>
      <w:tr w14:paraId="313FD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B5F30D5">
            <w:pPr>
              <w:adjustRightInd w:val="0"/>
              <w:snapToGrid w:val="0"/>
              <w:spacing w:line="400" w:lineRule="exact"/>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16</w:t>
            </w:r>
          </w:p>
        </w:tc>
        <w:tc>
          <w:tcPr>
            <w:tcW w:w="3751" w:type="dxa"/>
            <w:vAlign w:val="center"/>
          </w:tcPr>
          <w:p w14:paraId="600CFE09">
            <w:pPr>
              <w:pStyle w:val="17"/>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政府强制采购节能产品品目清单情况</w:t>
            </w:r>
          </w:p>
        </w:tc>
        <w:tc>
          <w:tcPr>
            <w:tcW w:w="1559" w:type="dxa"/>
            <w:vAlign w:val="center"/>
          </w:tcPr>
          <w:p w14:paraId="1B60CD7B">
            <w:pPr>
              <w:jc w:val="center"/>
              <w:rPr>
                <w:rFonts w:hint="eastAsia" w:ascii="宋体" w:hAnsi="宋体" w:eastAsia="宋体" w:cs="宋体"/>
                <w:color w:val="auto"/>
                <w:szCs w:val="21"/>
                <w:highlight w:val="none"/>
              </w:rPr>
            </w:pPr>
          </w:p>
        </w:tc>
        <w:tc>
          <w:tcPr>
            <w:tcW w:w="1560" w:type="dxa"/>
            <w:vAlign w:val="center"/>
          </w:tcPr>
          <w:p w14:paraId="5A73BF15">
            <w:pPr>
              <w:snapToGrid w:val="0"/>
              <w:spacing w:line="400" w:lineRule="exact"/>
              <w:rPr>
                <w:rFonts w:hint="eastAsia" w:ascii="宋体" w:hAnsi="宋体" w:eastAsia="宋体" w:cs="宋体"/>
                <w:color w:val="auto"/>
                <w:szCs w:val="21"/>
                <w:highlight w:val="none"/>
              </w:rPr>
            </w:pPr>
          </w:p>
        </w:tc>
        <w:tc>
          <w:tcPr>
            <w:tcW w:w="2018" w:type="dxa"/>
            <w:vAlign w:val="center"/>
          </w:tcPr>
          <w:p w14:paraId="7CAD548B">
            <w:pPr>
              <w:snapToGrid w:val="0"/>
              <w:spacing w:line="400" w:lineRule="exact"/>
              <w:rPr>
                <w:rFonts w:hint="eastAsia" w:ascii="宋体" w:hAnsi="宋体" w:eastAsia="宋体" w:cs="宋体"/>
                <w:color w:val="auto"/>
                <w:szCs w:val="21"/>
                <w:highlight w:val="none"/>
              </w:rPr>
            </w:pPr>
          </w:p>
        </w:tc>
      </w:tr>
      <w:tr w14:paraId="4FBD0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B7FC909">
            <w:pPr>
              <w:adjustRightInd w:val="0"/>
              <w:snapToGrid w:val="0"/>
              <w:spacing w:line="400" w:lineRule="exact"/>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17</w:t>
            </w:r>
          </w:p>
        </w:tc>
        <w:tc>
          <w:tcPr>
            <w:tcW w:w="3751" w:type="dxa"/>
            <w:vAlign w:val="center"/>
          </w:tcPr>
          <w:p w14:paraId="1DD09595">
            <w:pPr>
              <w:pStyle w:val="17"/>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优先采购节能产品政府采购品目清单情况</w:t>
            </w:r>
          </w:p>
        </w:tc>
        <w:tc>
          <w:tcPr>
            <w:tcW w:w="1559" w:type="dxa"/>
            <w:vAlign w:val="center"/>
          </w:tcPr>
          <w:p w14:paraId="646A2A2A">
            <w:pPr>
              <w:jc w:val="center"/>
              <w:rPr>
                <w:rFonts w:hint="eastAsia" w:ascii="宋体" w:hAnsi="宋体" w:eastAsia="宋体" w:cs="宋体"/>
                <w:color w:val="auto"/>
                <w:szCs w:val="21"/>
                <w:highlight w:val="none"/>
              </w:rPr>
            </w:pPr>
          </w:p>
        </w:tc>
        <w:tc>
          <w:tcPr>
            <w:tcW w:w="1560" w:type="dxa"/>
            <w:vAlign w:val="center"/>
          </w:tcPr>
          <w:p w14:paraId="24785557">
            <w:pPr>
              <w:snapToGrid w:val="0"/>
              <w:spacing w:line="400" w:lineRule="exact"/>
              <w:rPr>
                <w:rFonts w:hint="eastAsia" w:ascii="宋体" w:hAnsi="宋体" w:eastAsia="宋体" w:cs="宋体"/>
                <w:color w:val="auto"/>
                <w:szCs w:val="21"/>
                <w:highlight w:val="none"/>
              </w:rPr>
            </w:pPr>
          </w:p>
        </w:tc>
        <w:tc>
          <w:tcPr>
            <w:tcW w:w="2018" w:type="dxa"/>
            <w:vAlign w:val="center"/>
          </w:tcPr>
          <w:p w14:paraId="2E503B47">
            <w:pPr>
              <w:snapToGrid w:val="0"/>
              <w:spacing w:line="400" w:lineRule="exact"/>
              <w:rPr>
                <w:rFonts w:hint="eastAsia" w:ascii="宋体" w:hAnsi="宋体" w:eastAsia="宋体" w:cs="宋体"/>
                <w:color w:val="auto"/>
                <w:szCs w:val="21"/>
                <w:highlight w:val="none"/>
              </w:rPr>
            </w:pPr>
          </w:p>
        </w:tc>
      </w:tr>
      <w:tr w14:paraId="43A61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55C253E">
            <w:pPr>
              <w:adjustRightInd w:val="0"/>
              <w:snapToGrid w:val="0"/>
              <w:spacing w:line="400" w:lineRule="exact"/>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18</w:t>
            </w:r>
          </w:p>
        </w:tc>
        <w:tc>
          <w:tcPr>
            <w:tcW w:w="3751" w:type="dxa"/>
            <w:vAlign w:val="center"/>
          </w:tcPr>
          <w:p w14:paraId="395D79A8">
            <w:pPr>
              <w:pStyle w:val="17"/>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lang w:val="en-GB"/>
              </w:rPr>
              <w:t>优先采购环境标志产品政府采购品目清单情况</w:t>
            </w:r>
          </w:p>
        </w:tc>
        <w:tc>
          <w:tcPr>
            <w:tcW w:w="1559" w:type="dxa"/>
            <w:vAlign w:val="center"/>
          </w:tcPr>
          <w:p w14:paraId="7A7BEA08">
            <w:pPr>
              <w:jc w:val="center"/>
              <w:rPr>
                <w:rFonts w:hint="eastAsia" w:ascii="宋体" w:hAnsi="宋体" w:eastAsia="宋体" w:cs="宋体"/>
                <w:color w:val="auto"/>
                <w:szCs w:val="21"/>
                <w:highlight w:val="none"/>
              </w:rPr>
            </w:pPr>
          </w:p>
        </w:tc>
        <w:tc>
          <w:tcPr>
            <w:tcW w:w="1560" w:type="dxa"/>
            <w:vAlign w:val="center"/>
          </w:tcPr>
          <w:p w14:paraId="05694AD1">
            <w:pPr>
              <w:snapToGrid w:val="0"/>
              <w:spacing w:line="400" w:lineRule="exact"/>
              <w:rPr>
                <w:rFonts w:hint="eastAsia" w:ascii="宋体" w:hAnsi="宋体" w:eastAsia="宋体" w:cs="宋体"/>
                <w:color w:val="auto"/>
                <w:szCs w:val="21"/>
                <w:highlight w:val="none"/>
              </w:rPr>
            </w:pPr>
          </w:p>
        </w:tc>
        <w:tc>
          <w:tcPr>
            <w:tcW w:w="2018" w:type="dxa"/>
            <w:vAlign w:val="center"/>
          </w:tcPr>
          <w:p w14:paraId="3E9DAE62">
            <w:pPr>
              <w:snapToGrid w:val="0"/>
              <w:spacing w:line="400" w:lineRule="exact"/>
              <w:rPr>
                <w:rFonts w:hint="eastAsia" w:ascii="宋体" w:hAnsi="宋体" w:eastAsia="宋体" w:cs="宋体"/>
                <w:color w:val="auto"/>
                <w:szCs w:val="21"/>
                <w:highlight w:val="none"/>
              </w:rPr>
            </w:pPr>
          </w:p>
        </w:tc>
      </w:tr>
      <w:tr w14:paraId="6435F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ED751B3">
            <w:pPr>
              <w:adjustRightInd w:val="0"/>
              <w:snapToGrid w:val="0"/>
              <w:spacing w:line="400" w:lineRule="exact"/>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19</w:t>
            </w:r>
          </w:p>
        </w:tc>
        <w:tc>
          <w:tcPr>
            <w:tcW w:w="3751" w:type="dxa"/>
            <w:vAlign w:val="center"/>
          </w:tcPr>
          <w:p w14:paraId="77EC7011">
            <w:pPr>
              <w:pStyle w:val="17"/>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中小企业声明函</w:t>
            </w:r>
          </w:p>
        </w:tc>
        <w:tc>
          <w:tcPr>
            <w:tcW w:w="1559" w:type="dxa"/>
            <w:vAlign w:val="center"/>
          </w:tcPr>
          <w:p w14:paraId="2AE0709F">
            <w:pPr>
              <w:jc w:val="center"/>
              <w:rPr>
                <w:rFonts w:hint="eastAsia" w:ascii="宋体" w:hAnsi="宋体" w:eastAsia="宋体" w:cs="宋体"/>
                <w:color w:val="auto"/>
                <w:szCs w:val="21"/>
                <w:highlight w:val="none"/>
              </w:rPr>
            </w:pPr>
          </w:p>
        </w:tc>
        <w:tc>
          <w:tcPr>
            <w:tcW w:w="1560" w:type="dxa"/>
            <w:vAlign w:val="center"/>
          </w:tcPr>
          <w:p w14:paraId="0941C238">
            <w:pPr>
              <w:snapToGrid w:val="0"/>
              <w:spacing w:line="400" w:lineRule="exact"/>
              <w:rPr>
                <w:rFonts w:hint="eastAsia" w:ascii="宋体" w:hAnsi="宋体" w:eastAsia="宋体" w:cs="宋体"/>
                <w:color w:val="auto"/>
                <w:szCs w:val="21"/>
                <w:highlight w:val="none"/>
              </w:rPr>
            </w:pPr>
          </w:p>
        </w:tc>
        <w:tc>
          <w:tcPr>
            <w:tcW w:w="2018" w:type="dxa"/>
            <w:vAlign w:val="center"/>
          </w:tcPr>
          <w:p w14:paraId="1C35F00E">
            <w:pPr>
              <w:snapToGrid w:val="0"/>
              <w:spacing w:line="400" w:lineRule="exact"/>
              <w:rPr>
                <w:rFonts w:hint="eastAsia" w:ascii="宋体" w:hAnsi="宋体" w:eastAsia="宋体" w:cs="宋体"/>
                <w:color w:val="auto"/>
                <w:szCs w:val="21"/>
                <w:highlight w:val="none"/>
              </w:rPr>
            </w:pPr>
          </w:p>
        </w:tc>
      </w:tr>
      <w:tr w14:paraId="07DAA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9262A32">
            <w:pPr>
              <w:adjustRightInd w:val="0"/>
              <w:snapToGrid w:val="0"/>
              <w:spacing w:line="400" w:lineRule="exact"/>
              <w:jc w:val="center"/>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w:t>
            </w:r>
          </w:p>
        </w:tc>
        <w:tc>
          <w:tcPr>
            <w:tcW w:w="3751" w:type="dxa"/>
            <w:vAlign w:val="center"/>
          </w:tcPr>
          <w:p w14:paraId="18A084EA">
            <w:pPr>
              <w:pStyle w:val="17"/>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lang w:val="zh-CN"/>
              </w:rPr>
              <w:t>残疾人福利性单位声明函</w:t>
            </w:r>
          </w:p>
        </w:tc>
        <w:tc>
          <w:tcPr>
            <w:tcW w:w="1559" w:type="dxa"/>
            <w:vAlign w:val="center"/>
          </w:tcPr>
          <w:p w14:paraId="73B87D1C">
            <w:pPr>
              <w:jc w:val="center"/>
              <w:rPr>
                <w:rFonts w:hint="eastAsia" w:ascii="宋体" w:hAnsi="宋体" w:eastAsia="宋体" w:cs="宋体"/>
                <w:color w:val="auto"/>
                <w:szCs w:val="21"/>
                <w:highlight w:val="none"/>
              </w:rPr>
            </w:pPr>
          </w:p>
        </w:tc>
        <w:tc>
          <w:tcPr>
            <w:tcW w:w="1560" w:type="dxa"/>
            <w:vAlign w:val="center"/>
          </w:tcPr>
          <w:p w14:paraId="0759094A">
            <w:pPr>
              <w:snapToGrid w:val="0"/>
              <w:spacing w:line="400" w:lineRule="exact"/>
              <w:rPr>
                <w:rFonts w:hint="eastAsia" w:ascii="宋体" w:hAnsi="宋体" w:eastAsia="宋体" w:cs="宋体"/>
                <w:color w:val="auto"/>
                <w:szCs w:val="21"/>
                <w:highlight w:val="none"/>
              </w:rPr>
            </w:pPr>
          </w:p>
        </w:tc>
        <w:tc>
          <w:tcPr>
            <w:tcW w:w="2018" w:type="dxa"/>
            <w:vAlign w:val="center"/>
          </w:tcPr>
          <w:p w14:paraId="4DE8D2A1">
            <w:pPr>
              <w:snapToGrid w:val="0"/>
              <w:spacing w:line="400" w:lineRule="exact"/>
              <w:rPr>
                <w:rFonts w:hint="eastAsia" w:ascii="宋体" w:hAnsi="宋体" w:eastAsia="宋体" w:cs="宋体"/>
                <w:color w:val="auto"/>
                <w:szCs w:val="21"/>
                <w:highlight w:val="none"/>
              </w:rPr>
            </w:pPr>
          </w:p>
        </w:tc>
      </w:tr>
      <w:tr w14:paraId="1C7F7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76709B7">
            <w:pPr>
              <w:adjustRightInd w:val="0"/>
              <w:snapToGrid w:val="0"/>
              <w:spacing w:line="400" w:lineRule="exact"/>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21</w:t>
            </w:r>
          </w:p>
        </w:tc>
        <w:tc>
          <w:tcPr>
            <w:tcW w:w="3751" w:type="dxa"/>
            <w:vAlign w:val="center"/>
          </w:tcPr>
          <w:p w14:paraId="031B9696">
            <w:pPr>
              <w:pStyle w:val="17"/>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监狱企业证明文件</w:t>
            </w:r>
          </w:p>
        </w:tc>
        <w:tc>
          <w:tcPr>
            <w:tcW w:w="1559" w:type="dxa"/>
            <w:vAlign w:val="center"/>
          </w:tcPr>
          <w:p w14:paraId="4905A59F">
            <w:pPr>
              <w:jc w:val="center"/>
              <w:rPr>
                <w:rFonts w:hint="eastAsia" w:ascii="宋体" w:hAnsi="宋体" w:eastAsia="宋体" w:cs="宋体"/>
                <w:color w:val="auto"/>
                <w:szCs w:val="21"/>
                <w:highlight w:val="none"/>
              </w:rPr>
            </w:pPr>
          </w:p>
        </w:tc>
        <w:tc>
          <w:tcPr>
            <w:tcW w:w="1560" w:type="dxa"/>
            <w:vAlign w:val="center"/>
          </w:tcPr>
          <w:p w14:paraId="7E29E066">
            <w:pPr>
              <w:snapToGrid w:val="0"/>
              <w:spacing w:line="400" w:lineRule="exact"/>
              <w:rPr>
                <w:rFonts w:hint="eastAsia" w:ascii="宋体" w:hAnsi="宋体" w:eastAsia="宋体" w:cs="宋体"/>
                <w:color w:val="auto"/>
                <w:szCs w:val="21"/>
                <w:highlight w:val="none"/>
              </w:rPr>
            </w:pPr>
          </w:p>
        </w:tc>
        <w:tc>
          <w:tcPr>
            <w:tcW w:w="2018" w:type="dxa"/>
            <w:vAlign w:val="center"/>
          </w:tcPr>
          <w:p w14:paraId="63B27EB1">
            <w:pPr>
              <w:snapToGrid w:val="0"/>
              <w:spacing w:line="400" w:lineRule="exact"/>
              <w:rPr>
                <w:rFonts w:hint="eastAsia" w:ascii="宋体" w:hAnsi="宋体" w:eastAsia="宋体" w:cs="宋体"/>
                <w:color w:val="auto"/>
                <w:szCs w:val="21"/>
                <w:highlight w:val="none"/>
              </w:rPr>
            </w:pPr>
          </w:p>
        </w:tc>
      </w:tr>
      <w:tr w14:paraId="3029E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14:paraId="7A3F0371">
            <w:pPr>
              <w:adjustRightInd w:val="0"/>
              <w:snapToGrid w:val="0"/>
              <w:spacing w:line="400" w:lineRule="exact"/>
              <w:jc w:val="center"/>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22</w:t>
            </w:r>
          </w:p>
        </w:tc>
        <w:tc>
          <w:tcPr>
            <w:tcW w:w="3751" w:type="dxa"/>
            <w:tcBorders>
              <w:bottom w:val="single" w:color="auto" w:sz="4" w:space="0"/>
            </w:tcBorders>
            <w:vAlign w:val="center"/>
          </w:tcPr>
          <w:p w14:paraId="09CC80D5">
            <w:pPr>
              <w:pStyle w:val="17"/>
              <w:kinsoku w:val="0"/>
              <w:overflowPunct w:val="0"/>
              <w:autoSpaceDE w:val="0"/>
              <w:autoSpaceDN w:val="0"/>
              <w:spacing w:line="320" w:lineRule="exac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其</w:t>
            </w:r>
            <w:r>
              <w:rPr>
                <w:rFonts w:hint="eastAsia" w:ascii="宋体" w:hAnsi="宋体" w:eastAsia="宋体" w:cs="宋体"/>
                <w:bCs/>
                <w:color w:val="auto"/>
                <w:kern w:val="0"/>
                <w:sz w:val="21"/>
                <w:szCs w:val="21"/>
                <w:highlight w:val="none"/>
                <w:lang w:val="en-US" w:eastAsia="zh-CN"/>
              </w:rPr>
              <w:t>他</w:t>
            </w:r>
            <w:r>
              <w:rPr>
                <w:rFonts w:hint="eastAsia" w:ascii="宋体" w:hAnsi="宋体" w:eastAsia="宋体" w:cs="宋体"/>
                <w:bCs/>
                <w:color w:val="auto"/>
                <w:kern w:val="0"/>
                <w:sz w:val="21"/>
                <w:szCs w:val="21"/>
                <w:highlight w:val="none"/>
              </w:rPr>
              <w:t>资料</w:t>
            </w:r>
          </w:p>
        </w:tc>
        <w:tc>
          <w:tcPr>
            <w:tcW w:w="1559" w:type="dxa"/>
            <w:vAlign w:val="center"/>
          </w:tcPr>
          <w:p w14:paraId="79050880">
            <w:pPr>
              <w:pStyle w:val="17"/>
              <w:rPr>
                <w:rFonts w:hint="eastAsia" w:ascii="宋体" w:hAnsi="宋体" w:eastAsia="宋体" w:cs="宋体"/>
                <w:color w:val="auto"/>
                <w:szCs w:val="21"/>
                <w:highlight w:val="none"/>
              </w:rPr>
            </w:pPr>
          </w:p>
        </w:tc>
        <w:tc>
          <w:tcPr>
            <w:tcW w:w="1560" w:type="dxa"/>
            <w:vAlign w:val="center"/>
          </w:tcPr>
          <w:p w14:paraId="17BDE072">
            <w:pPr>
              <w:snapToGrid w:val="0"/>
              <w:spacing w:line="400" w:lineRule="exact"/>
              <w:rPr>
                <w:rFonts w:hint="eastAsia" w:ascii="宋体" w:hAnsi="宋体" w:eastAsia="宋体" w:cs="宋体"/>
                <w:color w:val="auto"/>
                <w:szCs w:val="21"/>
                <w:highlight w:val="none"/>
              </w:rPr>
            </w:pPr>
          </w:p>
        </w:tc>
        <w:tc>
          <w:tcPr>
            <w:tcW w:w="2018" w:type="dxa"/>
            <w:vAlign w:val="center"/>
          </w:tcPr>
          <w:p w14:paraId="2941030B">
            <w:pPr>
              <w:snapToGrid w:val="0"/>
              <w:spacing w:line="400" w:lineRule="exact"/>
              <w:rPr>
                <w:rFonts w:hint="eastAsia" w:ascii="宋体" w:hAnsi="宋体" w:eastAsia="宋体" w:cs="宋体"/>
                <w:color w:val="auto"/>
                <w:szCs w:val="21"/>
                <w:highlight w:val="none"/>
              </w:rPr>
            </w:pPr>
          </w:p>
        </w:tc>
      </w:tr>
    </w:tbl>
    <w:p w14:paraId="0A1B236C">
      <w:pPr>
        <w:pStyle w:val="17"/>
        <w:spacing w:line="360" w:lineRule="auto"/>
        <w:jc w:val="center"/>
        <w:rPr>
          <w:rFonts w:hint="eastAsia" w:ascii="宋体" w:hAnsi="宋体" w:eastAsia="宋体" w:cs="宋体"/>
          <w:b/>
          <w:snapToGrid w:val="0"/>
          <w:color w:val="auto"/>
          <w:kern w:val="0"/>
          <w:sz w:val="28"/>
          <w:szCs w:val="28"/>
          <w:highlight w:val="none"/>
        </w:rPr>
      </w:pPr>
    </w:p>
    <w:p w14:paraId="13F83081">
      <w:pPr>
        <w:pStyle w:val="17"/>
        <w:spacing w:line="360" w:lineRule="auto"/>
        <w:jc w:val="center"/>
        <w:rPr>
          <w:rFonts w:hint="eastAsia" w:ascii="宋体" w:hAnsi="宋体" w:eastAsia="宋体" w:cs="宋体"/>
          <w:b/>
          <w:snapToGrid w:val="0"/>
          <w:color w:val="auto"/>
          <w:kern w:val="0"/>
          <w:sz w:val="28"/>
          <w:szCs w:val="28"/>
          <w:highlight w:val="none"/>
        </w:rPr>
      </w:pPr>
    </w:p>
    <w:p w14:paraId="1A40F831">
      <w:pPr>
        <w:pStyle w:val="17"/>
        <w:spacing w:line="360" w:lineRule="auto"/>
        <w:jc w:val="center"/>
        <w:rPr>
          <w:rFonts w:hint="eastAsia" w:ascii="宋体" w:hAnsi="宋体" w:eastAsia="宋体" w:cs="宋体"/>
          <w:b/>
          <w:snapToGrid w:val="0"/>
          <w:color w:val="auto"/>
          <w:kern w:val="0"/>
          <w:sz w:val="28"/>
          <w:szCs w:val="28"/>
          <w:highlight w:val="none"/>
        </w:rPr>
      </w:pPr>
    </w:p>
    <w:p w14:paraId="466F888C">
      <w:pPr>
        <w:pStyle w:val="17"/>
        <w:spacing w:line="360" w:lineRule="auto"/>
        <w:jc w:val="center"/>
        <w:rPr>
          <w:rFonts w:hint="eastAsia" w:ascii="宋体" w:hAnsi="宋体" w:eastAsia="宋体" w:cs="宋体"/>
          <w:b/>
          <w:snapToGrid w:val="0"/>
          <w:color w:val="auto"/>
          <w:kern w:val="0"/>
          <w:sz w:val="28"/>
          <w:szCs w:val="28"/>
          <w:highlight w:val="none"/>
        </w:rPr>
      </w:pPr>
    </w:p>
    <w:p w14:paraId="0ABDE911">
      <w:pPr>
        <w:pStyle w:val="17"/>
        <w:spacing w:line="360" w:lineRule="auto"/>
        <w:jc w:val="center"/>
        <w:rPr>
          <w:rFonts w:hint="eastAsia" w:ascii="宋体" w:hAnsi="宋体" w:eastAsia="宋体" w:cs="宋体"/>
          <w:b/>
          <w:snapToGrid w:val="0"/>
          <w:color w:val="auto"/>
          <w:kern w:val="0"/>
          <w:sz w:val="28"/>
          <w:szCs w:val="28"/>
          <w:highlight w:val="none"/>
        </w:rPr>
      </w:pPr>
    </w:p>
    <w:p w14:paraId="5EB8E7DD">
      <w:pPr>
        <w:pStyle w:val="17"/>
        <w:spacing w:line="360" w:lineRule="auto"/>
        <w:jc w:val="center"/>
        <w:rPr>
          <w:rFonts w:hint="eastAsia" w:ascii="宋体" w:hAnsi="宋体" w:eastAsia="宋体" w:cs="宋体"/>
          <w:b/>
          <w:snapToGrid w:val="0"/>
          <w:color w:val="auto"/>
          <w:kern w:val="0"/>
          <w:sz w:val="28"/>
          <w:szCs w:val="28"/>
          <w:highlight w:val="none"/>
        </w:rPr>
      </w:pPr>
    </w:p>
    <w:p w14:paraId="35B3B805">
      <w:pPr>
        <w:pStyle w:val="17"/>
        <w:spacing w:line="360" w:lineRule="auto"/>
        <w:jc w:val="center"/>
        <w:rPr>
          <w:rFonts w:hint="eastAsia" w:ascii="宋体" w:hAnsi="宋体" w:eastAsia="宋体" w:cs="宋体"/>
          <w:b/>
          <w:snapToGrid w:val="0"/>
          <w:color w:val="auto"/>
          <w:kern w:val="0"/>
          <w:sz w:val="28"/>
          <w:szCs w:val="28"/>
          <w:highlight w:val="none"/>
        </w:rPr>
      </w:pPr>
    </w:p>
    <w:p w14:paraId="66CA99C0">
      <w:pPr>
        <w:pStyle w:val="17"/>
        <w:spacing w:line="360" w:lineRule="auto"/>
        <w:jc w:val="center"/>
        <w:rPr>
          <w:rFonts w:hint="eastAsia" w:ascii="宋体" w:hAnsi="宋体" w:eastAsia="宋体" w:cs="宋体"/>
          <w:b/>
          <w:snapToGrid w:val="0"/>
          <w:color w:val="auto"/>
          <w:kern w:val="0"/>
          <w:sz w:val="28"/>
          <w:szCs w:val="28"/>
          <w:highlight w:val="none"/>
        </w:rPr>
      </w:pPr>
    </w:p>
    <w:p w14:paraId="46D1F9C2">
      <w:pPr>
        <w:pStyle w:val="17"/>
        <w:spacing w:line="360" w:lineRule="auto"/>
        <w:jc w:val="center"/>
        <w:rPr>
          <w:rFonts w:hint="eastAsia" w:ascii="宋体" w:hAnsi="宋体" w:eastAsia="宋体" w:cs="宋体"/>
          <w:b/>
          <w:snapToGrid w:val="0"/>
          <w:color w:val="auto"/>
          <w:kern w:val="0"/>
          <w:sz w:val="28"/>
          <w:szCs w:val="28"/>
          <w:highlight w:val="none"/>
        </w:rPr>
      </w:pPr>
    </w:p>
    <w:p w14:paraId="4CDCD8AC">
      <w:pPr>
        <w:pStyle w:val="17"/>
        <w:spacing w:line="360" w:lineRule="auto"/>
        <w:jc w:val="center"/>
        <w:rPr>
          <w:rFonts w:hint="eastAsia" w:ascii="宋体" w:hAnsi="宋体" w:eastAsia="宋体" w:cs="宋体"/>
          <w:b/>
          <w:snapToGrid w:val="0"/>
          <w:color w:val="auto"/>
          <w:kern w:val="0"/>
          <w:sz w:val="28"/>
          <w:szCs w:val="28"/>
          <w:highlight w:val="none"/>
        </w:rPr>
      </w:pPr>
    </w:p>
    <w:p w14:paraId="51A8CBA8">
      <w:pPr>
        <w:pStyle w:val="17"/>
        <w:spacing w:line="360" w:lineRule="auto"/>
        <w:jc w:val="center"/>
        <w:rPr>
          <w:rFonts w:hint="eastAsia" w:ascii="宋体" w:hAnsi="宋体" w:eastAsia="宋体" w:cs="宋体"/>
          <w:b/>
          <w:snapToGrid w:val="0"/>
          <w:color w:val="auto"/>
          <w:kern w:val="0"/>
          <w:sz w:val="28"/>
          <w:szCs w:val="28"/>
          <w:highlight w:val="none"/>
        </w:rPr>
      </w:pPr>
    </w:p>
    <w:p w14:paraId="3CE3E696">
      <w:pPr>
        <w:pStyle w:val="17"/>
        <w:spacing w:line="360" w:lineRule="auto"/>
        <w:jc w:val="center"/>
        <w:rPr>
          <w:rFonts w:hint="eastAsia" w:ascii="宋体" w:hAnsi="宋体" w:eastAsia="宋体" w:cs="宋体"/>
          <w:b/>
          <w:snapToGrid w:val="0"/>
          <w:color w:val="auto"/>
          <w:kern w:val="0"/>
          <w:sz w:val="28"/>
          <w:szCs w:val="28"/>
          <w:highlight w:val="none"/>
        </w:rPr>
      </w:pPr>
    </w:p>
    <w:p w14:paraId="1ADEB8E6">
      <w:pPr>
        <w:pStyle w:val="17"/>
        <w:spacing w:line="360" w:lineRule="auto"/>
        <w:jc w:val="center"/>
        <w:rPr>
          <w:rFonts w:hint="eastAsia" w:ascii="宋体" w:hAnsi="宋体" w:eastAsia="宋体" w:cs="宋体"/>
          <w:b/>
          <w:snapToGrid w:val="0"/>
          <w:color w:val="auto"/>
          <w:kern w:val="0"/>
          <w:sz w:val="28"/>
          <w:szCs w:val="28"/>
          <w:highlight w:val="none"/>
        </w:rPr>
      </w:pPr>
    </w:p>
    <w:p w14:paraId="54A533FA">
      <w:pPr>
        <w:pStyle w:val="17"/>
        <w:spacing w:line="360" w:lineRule="auto"/>
        <w:jc w:val="center"/>
        <w:rPr>
          <w:rFonts w:hint="eastAsia" w:ascii="宋体" w:hAnsi="宋体" w:eastAsia="宋体" w:cs="宋体"/>
          <w:b/>
          <w:snapToGrid w:val="0"/>
          <w:color w:val="auto"/>
          <w:kern w:val="0"/>
          <w:sz w:val="28"/>
          <w:szCs w:val="28"/>
          <w:highlight w:val="none"/>
        </w:rPr>
      </w:pPr>
    </w:p>
    <w:p w14:paraId="7D0621B6">
      <w:pPr>
        <w:pStyle w:val="17"/>
        <w:spacing w:line="360" w:lineRule="auto"/>
        <w:jc w:val="center"/>
        <w:rPr>
          <w:rFonts w:hint="eastAsia" w:ascii="宋体" w:hAnsi="宋体" w:eastAsia="宋体" w:cs="宋体"/>
          <w:b/>
          <w:snapToGrid w:val="0"/>
          <w:color w:val="auto"/>
          <w:kern w:val="0"/>
          <w:sz w:val="28"/>
          <w:szCs w:val="28"/>
          <w:highlight w:val="none"/>
        </w:rPr>
      </w:pPr>
    </w:p>
    <w:p w14:paraId="70F15524">
      <w:pPr>
        <w:pStyle w:val="17"/>
        <w:spacing w:line="360" w:lineRule="auto"/>
        <w:jc w:val="center"/>
        <w:rPr>
          <w:rFonts w:hint="eastAsia" w:ascii="宋体" w:hAnsi="宋体" w:eastAsia="宋体" w:cs="宋体"/>
          <w:b/>
          <w:snapToGrid w:val="0"/>
          <w:color w:val="auto"/>
          <w:kern w:val="0"/>
          <w:sz w:val="28"/>
          <w:szCs w:val="28"/>
          <w:highlight w:val="none"/>
        </w:rPr>
      </w:pPr>
    </w:p>
    <w:p w14:paraId="423FDDA7">
      <w:pPr>
        <w:pStyle w:val="17"/>
        <w:spacing w:line="360" w:lineRule="auto"/>
        <w:jc w:val="center"/>
        <w:rPr>
          <w:rFonts w:hint="eastAsia" w:ascii="宋体" w:hAnsi="宋体" w:eastAsia="宋体" w:cs="宋体"/>
          <w:b/>
          <w:snapToGrid w:val="0"/>
          <w:color w:val="auto"/>
          <w:kern w:val="0"/>
          <w:sz w:val="28"/>
          <w:szCs w:val="28"/>
          <w:highlight w:val="none"/>
        </w:rPr>
      </w:pPr>
    </w:p>
    <w:p w14:paraId="56947137">
      <w:pPr>
        <w:pStyle w:val="17"/>
        <w:spacing w:line="360" w:lineRule="auto"/>
        <w:jc w:val="center"/>
        <w:rPr>
          <w:rFonts w:hint="eastAsia" w:ascii="宋体" w:hAnsi="宋体" w:eastAsia="宋体" w:cs="宋体"/>
          <w:b/>
          <w:snapToGrid w:val="0"/>
          <w:color w:val="auto"/>
          <w:kern w:val="0"/>
          <w:sz w:val="28"/>
          <w:szCs w:val="28"/>
          <w:highlight w:val="none"/>
        </w:rPr>
      </w:pPr>
    </w:p>
    <w:p w14:paraId="5E9EE2E4">
      <w:pPr>
        <w:pStyle w:val="17"/>
        <w:spacing w:line="360" w:lineRule="auto"/>
        <w:rPr>
          <w:rFonts w:hint="eastAsia" w:ascii="宋体" w:hAnsi="宋体" w:eastAsia="宋体" w:cs="宋体"/>
          <w:b/>
          <w:snapToGrid w:val="0"/>
          <w:color w:val="auto"/>
          <w:kern w:val="0"/>
          <w:sz w:val="28"/>
          <w:szCs w:val="28"/>
          <w:highlight w:val="none"/>
        </w:rPr>
      </w:pPr>
    </w:p>
    <w:p w14:paraId="62BF9695">
      <w:pPr>
        <w:pStyle w:val="17"/>
        <w:spacing w:line="360" w:lineRule="auto"/>
        <w:jc w:val="center"/>
        <w:rPr>
          <w:rFonts w:hint="eastAsia" w:ascii="宋体" w:hAnsi="宋体" w:eastAsia="宋体" w:cs="宋体"/>
          <w:b/>
          <w:snapToGrid w:val="0"/>
          <w:color w:val="auto"/>
          <w:kern w:val="0"/>
          <w:sz w:val="28"/>
          <w:szCs w:val="28"/>
          <w:highlight w:val="none"/>
        </w:rPr>
      </w:pPr>
      <w:r>
        <w:rPr>
          <w:rFonts w:hint="eastAsia" w:ascii="宋体" w:hAnsi="宋体" w:eastAsia="宋体" w:cs="宋体"/>
          <w:b/>
          <w:snapToGrid w:val="0"/>
          <w:color w:val="auto"/>
          <w:kern w:val="0"/>
          <w:sz w:val="28"/>
          <w:szCs w:val="28"/>
          <w:highlight w:val="none"/>
        </w:rPr>
        <w:t>二、开标一览表</w:t>
      </w:r>
    </w:p>
    <w:p w14:paraId="7D1DEA71">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p>
    <w:p w14:paraId="7FB3CBDF">
      <w:pPr>
        <w:autoSpaceDE w:val="0"/>
        <w:autoSpaceDN w:val="0"/>
        <w:adjustRightIn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项目名称：                                             </w:t>
      </w:r>
      <w:r>
        <w:rPr>
          <w:rFonts w:hint="eastAsia" w:ascii="宋体" w:hAnsi="宋体" w:eastAsia="宋体" w:cs="宋体"/>
          <w:color w:val="auto"/>
          <w:szCs w:val="21"/>
          <w:highlight w:val="none"/>
          <w:lang w:eastAsia="zh-CN"/>
        </w:rPr>
        <w:t>单位：元</w:t>
      </w:r>
    </w:p>
    <w:tbl>
      <w:tblPr>
        <w:tblStyle w:val="29"/>
        <w:tblW w:w="9356" w:type="dxa"/>
        <w:tblInd w:w="-292" w:type="dxa"/>
        <w:tblLayout w:type="fixed"/>
        <w:tblCellMar>
          <w:top w:w="0" w:type="dxa"/>
          <w:left w:w="108" w:type="dxa"/>
          <w:bottom w:w="0" w:type="dxa"/>
          <w:right w:w="108" w:type="dxa"/>
        </w:tblCellMar>
      </w:tblPr>
      <w:tblGrid>
        <w:gridCol w:w="851"/>
        <w:gridCol w:w="2268"/>
        <w:gridCol w:w="2694"/>
        <w:gridCol w:w="1984"/>
        <w:gridCol w:w="1559"/>
      </w:tblGrid>
      <w:tr w14:paraId="0D00262F">
        <w:tblPrEx>
          <w:tblCellMar>
            <w:top w:w="0" w:type="dxa"/>
            <w:left w:w="108" w:type="dxa"/>
            <w:bottom w:w="0" w:type="dxa"/>
            <w:right w:w="108" w:type="dxa"/>
          </w:tblCellMar>
        </w:tblPrEx>
        <w:trPr>
          <w:trHeight w:val="851" w:hRule="atLeast"/>
        </w:trPr>
        <w:tc>
          <w:tcPr>
            <w:tcW w:w="851" w:type="dxa"/>
            <w:tcBorders>
              <w:top w:val="single" w:color="auto" w:sz="6" w:space="0"/>
              <w:left w:val="single" w:color="auto" w:sz="6" w:space="0"/>
              <w:bottom w:val="single" w:color="auto" w:sz="6" w:space="0"/>
              <w:right w:val="single" w:color="auto" w:sz="6" w:space="0"/>
            </w:tcBorders>
            <w:shd w:val="clear" w:color="auto" w:fill="auto"/>
            <w:vAlign w:val="center"/>
          </w:tcPr>
          <w:p w14:paraId="0ED8007A">
            <w:pPr>
              <w:autoSpaceDE w:val="0"/>
              <w:autoSpaceDN w:val="0"/>
              <w:adjustRightIn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标段</w:t>
            </w:r>
          </w:p>
        </w:tc>
        <w:tc>
          <w:tcPr>
            <w:tcW w:w="2268" w:type="dxa"/>
            <w:tcBorders>
              <w:top w:val="single" w:color="auto" w:sz="6" w:space="0"/>
              <w:left w:val="single" w:color="auto" w:sz="6" w:space="0"/>
              <w:bottom w:val="single" w:color="auto" w:sz="6" w:space="0"/>
              <w:right w:val="single" w:color="auto" w:sz="6" w:space="0"/>
            </w:tcBorders>
            <w:shd w:val="clear" w:color="auto" w:fill="auto"/>
            <w:vAlign w:val="center"/>
          </w:tcPr>
          <w:p w14:paraId="674B330E">
            <w:pPr>
              <w:autoSpaceDE w:val="0"/>
              <w:autoSpaceDN w:val="0"/>
              <w:adjustRightIn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项目名称</w:t>
            </w:r>
          </w:p>
        </w:tc>
        <w:tc>
          <w:tcPr>
            <w:tcW w:w="2694" w:type="dxa"/>
            <w:tcBorders>
              <w:top w:val="single" w:color="auto" w:sz="6" w:space="0"/>
              <w:left w:val="single" w:color="auto" w:sz="6" w:space="0"/>
              <w:bottom w:val="single" w:color="auto" w:sz="6" w:space="0"/>
              <w:right w:val="single" w:color="auto" w:sz="6" w:space="0"/>
            </w:tcBorders>
            <w:shd w:val="clear" w:color="auto" w:fill="auto"/>
            <w:vAlign w:val="center"/>
          </w:tcPr>
          <w:p w14:paraId="1825AB2C">
            <w:pPr>
              <w:autoSpaceDE w:val="0"/>
              <w:autoSpaceDN w:val="0"/>
              <w:adjustRightInd w:val="0"/>
              <w:spacing w:line="360" w:lineRule="auto"/>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eastAsia="zh-CN"/>
              </w:rPr>
              <w:t>报价</w:t>
            </w:r>
          </w:p>
        </w:tc>
        <w:tc>
          <w:tcPr>
            <w:tcW w:w="1984" w:type="dxa"/>
            <w:tcBorders>
              <w:top w:val="single" w:color="auto" w:sz="6" w:space="0"/>
              <w:left w:val="single" w:color="auto" w:sz="4" w:space="0"/>
              <w:bottom w:val="single" w:color="auto" w:sz="6" w:space="0"/>
              <w:right w:val="single" w:color="auto" w:sz="4" w:space="0"/>
            </w:tcBorders>
            <w:shd w:val="clear" w:color="auto" w:fill="auto"/>
            <w:vAlign w:val="center"/>
          </w:tcPr>
          <w:p w14:paraId="170B8CA5">
            <w:pPr>
              <w:autoSpaceDE w:val="0"/>
              <w:autoSpaceDN w:val="0"/>
              <w:adjustRightIn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合同履行期限</w:t>
            </w:r>
          </w:p>
        </w:tc>
        <w:tc>
          <w:tcPr>
            <w:tcW w:w="1559" w:type="dxa"/>
            <w:tcBorders>
              <w:top w:val="single" w:color="auto" w:sz="6" w:space="0"/>
              <w:left w:val="single" w:color="auto" w:sz="6" w:space="0"/>
              <w:bottom w:val="single" w:color="auto" w:sz="6" w:space="0"/>
              <w:right w:val="single" w:color="auto" w:sz="6" w:space="0"/>
            </w:tcBorders>
            <w:shd w:val="clear" w:color="auto" w:fill="auto"/>
            <w:vAlign w:val="center"/>
          </w:tcPr>
          <w:p w14:paraId="2E87824A">
            <w:pPr>
              <w:autoSpaceDE w:val="0"/>
              <w:autoSpaceDN w:val="0"/>
              <w:adjustRightIn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36273D72">
        <w:tblPrEx>
          <w:tblCellMar>
            <w:top w:w="0" w:type="dxa"/>
            <w:left w:w="108" w:type="dxa"/>
            <w:bottom w:w="0" w:type="dxa"/>
            <w:right w:w="108" w:type="dxa"/>
          </w:tblCellMar>
        </w:tblPrEx>
        <w:trPr>
          <w:trHeight w:val="851" w:hRule="atLeast"/>
        </w:trPr>
        <w:tc>
          <w:tcPr>
            <w:tcW w:w="851" w:type="dxa"/>
            <w:tcBorders>
              <w:top w:val="single" w:color="auto" w:sz="6" w:space="0"/>
              <w:left w:val="single" w:color="auto" w:sz="6" w:space="0"/>
              <w:bottom w:val="single" w:color="auto" w:sz="6" w:space="0"/>
              <w:right w:val="single" w:color="auto" w:sz="6" w:space="0"/>
            </w:tcBorders>
            <w:vAlign w:val="center"/>
          </w:tcPr>
          <w:p w14:paraId="1B53079A">
            <w:pPr>
              <w:autoSpaceDE w:val="0"/>
              <w:autoSpaceDN w:val="0"/>
              <w:adjustRightInd w:val="0"/>
              <w:spacing w:line="360" w:lineRule="auto"/>
              <w:rPr>
                <w:rFonts w:hint="eastAsia" w:ascii="宋体" w:hAnsi="宋体" w:eastAsia="宋体" w:cs="宋体"/>
                <w:color w:val="auto"/>
                <w:szCs w:val="21"/>
                <w:highlight w:val="none"/>
              </w:rPr>
            </w:pPr>
          </w:p>
        </w:tc>
        <w:tc>
          <w:tcPr>
            <w:tcW w:w="2268" w:type="dxa"/>
            <w:tcBorders>
              <w:top w:val="single" w:color="auto" w:sz="6" w:space="0"/>
              <w:left w:val="single" w:color="auto" w:sz="6" w:space="0"/>
              <w:bottom w:val="single" w:color="auto" w:sz="6" w:space="0"/>
              <w:right w:val="single" w:color="auto" w:sz="6" w:space="0"/>
            </w:tcBorders>
            <w:vAlign w:val="center"/>
          </w:tcPr>
          <w:p w14:paraId="7C867ADE">
            <w:pPr>
              <w:autoSpaceDE w:val="0"/>
              <w:autoSpaceDN w:val="0"/>
              <w:adjustRightInd w:val="0"/>
              <w:spacing w:line="360" w:lineRule="auto"/>
              <w:rPr>
                <w:rFonts w:hint="eastAsia" w:ascii="宋体" w:hAnsi="宋体" w:eastAsia="宋体" w:cs="宋体"/>
                <w:color w:val="auto"/>
                <w:szCs w:val="21"/>
                <w:highlight w:val="none"/>
              </w:rPr>
            </w:pPr>
          </w:p>
        </w:tc>
        <w:tc>
          <w:tcPr>
            <w:tcW w:w="2694" w:type="dxa"/>
            <w:tcBorders>
              <w:top w:val="single" w:color="auto" w:sz="6" w:space="0"/>
              <w:left w:val="single" w:color="auto" w:sz="6" w:space="0"/>
              <w:bottom w:val="single" w:color="auto" w:sz="6" w:space="0"/>
              <w:right w:val="single" w:color="auto" w:sz="6" w:space="0"/>
            </w:tcBorders>
            <w:vAlign w:val="center"/>
          </w:tcPr>
          <w:p w14:paraId="58114F4F">
            <w:pPr>
              <w:autoSpaceDE w:val="0"/>
              <w:autoSpaceDN w:val="0"/>
              <w:adjustRightIn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大写：</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小写：</w:t>
            </w:r>
          </w:p>
        </w:tc>
        <w:tc>
          <w:tcPr>
            <w:tcW w:w="1984" w:type="dxa"/>
            <w:tcBorders>
              <w:top w:val="single" w:color="auto" w:sz="6" w:space="0"/>
              <w:left w:val="single" w:color="auto" w:sz="4" w:space="0"/>
              <w:bottom w:val="single" w:color="auto" w:sz="6" w:space="0"/>
              <w:right w:val="single" w:color="auto" w:sz="4" w:space="0"/>
            </w:tcBorders>
            <w:vAlign w:val="center"/>
          </w:tcPr>
          <w:p w14:paraId="679CD9D6">
            <w:pPr>
              <w:autoSpaceDE w:val="0"/>
              <w:autoSpaceDN w:val="0"/>
              <w:adjustRightInd w:val="0"/>
              <w:spacing w:line="360" w:lineRule="auto"/>
              <w:rPr>
                <w:rFonts w:hint="eastAsia" w:ascii="宋体" w:hAnsi="宋体" w:eastAsia="宋体" w:cs="宋体"/>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14:paraId="46E8B3BD">
            <w:pPr>
              <w:autoSpaceDE w:val="0"/>
              <w:autoSpaceDN w:val="0"/>
              <w:adjustRightInd w:val="0"/>
              <w:spacing w:line="360" w:lineRule="auto"/>
              <w:rPr>
                <w:rFonts w:hint="eastAsia" w:ascii="宋体" w:hAnsi="宋体" w:eastAsia="宋体" w:cs="宋体"/>
                <w:color w:val="auto"/>
                <w:szCs w:val="21"/>
                <w:highlight w:val="none"/>
              </w:rPr>
            </w:pPr>
          </w:p>
        </w:tc>
      </w:tr>
    </w:tbl>
    <w:p w14:paraId="5B7B47BA">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（全称）   </w:t>
      </w:r>
      <w:r>
        <w:rPr>
          <w:rFonts w:hint="eastAsia" w:ascii="宋体" w:hAnsi="宋体" w:eastAsia="宋体" w:cs="宋体"/>
          <w:color w:val="auto"/>
          <w:szCs w:val="21"/>
          <w:highlight w:val="none"/>
        </w:rPr>
        <w:t>（公章）：</w:t>
      </w:r>
    </w:p>
    <w:p w14:paraId="140B8EBA">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投标人法定代表人（或授权代表）签字：</w:t>
      </w:r>
    </w:p>
    <w:p w14:paraId="7308B2F9">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14:paraId="69053D3E">
      <w:pPr>
        <w:autoSpaceDE w:val="0"/>
        <w:autoSpaceDN w:val="0"/>
        <w:adjustRightInd w:val="0"/>
        <w:spacing w:line="360" w:lineRule="auto"/>
        <w:rPr>
          <w:rFonts w:hint="eastAsia" w:ascii="宋体" w:hAnsi="宋体" w:eastAsia="宋体" w:cs="宋体"/>
          <w:color w:val="auto"/>
          <w:sz w:val="24"/>
          <w:highlight w:val="none"/>
          <w:lang w:val="zh-CN"/>
        </w:rPr>
      </w:pPr>
    </w:p>
    <w:p w14:paraId="1763624B">
      <w:pPr>
        <w:autoSpaceDE w:val="0"/>
        <w:autoSpaceDN w:val="0"/>
        <w:adjustRightInd w:val="0"/>
        <w:spacing w:line="360" w:lineRule="auto"/>
        <w:rPr>
          <w:rFonts w:hint="eastAsia" w:ascii="宋体" w:hAnsi="宋体" w:eastAsia="宋体" w:cs="宋体"/>
          <w:color w:val="auto"/>
          <w:sz w:val="24"/>
          <w:highlight w:val="none"/>
          <w:lang w:val="zh-CN"/>
        </w:rPr>
      </w:pPr>
    </w:p>
    <w:p w14:paraId="6FBAD369">
      <w:pPr>
        <w:autoSpaceDE w:val="0"/>
        <w:autoSpaceDN w:val="0"/>
        <w:adjustRightInd w:val="0"/>
        <w:spacing w:line="360" w:lineRule="auto"/>
        <w:rPr>
          <w:rFonts w:hint="eastAsia" w:ascii="宋体" w:hAnsi="宋体" w:eastAsia="宋体" w:cs="宋体"/>
          <w:color w:val="auto"/>
          <w:sz w:val="24"/>
          <w:highlight w:val="none"/>
          <w:lang w:val="zh-CN"/>
        </w:rPr>
      </w:pPr>
    </w:p>
    <w:p w14:paraId="74E1AFCE">
      <w:pPr>
        <w:autoSpaceDE w:val="0"/>
        <w:autoSpaceDN w:val="0"/>
        <w:adjustRightInd w:val="0"/>
        <w:spacing w:line="360" w:lineRule="auto"/>
        <w:rPr>
          <w:rFonts w:hint="eastAsia" w:ascii="宋体" w:hAnsi="宋体" w:eastAsia="宋体" w:cs="宋体"/>
          <w:color w:val="auto"/>
          <w:sz w:val="24"/>
          <w:highlight w:val="none"/>
          <w:lang w:val="zh-CN"/>
        </w:rPr>
      </w:pPr>
    </w:p>
    <w:p w14:paraId="446C4433">
      <w:pPr>
        <w:autoSpaceDE w:val="0"/>
        <w:autoSpaceDN w:val="0"/>
        <w:adjustRightInd w:val="0"/>
        <w:spacing w:line="360" w:lineRule="auto"/>
        <w:rPr>
          <w:rFonts w:hint="eastAsia" w:ascii="宋体" w:hAnsi="宋体" w:eastAsia="宋体" w:cs="宋体"/>
          <w:color w:val="auto"/>
          <w:sz w:val="24"/>
          <w:highlight w:val="none"/>
          <w:lang w:val="zh-CN"/>
        </w:rPr>
      </w:pPr>
    </w:p>
    <w:p w14:paraId="59C8FED0">
      <w:pPr>
        <w:autoSpaceDE w:val="0"/>
        <w:autoSpaceDN w:val="0"/>
        <w:adjustRightInd w:val="0"/>
        <w:spacing w:line="360" w:lineRule="auto"/>
        <w:rPr>
          <w:rFonts w:hint="eastAsia" w:ascii="宋体" w:hAnsi="宋体" w:eastAsia="宋体" w:cs="宋体"/>
          <w:color w:val="auto"/>
          <w:sz w:val="24"/>
          <w:highlight w:val="none"/>
          <w:lang w:val="zh-CN"/>
        </w:rPr>
      </w:pPr>
    </w:p>
    <w:p w14:paraId="7F29CA9D">
      <w:pPr>
        <w:autoSpaceDE w:val="0"/>
        <w:autoSpaceDN w:val="0"/>
        <w:adjustRightInd w:val="0"/>
        <w:spacing w:line="360" w:lineRule="auto"/>
        <w:rPr>
          <w:rFonts w:hint="eastAsia" w:ascii="宋体" w:hAnsi="宋体" w:eastAsia="宋体" w:cs="宋体"/>
          <w:color w:val="auto"/>
          <w:sz w:val="24"/>
          <w:highlight w:val="none"/>
          <w:lang w:val="zh-CN"/>
        </w:rPr>
      </w:pPr>
    </w:p>
    <w:p w14:paraId="3ECA8C5C">
      <w:pPr>
        <w:autoSpaceDE w:val="0"/>
        <w:autoSpaceDN w:val="0"/>
        <w:adjustRightInd w:val="0"/>
        <w:spacing w:line="360" w:lineRule="auto"/>
        <w:rPr>
          <w:rFonts w:hint="eastAsia" w:ascii="宋体" w:hAnsi="宋体" w:eastAsia="宋体" w:cs="宋体"/>
          <w:color w:val="auto"/>
          <w:sz w:val="24"/>
          <w:highlight w:val="none"/>
          <w:lang w:val="zh-CN"/>
        </w:rPr>
      </w:pPr>
    </w:p>
    <w:p w14:paraId="71FF7A5D">
      <w:pPr>
        <w:autoSpaceDE w:val="0"/>
        <w:autoSpaceDN w:val="0"/>
        <w:adjustRightInd w:val="0"/>
        <w:spacing w:line="360" w:lineRule="auto"/>
        <w:rPr>
          <w:rFonts w:hint="eastAsia" w:ascii="宋体" w:hAnsi="宋体" w:eastAsia="宋体" w:cs="宋体"/>
          <w:color w:val="auto"/>
          <w:sz w:val="24"/>
          <w:highlight w:val="none"/>
          <w:lang w:val="zh-CN"/>
        </w:rPr>
      </w:pPr>
    </w:p>
    <w:p w14:paraId="2274C5D0">
      <w:pPr>
        <w:pStyle w:val="27"/>
        <w:ind w:firstLine="340"/>
        <w:rPr>
          <w:rFonts w:hint="eastAsia" w:ascii="宋体" w:hAnsi="宋体" w:eastAsia="宋体" w:cs="宋体"/>
          <w:color w:val="auto"/>
          <w:highlight w:val="none"/>
          <w:lang w:val="zh-CN"/>
        </w:rPr>
      </w:pPr>
    </w:p>
    <w:p w14:paraId="2E9F7894">
      <w:pPr>
        <w:pStyle w:val="28"/>
        <w:ind w:firstLine="480"/>
        <w:rPr>
          <w:rFonts w:hint="eastAsia" w:ascii="宋体" w:hAnsi="宋体" w:eastAsia="宋体" w:cs="宋体"/>
          <w:color w:val="auto"/>
          <w:highlight w:val="none"/>
          <w:lang w:val="zh-CN"/>
        </w:rPr>
      </w:pPr>
    </w:p>
    <w:p w14:paraId="4A8EEC3B">
      <w:pPr>
        <w:rPr>
          <w:rFonts w:hint="eastAsia" w:ascii="宋体" w:hAnsi="宋体" w:eastAsia="宋体" w:cs="宋体"/>
          <w:color w:val="auto"/>
          <w:highlight w:val="none"/>
          <w:lang w:val="zh-CN"/>
        </w:rPr>
      </w:pPr>
    </w:p>
    <w:p w14:paraId="1964DAC8">
      <w:pPr>
        <w:pStyle w:val="11"/>
        <w:rPr>
          <w:rFonts w:hint="eastAsia" w:ascii="宋体" w:hAnsi="宋体" w:eastAsia="宋体" w:cs="宋体"/>
          <w:color w:val="auto"/>
          <w:highlight w:val="none"/>
          <w:lang w:val="zh-CN"/>
        </w:rPr>
      </w:pPr>
    </w:p>
    <w:p w14:paraId="3E9D0437">
      <w:pPr>
        <w:autoSpaceDE w:val="0"/>
        <w:autoSpaceDN w:val="0"/>
        <w:adjustRightInd w:val="0"/>
        <w:spacing w:line="360" w:lineRule="auto"/>
        <w:rPr>
          <w:rFonts w:hint="eastAsia" w:ascii="宋体" w:hAnsi="宋体" w:eastAsia="宋体" w:cs="宋体"/>
          <w:b/>
          <w:bCs/>
          <w:color w:val="auto"/>
          <w:sz w:val="44"/>
          <w:szCs w:val="44"/>
          <w:highlight w:val="none"/>
          <w:lang w:val="zh-CN"/>
        </w:rPr>
      </w:pPr>
    </w:p>
    <w:p w14:paraId="143BE27E">
      <w:pPr>
        <w:pStyle w:val="11"/>
        <w:rPr>
          <w:rFonts w:hint="eastAsia" w:ascii="宋体" w:hAnsi="宋体" w:eastAsia="宋体" w:cs="宋体"/>
          <w:color w:val="auto"/>
          <w:highlight w:val="none"/>
          <w:lang w:val="zh-CN"/>
        </w:rPr>
      </w:pPr>
    </w:p>
    <w:p w14:paraId="09D38106">
      <w:pPr>
        <w:pStyle w:val="39"/>
        <w:rPr>
          <w:rFonts w:hint="eastAsia" w:ascii="宋体" w:hAnsi="宋体" w:eastAsia="宋体" w:cs="宋体"/>
          <w:color w:val="auto"/>
          <w:highlight w:val="none"/>
          <w:lang w:val="zh-CN"/>
        </w:rPr>
      </w:pPr>
    </w:p>
    <w:p w14:paraId="26B75428">
      <w:pPr>
        <w:pStyle w:val="39"/>
        <w:rPr>
          <w:rFonts w:hint="eastAsia" w:ascii="宋体" w:hAnsi="宋体" w:eastAsia="宋体" w:cs="宋体"/>
          <w:color w:val="auto"/>
          <w:highlight w:val="none"/>
          <w:lang w:val="zh-CN"/>
        </w:rPr>
      </w:pPr>
    </w:p>
    <w:p w14:paraId="1BA6C8E6">
      <w:pPr>
        <w:autoSpaceDE w:val="0"/>
        <w:autoSpaceDN w:val="0"/>
        <w:adjustRightInd w:val="0"/>
        <w:spacing w:line="360" w:lineRule="auto"/>
        <w:jc w:val="center"/>
        <w:rPr>
          <w:rFonts w:hint="eastAsia" w:ascii="宋体" w:hAnsi="宋体" w:eastAsia="宋体" w:cs="宋体"/>
          <w:b/>
          <w:snapToGrid w:val="0"/>
          <w:color w:val="auto"/>
          <w:kern w:val="0"/>
          <w:sz w:val="36"/>
          <w:szCs w:val="36"/>
          <w:highlight w:val="none"/>
        </w:rPr>
      </w:pPr>
      <w:r>
        <w:rPr>
          <w:rFonts w:hint="eastAsia" w:ascii="宋体" w:hAnsi="宋体" w:eastAsia="宋体" w:cs="宋体"/>
          <w:b/>
          <w:bCs/>
          <w:color w:val="auto"/>
          <w:sz w:val="28"/>
          <w:szCs w:val="28"/>
          <w:highlight w:val="none"/>
          <w:lang w:val="zh-CN"/>
        </w:rPr>
        <w:t>三、资格审查相关材料</w:t>
      </w:r>
    </w:p>
    <w:p w14:paraId="14F2A5BF">
      <w:pPr>
        <w:pStyle w:val="17"/>
        <w:spacing w:line="360" w:lineRule="auto"/>
        <w:jc w:val="center"/>
        <w:rPr>
          <w:rFonts w:hint="eastAsia" w:ascii="宋体" w:hAnsi="宋体" w:eastAsia="宋体" w:cs="宋体"/>
          <w:b/>
          <w:snapToGrid w:val="0"/>
          <w:color w:val="auto"/>
          <w:kern w:val="0"/>
          <w:sz w:val="28"/>
          <w:szCs w:val="28"/>
          <w:highlight w:val="none"/>
        </w:rPr>
      </w:pPr>
      <w:r>
        <w:rPr>
          <w:rFonts w:hint="eastAsia" w:ascii="宋体" w:hAnsi="宋体" w:eastAsia="宋体" w:cs="宋体"/>
          <w:b/>
          <w:snapToGrid w:val="0"/>
          <w:color w:val="auto"/>
          <w:kern w:val="0"/>
          <w:szCs w:val="24"/>
          <w:highlight w:val="none"/>
        </w:rPr>
        <w:t>3.1投标函</w:t>
      </w:r>
    </w:p>
    <w:p w14:paraId="0A9A00D0">
      <w:pPr>
        <w:pStyle w:val="17"/>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（采购人）</w:t>
      </w:r>
    </w:p>
    <w:p w14:paraId="6AE80B8A">
      <w:pPr>
        <w:pStyle w:val="17"/>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根据贵方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招标编号）采购的招标公告及投标邀请，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（姓名和职务）被正式授权并代表投标人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（投标人名称、地址）提交。</w:t>
      </w:r>
    </w:p>
    <w:p w14:paraId="15108C8C">
      <w:pPr>
        <w:pStyle w:val="17"/>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拟投入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的项目负责人姓名：</w:t>
      </w:r>
      <w:r>
        <w:rPr>
          <w:rFonts w:hint="eastAsia" w:ascii="宋体" w:hAnsi="宋体" w:eastAsia="宋体" w:cs="宋体"/>
          <w:color w:val="auto"/>
          <w:sz w:val="21"/>
          <w:szCs w:val="21"/>
          <w:highlight w:val="none"/>
          <w:u w:val="single"/>
        </w:rPr>
        <w:t xml:space="preserve">                </w:t>
      </w:r>
    </w:p>
    <w:p w14:paraId="06B26449">
      <w:pPr>
        <w:pStyle w:val="17"/>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我方确认收到贵方提供的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招标编号）招标文件的全部内容。</w:t>
      </w:r>
    </w:p>
    <w:p w14:paraId="3F6CA502">
      <w:pPr>
        <w:pStyle w:val="17"/>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已完全理解并接受招标文件的各项规定和要求及资金支付规定，对招标文件的合理性、合法性不再有异议，并承诺在发生争议时不会以对《招标文件》存在误解、不明白的条款为由，对贵中心行使任何法律上的抗辩权。</w:t>
      </w:r>
    </w:p>
    <w:p w14:paraId="75D66A0C">
      <w:pPr>
        <w:pStyle w:val="17"/>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我方已完全明白招标文件的所有条款要求，并申明如下：</w:t>
      </w:r>
    </w:p>
    <w:p w14:paraId="66AB27AD">
      <w:pPr>
        <w:pStyle w:val="17"/>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一、按招标文件提供的全部货物与相关服务详见《开标一览表》。</w:t>
      </w:r>
    </w:p>
    <w:p w14:paraId="1A1C58BF">
      <w:pPr>
        <w:pStyle w:val="17"/>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我方同意在本项目招标文件中规定的开标日起90天内遵守本投标文件中的承诺且在此期限期满之前均具有约束力。我方同意并遵守本招标文件“投标人须知”中第十四条第三款关于延长投标有效期的规定。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4B415779">
      <w:pPr>
        <w:pStyle w:val="17"/>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三、我方明白并同意，在规定的开标日之后，投标有效期之内撤销投标的，则我方承担违背投标承诺的责任追究。</w:t>
      </w:r>
    </w:p>
    <w:p w14:paraId="2B9011F2">
      <w:pPr>
        <w:pStyle w:val="17"/>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四、我方同意按照贵方可能提出的要求而提供与投标有关的任何</w:t>
      </w:r>
      <w:r>
        <w:rPr>
          <w:rFonts w:hint="eastAsia" w:ascii="宋体" w:hAnsi="宋体" w:cs="宋体"/>
          <w:color w:val="auto"/>
          <w:sz w:val="21"/>
          <w:szCs w:val="21"/>
          <w:highlight w:val="none"/>
          <w:lang w:eastAsia="zh-CN"/>
        </w:rPr>
        <w:t>其他数据</w:t>
      </w:r>
      <w:r>
        <w:rPr>
          <w:rFonts w:hint="eastAsia" w:ascii="宋体" w:hAnsi="宋体" w:eastAsia="宋体" w:cs="宋体"/>
          <w:color w:val="auto"/>
          <w:sz w:val="21"/>
          <w:szCs w:val="21"/>
          <w:highlight w:val="none"/>
        </w:rPr>
        <w:t>、信息或资料。</w:t>
      </w:r>
    </w:p>
    <w:p w14:paraId="55C21199">
      <w:pPr>
        <w:pStyle w:val="17"/>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五、我方理解贵方不一定接受最低投标价或任何贵方可能收到的投标。</w:t>
      </w:r>
    </w:p>
    <w:p w14:paraId="1B54747B">
      <w:pPr>
        <w:pStyle w:val="17"/>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六、我方如果中标，将保证履行招标文件及其澄清、修改文件（如果有）中的全部责任和义务，按质、按量、按期完成《项目需求》及《合同书》中的全部任务。</w:t>
      </w:r>
    </w:p>
    <w:p w14:paraId="2931447D">
      <w:pPr>
        <w:pStyle w:val="17"/>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七、我方在此保证所提交的所有文件和全部说明是真实的和正确的。</w:t>
      </w:r>
    </w:p>
    <w:p w14:paraId="3F203BF6">
      <w:pPr>
        <w:pStyle w:val="17"/>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八、我方投标报价已包含应向知识产权所有权人支付的所有相关税费，并保证采购人在中国使用我方提供的货物时，如有第三方提出侵犯其知识产权主张的，责任由我方承担。 </w:t>
      </w:r>
    </w:p>
    <w:p w14:paraId="2BD01701">
      <w:pPr>
        <w:pStyle w:val="17"/>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九、我方具备《</w:t>
      </w:r>
      <w:r>
        <w:rPr>
          <w:rFonts w:hint="eastAsia" w:ascii="宋体" w:hAnsi="宋体" w:cs="宋体"/>
          <w:color w:val="auto"/>
          <w:sz w:val="21"/>
          <w:szCs w:val="21"/>
          <w:highlight w:val="none"/>
          <w:lang w:val="en-US" w:eastAsia="zh-CN"/>
        </w:rPr>
        <w:t>中华人民共和国</w:t>
      </w:r>
      <w:r>
        <w:rPr>
          <w:rFonts w:hint="eastAsia" w:ascii="宋体" w:hAnsi="宋体" w:eastAsia="宋体" w:cs="宋体"/>
          <w:color w:val="auto"/>
          <w:sz w:val="21"/>
          <w:szCs w:val="21"/>
          <w:highlight w:val="none"/>
        </w:rPr>
        <w:t>政府采购法》第二十二条规定的条件；承诺如下：</w:t>
      </w:r>
    </w:p>
    <w:p w14:paraId="0B85353B">
      <w:pPr>
        <w:pStyle w:val="17"/>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具有独立承担民事责任能力的在中华人民共和国境内注册的法人或其他组织或自然人，有效的营业执照（或事业法人登记证或身份证等相关证明）。</w:t>
      </w:r>
    </w:p>
    <w:p w14:paraId="56AF7AFD">
      <w:pPr>
        <w:pStyle w:val="17"/>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我方已依法缴纳了各项税费及社会保险费用，如有需要，可随时向采购人提供近三个月内的相关缴费证明，以便核查。</w:t>
      </w:r>
    </w:p>
    <w:p w14:paraId="77731E63">
      <w:pPr>
        <w:pStyle w:val="17"/>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我方已依法建立健全的财务会计制度，如有需要，可随时向采购人提供相关证明材料，以便核查。</w:t>
      </w:r>
    </w:p>
    <w:p w14:paraId="7224C940">
      <w:pPr>
        <w:pStyle w:val="17"/>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参加政府采购活动前三年内，在经营活动中没有重大违法记录。</w:t>
      </w:r>
    </w:p>
    <w:p w14:paraId="7295E4B3">
      <w:pPr>
        <w:pStyle w:val="17"/>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符合法律、行政法规规定的其他条件。</w:t>
      </w:r>
    </w:p>
    <w:p w14:paraId="5ABFA0D5">
      <w:pPr>
        <w:pStyle w:val="17"/>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以上内容如有虚假或与事实不符的，评审委员会可将我方</w:t>
      </w:r>
      <w:r>
        <w:rPr>
          <w:rFonts w:hint="eastAsia" w:ascii="宋体" w:hAnsi="宋体" w:cs="宋体"/>
          <w:color w:val="auto"/>
          <w:sz w:val="21"/>
          <w:szCs w:val="21"/>
          <w:highlight w:val="none"/>
          <w:lang w:eastAsia="zh-CN"/>
        </w:rPr>
        <w:t>作</w:t>
      </w:r>
      <w:r>
        <w:rPr>
          <w:rFonts w:hint="eastAsia" w:ascii="宋体" w:hAnsi="宋体" w:eastAsia="宋体" w:cs="宋体"/>
          <w:color w:val="auto"/>
          <w:sz w:val="21"/>
          <w:szCs w:val="21"/>
          <w:highlight w:val="none"/>
        </w:rPr>
        <w:t>无效投标处理，我方愿意承担相应的法律责任。</w:t>
      </w:r>
    </w:p>
    <w:p w14:paraId="2051BDCC">
      <w:pPr>
        <w:pStyle w:val="17"/>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十、我方具备履行合同所必需的设备和专业技术能力。</w:t>
      </w:r>
    </w:p>
    <w:p w14:paraId="3CB16F72">
      <w:pPr>
        <w:pStyle w:val="17"/>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十一、我方对在本函及投标文件中所作的所有承诺承担法律责任。</w:t>
      </w:r>
    </w:p>
    <w:p w14:paraId="38B9E6E6">
      <w:pPr>
        <w:pStyle w:val="17"/>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十二、若我方中标，愿意按</w:t>
      </w:r>
      <w:r>
        <w:rPr>
          <w:rFonts w:hint="eastAsia" w:ascii="宋体" w:hAnsi="宋体" w:eastAsia="宋体" w:cs="宋体"/>
          <w:color w:val="auto"/>
          <w:sz w:val="21"/>
          <w:szCs w:val="21"/>
          <w:highlight w:val="none"/>
          <w:lang w:eastAsia="zh-CN"/>
        </w:rPr>
        <w:t>豫招协</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002</w:t>
      </w:r>
      <w:r>
        <w:rPr>
          <w:rFonts w:hint="eastAsia" w:ascii="宋体" w:hAnsi="宋体" w:eastAsia="宋体" w:cs="宋体"/>
          <w:color w:val="auto"/>
          <w:sz w:val="21"/>
          <w:szCs w:val="21"/>
          <w:highlight w:val="none"/>
        </w:rPr>
        <w:t>规定向代理机构支付招标代理服务费。</w:t>
      </w:r>
    </w:p>
    <w:p w14:paraId="0E08170C">
      <w:pPr>
        <w:pStyle w:val="17"/>
        <w:adjustRightInd w:val="0"/>
        <w:snapToGrid w:val="0"/>
        <w:spacing w:line="360" w:lineRule="auto"/>
        <w:rPr>
          <w:rFonts w:hint="eastAsia" w:ascii="宋体" w:hAnsi="宋体" w:eastAsia="宋体" w:cs="宋体"/>
          <w:color w:val="auto"/>
          <w:sz w:val="21"/>
          <w:szCs w:val="21"/>
          <w:highlight w:val="none"/>
        </w:rPr>
      </w:pPr>
    </w:p>
    <w:p w14:paraId="0684D017">
      <w:pPr>
        <w:pStyle w:val="17"/>
        <w:adjustRightInd w:val="0"/>
        <w:snapToGrid w:val="0"/>
        <w:spacing w:line="360" w:lineRule="auto"/>
        <w:rPr>
          <w:rFonts w:hint="eastAsia" w:ascii="宋体" w:hAnsi="宋体" w:eastAsia="宋体" w:cs="宋体"/>
          <w:color w:val="auto"/>
          <w:sz w:val="21"/>
          <w:szCs w:val="21"/>
          <w:highlight w:val="none"/>
        </w:rPr>
      </w:pPr>
    </w:p>
    <w:p w14:paraId="1E97F33D">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所有与本招标有关的一切正式往来请寄：</w:t>
      </w:r>
    </w:p>
    <w:p w14:paraId="7EEECE65">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地    址：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邮政编码：</w:t>
      </w:r>
    </w:p>
    <w:p w14:paraId="2FB3BD30">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  传    真：</w:t>
      </w:r>
    </w:p>
    <w:p w14:paraId="23D9C1F6">
      <w:pPr>
        <w:adjustRightInd w:val="0"/>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投标人代表姓名：  职    务：</w:t>
      </w:r>
    </w:p>
    <w:p w14:paraId="4F2BAB25">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投标人法定代表人（或法定代表人授权代表）签字或盖章：</w:t>
      </w:r>
    </w:p>
    <w:p w14:paraId="337FAD93">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投标人名称（盖章）：</w:t>
      </w:r>
    </w:p>
    <w:p w14:paraId="0C8303D7">
      <w:pPr>
        <w:adjustRightInd w:val="0"/>
        <w:snapToGrid w:val="0"/>
        <w:spacing w:line="360" w:lineRule="auto"/>
        <w:rPr>
          <w:rFonts w:hint="eastAsia" w:ascii="宋体" w:hAnsi="宋体" w:eastAsia="宋体" w:cs="宋体"/>
          <w:color w:val="auto"/>
          <w:szCs w:val="21"/>
          <w:highlight w:val="none"/>
          <w:u w:val="single"/>
        </w:rPr>
      </w:pPr>
    </w:p>
    <w:p w14:paraId="044B2C63">
      <w:pPr>
        <w:adjustRightInd w:val="0"/>
        <w:snapToGrid w:val="0"/>
        <w:spacing w:line="360" w:lineRule="auto"/>
        <w:rPr>
          <w:rFonts w:hint="eastAsia" w:ascii="宋体" w:hAnsi="宋体" w:eastAsia="宋体" w:cs="宋体"/>
          <w:color w:val="auto"/>
          <w:szCs w:val="21"/>
          <w:highlight w:val="none"/>
          <w:u w:val="single"/>
        </w:rPr>
      </w:pPr>
    </w:p>
    <w:p w14:paraId="6B95ABC0">
      <w:pPr>
        <w:adjustRightInd w:val="0"/>
        <w:snapToGrid w:val="0"/>
        <w:spacing w:line="360" w:lineRule="auto"/>
        <w:rPr>
          <w:rFonts w:hint="eastAsia" w:ascii="宋体" w:hAnsi="宋体" w:eastAsia="宋体" w:cs="宋体"/>
          <w:color w:val="auto"/>
          <w:szCs w:val="21"/>
          <w:highlight w:val="none"/>
          <w:u w:val="single"/>
        </w:rPr>
      </w:pPr>
    </w:p>
    <w:p w14:paraId="68338C5F">
      <w:pPr>
        <w:spacing w:line="480" w:lineRule="exact"/>
        <w:jc w:val="center"/>
        <w:rPr>
          <w:rFonts w:hint="eastAsia" w:ascii="宋体" w:hAnsi="宋体" w:eastAsia="宋体" w:cs="宋体"/>
          <w:b/>
          <w:bCs/>
          <w:color w:val="auto"/>
          <w:sz w:val="24"/>
          <w:szCs w:val="24"/>
          <w:highlight w:val="none"/>
        </w:rPr>
      </w:pPr>
    </w:p>
    <w:p w14:paraId="39D90390">
      <w:pPr>
        <w:pStyle w:val="28"/>
        <w:ind w:firstLine="480"/>
        <w:rPr>
          <w:rFonts w:hint="eastAsia" w:ascii="宋体" w:hAnsi="宋体" w:eastAsia="宋体" w:cs="宋体"/>
          <w:color w:val="auto"/>
          <w:highlight w:val="none"/>
        </w:rPr>
      </w:pPr>
    </w:p>
    <w:p w14:paraId="7C8ADE13">
      <w:pPr>
        <w:rPr>
          <w:rFonts w:hint="eastAsia" w:ascii="宋体" w:hAnsi="宋体" w:eastAsia="宋体" w:cs="宋体"/>
          <w:color w:val="auto"/>
          <w:highlight w:val="none"/>
        </w:rPr>
      </w:pPr>
    </w:p>
    <w:p w14:paraId="100CA346">
      <w:pPr>
        <w:pStyle w:val="27"/>
        <w:ind w:firstLine="340"/>
        <w:rPr>
          <w:rFonts w:hint="eastAsia" w:ascii="宋体" w:hAnsi="宋体" w:eastAsia="宋体" w:cs="宋体"/>
          <w:color w:val="auto"/>
          <w:highlight w:val="none"/>
        </w:rPr>
      </w:pPr>
    </w:p>
    <w:p w14:paraId="1D5286AD">
      <w:pPr>
        <w:pStyle w:val="28"/>
        <w:rPr>
          <w:rFonts w:hint="eastAsia" w:ascii="宋体" w:hAnsi="宋体" w:eastAsia="宋体" w:cs="宋体"/>
          <w:color w:val="auto"/>
          <w:highlight w:val="none"/>
        </w:rPr>
      </w:pPr>
    </w:p>
    <w:p w14:paraId="1147425C">
      <w:pPr>
        <w:pStyle w:val="28"/>
        <w:rPr>
          <w:rFonts w:hint="eastAsia" w:ascii="宋体" w:hAnsi="宋体" w:eastAsia="宋体" w:cs="宋体"/>
          <w:color w:val="auto"/>
          <w:highlight w:val="none"/>
        </w:rPr>
      </w:pPr>
    </w:p>
    <w:p w14:paraId="383139DE">
      <w:pPr>
        <w:pStyle w:val="27"/>
        <w:ind w:left="0" w:leftChars="0" w:firstLine="0" w:firstLineChars="0"/>
        <w:rPr>
          <w:rFonts w:hint="eastAsia" w:ascii="宋体" w:hAnsi="宋体" w:eastAsia="宋体" w:cs="宋体"/>
          <w:color w:val="auto"/>
          <w:highlight w:val="none"/>
        </w:rPr>
      </w:pPr>
    </w:p>
    <w:p w14:paraId="3A60CCF4">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3.2法定代表人（单位负责人）资格证明书</w:t>
      </w:r>
    </w:p>
    <w:p w14:paraId="06733960">
      <w:pPr>
        <w:pStyle w:val="61"/>
        <w:spacing w:line="480" w:lineRule="auto"/>
        <w:ind w:firstLine="472" w:firstLineChars="225"/>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单位名称：</w:t>
      </w:r>
    </w:p>
    <w:p w14:paraId="1B0A5266">
      <w:pPr>
        <w:pStyle w:val="61"/>
        <w:spacing w:line="480" w:lineRule="auto"/>
        <w:ind w:firstLine="472" w:firstLineChars="225"/>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p>
    <w:p w14:paraId="164E873A">
      <w:pPr>
        <w:pStyle w:val="61"/>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       性别：     年龄：     职务：</w:t>
      </w:r>
    </w:p>
    <w:p w14:paraId="01810E7A">
      <w:pPr>
        <w:pStyle w:val="61"/>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本人系</w:t>
      </w:r>
      <w:r>
        <w:rPr>
          <w:rFonts w:hint="eastAsia" w:ascii="宋体" w:hAnsi="宋体" w:eastAsia="宋体" w:cs="宋体"/>
          <w:i/>
          <w:snapToGrid w:val="0"/>
          <w:color w:val="auto"/>
          <w:sz w:val="21"/>
          <w:szCs w:val="21"/>
          <w:highlight w:val="none"/>
          <w:u w:val="single"/>
        </w:rPr>
        <w:t>投标人名称</w:t>
      </w:r>
      <w:r>
        <w:rPr>
          <w:rFonts w:hint="eastAsia" w:ascii="宋体" w:hAnsi="宋体" w:eastAsia="宋体" w:cs="宋体"/>
          <w:color w:val="auto"/>
          <w:sz w:val="21"/>
          <w:szCs w:val="21"/>
          <w:highlight w:val="none"/>
        </w:rPr>
        <w:t>的法定代表人（单位负责人）。就参加贵方招标编号为</w:t>
      </w:r>
      <w:r>
        <w:rPr>
          <w:rFonts w:hint="eastAsia" w:ascii="宋体" w:hAnsi="宋体" w:eastAsia="宋体" w:cs="宋体"/>
          <w:i/>
          <w:color w:val="auto"/>
          <w:sz w:val="21"/>
          <w:szCs w:val="21"/>
          <w:highlight w:val="none"/>
          <w:u w:val="single"/>
        </w:rPr>
        <w:t>项目编号</w:t>
      </w:r>
      <w:r>
        <w:rPr>
          <w:rFonts w:hint="eastAsia" w:ascii="宋体" w:hAnsi="宋体" w:eastAsia="宋体" w:cs="宋体"/>
          <w:color w:val="auto"/>
          <w:sz w:val="21"/>
          <w:szCs w:val="21"/>
          <w:highlight w:val="none"/>
        </w:rPr>
        <w:t>的</w:t>
      </w:r>
      <w:r>
        <w:rPr>
          <w:rFonts w:hint="eastAsia" w:ascii="宋体" w:hAnsi="宋体" w:eastAsia="宋体" w:cs="宋体"/>
          <w:i/>
          <w:color w:val="auto"/>
          <w:sz w:val="21"/>
          <w:szCs w:val="21"/>
          <w:highlight w:val="none"/>
          <w:u w:val="single"/>
        </w:rPr>
        <w:t>项目名称</w:t>
      </w:r>
      <w:r>
        <w:rPr>
          <w:rFonts w:hint="eastAsia" w:ascii="宋体" w:hAnsi="宋体" w:eastAsia="宋体" w:cs="宋体"/>
          <w:color w:val="auto"/>
          <w:sz w:val="21"/>
          <w:szCs w:val="21"/>
          <w:highlight w:val="none"/>
        </w:rPr>
        <w:t>公开招标项目的投标报价，签署上述项目的投标文件及合同的执行、完成、服务和保修，签署合同和处理与之有关的一切事务。</w:t>
      </w:r>
    </w:p>
    <w:p w14:paraId="031B8895">
      <w:pPr>
        <w:pStyle w:val="61"/>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5EF569C5">
      <w:pPr>
        <w:pStyle w:val="61"/>
        <w:spacing w:line="480" w:lineRule="auto"/>
        <w:ind w:firstLine="472" w:firstLineChars="225"/>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法定代表人（单位负责人）联系电话（手机）：</w:t>
      </w:r>
    </w:p>
    <w:p w14:paraId="107B44F0">
      <w:pPr>
        <w:pStyle w:val="61"/>
        <w:spacing w:line="480" w:lineRule="auto"/>
        <w:ind w:firstLine="472" w:firstLineChars="225"/>
        <w:jc w:val="left"/>
        <w:rPr>
          <w:rFonts w:hint="eastAsia" w:ascii="宋体" w:hAnsi="宋体" w:eastAsia="宋体" w:cs="宋体"/>
          <w:color w:val="auto"/>
          <w:sz w:val="21"/>
          <w:szCs w:val="21"/>
          <w:highlight w:val="none"/>
        </w:rPr>
      </w:pPr>
    </w:p>
    <w:p w14:paraId="393BF5D9">
      <w:pPr>
        <w:pStyle w:val="61"/>
        <w:spacing w:line="480" w:lineRule="auto"/>
        <w:ind w:firstLine="472" w:firstLineChars="225"/>
        <w:jc w:val="left"/>
        <w:rPr>
          <w:rFonts w:hint="eastAsia" w:ascii="宋体" w:hAnsi="宋体" w:eastAsia="宋体" w:cs="宋体"/>
          <w:color w:val="auto"/>
          <w:sz w:val="21"/>
          <w:szCs w:val="21"/>
          <w:highlight w:val="none"/>
        </w:rPr>
      </w:pPr>
    </w:p>
    <w:p w14:paraId="31998706">
      <w:pPr>
        <w:pStyle w:val="61"/>
        <w:spacing w:line="480" w:lineRule="auto"/>
        <w:ind w:left="-538" w:leftChars="-256" w:firstLine="539" w:firstLineChars="257"/>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【此处请粘贴法定代表人（单位负责人）身份证复印件，需清晰反映身份证有效期限】</w:t>
      </w:r>
    </w:p>
    <w:p w14:paraId="2996A2EC">
      <w:pPr>
        <w:pStyle w:val="61"/>
        <w:spacing w:line="480" w:lineRule="auto"/>
        <w:ind w:left="-538" w:leftChars="-256" w:firstLine="539" w:firstLineChars="257"/>
        <w:jc w:val="center"/>
        <w:rPr>
          <w:rFonts w:hint="eastAsia" w:ascii="宋体" w:hAnsi="宋体" w:eastAsia="宋体" w:cs="宋体"/>
          <w:bCs/>
          <w:color w:val="auto"/>
          <w:sz w:val="21"/>
          <w:szCs w:val="21"/>
          <w:highlight w:val="none"/>
        </w:rPr>
      </w:pPr>
    </w:p>
    <w:p w14:paraId="329508B4">
      <w:pPr>
        <w:autoSpaceDE w:val="0"/>
        <w:autoSpaceDN w:val="0"/>
        <w:adjustRightInd w:val="0"/>
        <w:spacing w:line="360" w:lineRule="auto"/>
        <w:ind w:right="-11"/>
        <w:rPr>
          <w:rFonts w:hint="eastAsia" w:ascii="宋体" w:hAnsi="宋体" w:eastAsia="宋体" w:cs="宋体"/>
          <w:color w:val="auto"/>
          <w:szCs w:val="21"/>
          <w:highlight w:val="none"/>
          <w:lang w:val="zh-CN"/>
        </w:rPr>
      </w:pPr>
    </w:p>
    <w:p w14:paraId="0C0EF975">
      <w:pPr>
        <w:autoSpaceDE w:val="0"/>
        <w:autoSpaceDN w:val="0"/>
        <w:adjustRightInd w:val="0"/>
        <w:spacing w:line="360" w:lineRule="auto"/>
        <w:ind w:right="-11"/>
        <w:rPr>
          <w:rFonts w:hint="eastAsia" w:ascii="宋体" w:hAnsi="宋体" w:eastAsia="宋体" w:cs="宋体"/>
          <w:color w:val="auto"/>
          <w:szCs w:val="21"/>
          <w:highlight w:val="none"/>
          <w:lang w:val="zh-CN"/>
        </w:rPr>
      </w:pPr>
    </w:p>
    <w:p w14:paraId="01922023">
      <w:pPr>
        <w:autoSpaceDE w:val="0"/>
        <w:autoSpaceDN w:val="0"/>
        <w:adjustRightInd w:val="0"/>
        <w:spacing w:line="360" w:lineRule="auto"/>
        <w:ind w:right="-11"/>
        <w:rPr>
          <w:rFonts w:hint="eastAsia" w:ascii="宋体" w:hAnsi="宋体" w:eastAsia="宋体" w:cs="宋体"/>
          <w:color w:val="auto"/>
          <w:szCs w:val="21"/>
          <w:highlight w:val="none"/>
          <w:lang w:val="zh-CN"/>
        </w:rPr>
      </w:pPr>
    </w:p>
    <w:p w14:paraId="5FA06D5F">
      <w:pPr>
        <w:adjustRightInd w:val="0"/>
        <w:snapToGrid w:val="0"/>
        <w:spacing w:line="360" w:lineRule="auto"/>
        <w:ind w:firstLine="3885" w:firstLineChars="18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投标人名称（并加盖公章）：</w:t>
      </w:r>
    </w:p>
    <w:p w14:paraId="4E23FDC4">
      <w:pPr>
        <w:pStyle w:val="64"/>
        <w:spacing w:before="60" w:line="480" w:lineRule="auto"/>
        <w:ind w:firstLine="3937" w:firstLineChars="18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签署日期：   年   月  日</w:t>
      </w:r>
    </w:p>
    <w:p w14:paraId="568CBB5A">
      <w:pPr>
        <w:pStyle w:val="63"/>
        <w:spacing w:line="480" w:lineRule="auto"/>
        <w:rPr>
          <w:rFonts w:hint="eastAsia" w:ascii="宋体" w:hAnsi="宋体" w:eastAsia="宋体" w:cs="宋体"/>
          <w:color w:val="auto"/>
          <w:sz w:val="21"/>
          <w:szCs w:val="21"/>
          <w:highlight w:val="none"/>
        </w:rPr>
      </w:pPr>
    </w:p>
    <w:p w14:paraId="50532A70">
      <w:pPr>
        <w:rPr>
          <w:rFonts w:hint="eastAsia" w:ascii="宋体" w:hAnsi="宋体" w:eastAsia="宋体" w:cs="宋体"/>
          <w:color w:val="auto"/>
          <w:szCs w:val="21"/>
          <w:highlight w:val="none"/>
        </w:rPr>
      </w:pPr>
    </w:p>
    <w:p w14:paraId="459759AC">
      <w:pPr>
        <w:spacing w:line="320" w:lineRule="exact"/>
        <w:ind w:firstLine="420" w:firstLineChars="200"/>
        <w:rPr>
          <w:rFonts w:hint="eastAsia" w:ascii="宋体" w:hAnsi="宋体" w:eastAsia="宋体" w:cs="宋体"/>
          <w:bCs/>
          <w:color w:val="auto"/>
          <w:kern w:val="12"/>
          <w:szCs w:val="21"/>
          <w:highlight w:val="none"/>
        </w:rPr>
      </w:pPr>
      <w:r>
        <w:rPr>
          <w:rFonts w:hint="eastAsia" w:ascii="宋体" w:hAnsi="宋体" w:eastAsia="宋体" w:cs="宋体"/>
          <w:bCs/>
          <w:color w:val="auto"/>
          <w:kern w:val="12"/>
          <w:szCs w:val="21"/>
          <w:highlight w:val="none"/>
        </w:rPr>
        <w:t>说明：法定代表人（单位负责人）参加本招标项目投标的，仅</w:t>
      </w:r>
      <w:r>
        <w:rPr>
          <w:rFonts w:hint="eastAsia" w:ascii="宋体" w:hAnsi="宋体" w:eastAsia="宋体" w:cs="宋体"/>
          <w:bCs/>
          <w:color w:val="auto"/>
          <w:kern w:val="12"/>
          <w:szCs w:val="21"/>
          <w:highlight w:val="none"/>
          <w:lang w:val="en-US" w:eastAsia="zh-CN"/>
        </w:rPr>
        <w:t>需</w:t>
      </w:r>
      <w:r>
        <w:rPr>
          <w:rFonts w:hint="eastAsia" w:ascii="宋体" w:hAnsi="宋体" w:eastAsia="宋体" w:cs="宋体"/>
          <w:bCs/>
          <w:color w:val="auto"/>
          <w:kern w:val="12"/>
          <w:szCs w:val="21"/>
          <w:highlight w:val="none"/>
        </w:rPr>
        <w:t>出具此证明书。</w:t>
      </w:r>
    </w:p>
    <w:p w14:paraId="5CE694D3">
      <w:pPr>
        <w:pStyle w:val="27"/>
        <w:ind w:left="0" w:leftChars="0" w:firstLine="0" w:firstLineChars="0"/>
        <w:rPr>
          <w:rFonts w:hint="eastAsia" w:ascii="宋体" w:hAnsi="宋体" w:eastAsia="宋体" w:cs="宋体"/>
          <w:color w:val="auto"/>
          <w:highlight w:val="none"/>
        </w:rPr>
      </w:pPr>
    </w:p>
    <w:p w14:paraId="38104437">
      <w:pPr>
        <w:spacing w:line="48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3.3法定代表人（单位负责人）授权书</w:t>
      </w:r>
    </w:p>
    <w:p w14:paraId="31F631C3">
      <w:pPr>
        <w:spacing w:line="480" w:lineRule="exact"/>
        <w:jc w:val="center"/>
        <w:rPr>
          <w:rFonts w:hint="eastAsia" w:ascii="宋体" w:hAnsi="宋体" w:eastAsia="宋体" w:cs="宋体"/>
          <w:b/>
          <w:bCs/>
          <w:color w:val="auto"/>
          <w:sz w:val="36"/>
          <w:szCs w:val="36"/>
          <w:highlight w:val="none"/>
        </w:rPr>
      </w:pPr>
    </w:p>
    <w:p w14:paraId="6FB3B796">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 xml:space="preserve">　 </w:t>
      </w:r>
      <w:r>
        <w:rPr>
          <w:rFonts w:hint="eastAsia" w:ascii="宋体" w:hAnsi="宋体" w:eastAsia="宋体" w:cs="宋体"/>
          <w:i/>
          <w:snapToGrid w:val="0"/>
          <w:color w:val="auto"/>
          <w:szCs w:val="21"/>
          <w:highlight w:val="none"/>
          <w:u w:val="single"/>
        </w:rPr>
        <w:t>法人姓名</w:t>
      </w: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w:t>
      </w:r>
      <w:r>
        <w:rPr>
          <w:rFonts w:hint="eastAsia" w:ascii="宋体" w:hAnsi="宋体" w:eastAsia="宋体" w:cs="宋体"/>
          <w:i/>
          <w:snapToGrid w:val="0"/>
          <w:color w:val="auto"/>
          <w:szCs w:val="21"/>
          <w:highlight w:val="none"/>
          <w:u w:val="single"/>
        </w:rPr>
        <w:t xml:space="preserve">投标人名称  </w:t>
      </w:r>
      <w:r>
        <w:rPr>
          <w:rFonts w:hint="eastAsia" w:ascii="宋体" w:hAnsi="宋体" w:eastAsia="宋体" w:cs="宋体"/>
          <w:color w:val="auto"/>
          <w:szCs w:val="21"/>
          <w:highlight w:val="none"/>
        </w:rPr>
        <w:t>的法定代表人（单位负责人），现委托</w:t>
      </w:r>
      <w:r>
        <w:rPr>
          <w:rFonts w:hint="eastAsia" w:ascii="宋体" w:hAnsi="宋体" w:eastAsia="宋体" w:cs="宋体"/>
          <w:color w:val="auto"/>
          <w:szCs w:val="21"/>
          <w:highlight w:val="none"/>
          <w:u w:val="single"/>
        </w:rPr>
        <w:t xml:space="preserve">　 </w:t>
      </w:r>
      <w:r>
        <w:rPr>
          <w:rFonts w:hint="eastAsia" w:ascii="宋体" w:hAnsi="宋体" w:eastAsia="宋体" w:cs="宋体"/>
          <w:i/>
          <w:snapToGrid w:val="0"/>
          <w:color w:val="auto"/>
          <w:szCs w:val="21"/>
          <w:highlight w:val="none"/>
          <w:u w:val="single"/>
        </w:rPr>
        <w:t>姓名，职务</w:t>
      </w:r>
      <w:r>
        <w:rPr>
          <w:rFonts w:hint="eastAsia" w:ascii="宋体" w:hAnsi="宋体" w:eastAsia="宋体" w:cs="宋体"/>
          <w:color w:val="auto"/>
          <w:szCs w:val="21"/>
          <w:highlight w:val="none"/>
        </w:rPr>
        <w:t>以我方的名义参加贵方</w:t>
      </w:r>
      <w:r>
        <w:rPr>
          <w:rFonts w:hint="eastAsia" w:ascii="宋体" w:hAnsi="宋体" w:eastAsia="宋体" w:cs="宋体"/>
          <w:i/>
          <w:color w:val="auto"/>
          <w:szCs w:val="21"/>
          <w:highlight w:val="none"/>
          <w:u w:val="single"/>
        </w:rPr>
        <w:t>项目编号</w:t>
      </w:r>
      <w:r>
        <w:rPr>
          <w:rFonts w:hint="eastAsia" w:ascii="宋体" w:hAnsi="宋体" w:eastAsia="宋体" w:cs="宋体"/>
          <w:color w:val="auto"/>
          <w:szCs w:val="21"/>
          <w:highlight w:val="none"/>
        </w:rPr>
        <w:t>的</w:t>
      </w:r>
      <w:r>
        <w:rPr>
          <w:rFonts w:hint="eastAsia" w:ascii="宋体" w:hAnsi="宋体" w:eastAsia="宋体" w:cs="宋体"/>
          <w:i/>
          <w:color w:val="auto"/>
          <w:szCs w:val="21"/>
          <w:highlight w:val="none"/>
          <w:u w:val="single"/>
        </w:rPr>
        <w:t>项目名称</w:t>
      </w:r>
      <w:r>
        <w:rPr>
          <w:rFonts w:hint="eastAsia" w:ascii="宋体" w:hAnsi="宋体" w:eastAsia="宋体" w:cs="宋体"/>
          <w:color w:val="auto"/>
          <w:szCs w:val="21"/>
          <w:highlight w:val="none"/>
        </w:rPr>
        <w:t>项目的投标活动，并代表我方全权办理针对上述项目的投标、开标、投标文件澄清、签约等一切具体事务和签署相关文件。</w:t>
      </w:r>
    </w:p>
    <w:p w14:paraId="1EFEE38E">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我方对被授权人的签名事项负全部责任。</w:t>
      </w:r>
    </w:p>
    <w:p w14:paraId="7CF6635D">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1566422E">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被授权人无转委托权，特此委托。</w:t>
      </w:r>
    </w:p>
    <w:p w14:paraId="1B579A85">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投标人名称： </w:t>
      </w:r>
      <w:r>
        <w:rPr>
          <w:rFonts w:hint="eastAsia" w:ascii="宋体" w:hAnsi="宋体" w:eastAsia="宋体" w:cs="宋体"/>
          <w:color w:val="auto"/>
          <w:szCs w:val="21"/>
          <w:highlight w:val="none"/>
          <w:u w:val="single"/>
        </w:rPr>
        <w:t xml:space="preserve">       （全称）       </w:t>
      </w:r>
      <w:r>
        <w:rPr>
          <w:rFonts w:hint="eastAsia" w:ascii="宋体" w:hAnsi="宋体" w:eastAsia="宋体" w:cs="宋体"/>
          <w:color w:val="auto"/>
          <w:szCs w:val="21"/>
          <w:highlight w:val="none"/>
        </w:rPr>
        <w:t xml:space="preserve"> （加盖单位公章）</w:t>
      </w:r>
    </w:p>
    <w:p w14:paraId="608B2601">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法定代表人（单位负责人）： （签名或加盖名章）</w:t>
      </w:r>
    </w:p>
    <w:p w14:paraId="0934EDB4">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法定代表人（单位负责人）授权代表：  （签名或加盖名章）</w:t>
      </w:r>
    </w:p>
    <w:p w14:paraId="5BCF0681">
      <w:pPr>
        <w:spacing w:line="48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法定代表人（单位负责人）授权代表联系电话（手机）：</w:t>
      </w:r>
    </w:p>
    <w:tbl>
      <w:tblPr>
        <w:tblStyle w:val="29"/>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2"/>
        <w:gridCol w:w="7"/>
        <w:gridCol w:w="4466"/>
        <w:gridCol w:w="14"/>
      </w:tblGrid>
      <w:tr w14:paraId="4E98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48" w:hRule="atLeast"/>
        </w:trPr>
        <w:tc>
          <w:tcPr>
            <w:tcW w:w="4472" w:type="dxa"/>
            <w:vAlign w:val="center"/>
          </w:tcPr>
          <w:p w14:paraId="5D94A16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法定代表人（单位负责人）身份证（反面）</w:t>
            </w:r>
          </w:p>
        </w:tc>
        <w:tc>
          <w:tcPr>
            <w:tcW w:w="4473" w:type="dxa"/>
            <w:gridSpan w:val="2"/>
            <w:vAlign w:val="center"/>
          </w:tcPr>
          <w:p w14:paraId="79A39B0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法定代表人（单位负责人）身份证（正面）</w:t>
            </w:r>
          </w:p>
        </w:tc>
      </w:tr>
      <w:tr w14:paraId="43C5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4479" w:type="dxa"/>
            <w:gridSpan w:val="2"/>
            <w:vAlign w:val="center"/>
          </w:tcPr>
          <w:p w14:paraId="7144704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法定代表人（单位负责人）授权代表身份证</w:t>
            </w:r>
          </w:p>
          <w:p w14:paraId="1DC0D6D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（反面）</w:t>
            </w:r>
          </w:p>
        </w:tc>
        <w:tc>
          <w:tcPr>
            <w:tcW w:w="4480" w:type="dxa"/>
            <w:gridSpan w:val="2"/>
            <w:vAlign w:val="center"/>
          </w:tcPr>
          <w:p w14:paraId="3E20D2E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法定代表人（单位负责人）授权代表身份证</w:t>
            </w:r>
          </w:p>
          <w:p w14:paraId="3FB11A8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（正面）</w:t>
            </w:r>
          </w:p>
        </w:tc>
      </w:tr>
    </w:tbl>
    <w:p w14:paraId="5E3E75AB">
      <w:pPr>
        <w:widowControl/>
        <w:spacing w:before="100" w:beforeAutospacing="1" w:after="100" w:afterAutospacing="1" w:line="360" w:lineRule="auto"/>
        <w:jc w:val="center"/>
        <w:rPr>
          <w:rFonts w:hint="eastAsia" w:ascii="宋体" w:hAnsi="宋体" w:eastAsia="宋体" w:cs="宋体"/>
          <w:b/>
          <w:bCs/>
          <w:color w:val="auto"/>
          <w:sz w:val="24"/>
          <w:szCs w:val="24"/>
          <w:highlight w:val="none"/>
        </w:rPr>
      </w:pPr>
    </w:p>
    <w:p w14:paraId="1719D875">
      <w:pPr>
        <w:spacing w:line="480" w:lineRule="exact"/>
        <w:jc w:val="center"/>
        <w:rPr>
          <w:rFonts w:hint="eastAsia" w:ascii="宋体" w:hAnsi="宋体" w:eastAsia="宋体" w:cs="宋体"/>
          <w:color w:val="auto"/>
          <w:szCs w:val="21"/>
          <w:highlight w:val="none"/>
        </w:rPr>
      </w:pPr>
      <w:r>
        <w:rPr>
          <w:rFonts w:hint="eastAsia" w:ascii="宋体" w:hAnsi="宋体" w:eastAsia="宋体" w:cs="宋体"/>
          <w:b/>
          <w:bCs/>
          <w:color w:val="auto"/>
          <w:sz w:val="24"/>
          <w:szCs w:val="24"/>
          <w:highlight w:val="none"/>
        </w:rPr>
        <w:t>3.4禹州市政府采购供应商信用承诺函</w:t>
      </w:r>
    </w:p>
    <w:p w14:paraId="221B6E1A">
      <w:pPr>
        <w:adjustRightInd w:val="0"/>
        <w:spacing w:line="360" w:lineRule="auto"/>
        <w:ind w:firstLine="441" w:firstLineChars="210"/>
        <w:contextualSpacing/>
        <w:rPr>
          <w:rFonts w:hint="eastAsia" w:ascii="宋体" w:hAnsi="宋体" w:eastAsia="宋体" w:cs="宋体"/>
          <w:color w:val="auto"/>
          <w:szCs w:val="21"/>
          <w:highlight w:val="none"/>
        </w:rPr>
      </w:pPr>
    </w:p>
    <w:p w14:paraId="7F2829BD">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致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采购人或采购代理机构</w:t>
      </w:r>
      <w:r>
        <w:rPr>
          <w:rFonts w:hint="eastAsia" w:ascii="宋体" w:hAnsi="宋体" w:eastAsia="宋体" w:cs="宋体"/>
          <w:color w:val="auto"/>
          <w:szCs w:val="21"/>
          <w:highlight w:val="none"/>
          <w:lang w:eastAsia="zh-CN"/>
        </w:rPr>
        <w:t>）：</w:t>
      </w:r>
    </w:p>
    <w:p w14:paraId="58D16084">
      <w:pPr>
        <w:adjustRightInd w:val="0"/>
        <w:spacing w:line="360" w:lineRule="auto"/>
        <w:ind w:left="420" w:leftChars="200" w:firstLine="18" w:firstLineChars="9"/>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自然人姓名</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656B9355">
      <w:pPr>
        <w:adjustRightInd w:val="0"/>
        <w:spacing w:line="360" w:lineRule="auto"/>
        <w:ind w:left="420" w:leftChars="200" w:firstLine="18" w:firstLineChars="9"/>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386FA8E9">
      <w:pPr>
        <w:adjustRightInd w:val="0"/>
        <w:spacing w:line="360" w:lineRule="auto"/>
        <w:ind w:left="420" w:leftChars="200" w:firstLine="18" w:firstLineChars="9"/>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                        </w:t>
      </w:r>
    </w:p>
    <w:p w14:paraId="0ECD6D30">
      <w:pPr>
        <w:adjustRightInd w:val="0"/>
        <w:spacing w:line="360" w:lineRule="auto"/>
        <w:ind w:left="420" w:leftChars="200" w:firstLine="18" w:firstLineChars="9"/>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联系地址和电话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3085EE52">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为维护公平、公正、公开的政府采购市场秩序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树立诚实守信的政府采购供应商形象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我单位</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自愿作出以下承诺</w:t>
      </w:r>
      <w:r>
        <w:rPr>
          <w:rFonts w:hint="eastAsia" w:ascii="宋体" w:hAnsi="宋体" w:eastAsia="宋体" w:cs="宋体"/>
          <w:color w:val="auto"/>
          <w:szCs w:val="21"/>
          <w:highlight w:val="none"/>
          <w:lang w:eastAsia="zh-CN"/>
        </w:rPr>
        <w:t>：</w:t>
      </w:r>
    </w:p>
    <w:p w14:paraId="2D8CD289">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一、我单位</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自愿参加本次政府采购活动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严格遵 守《中华人民共和国政府采购法》及相关法律法规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依法诚信经营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无条件遵守本次政府采购活动的各项规定</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我单位</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郑重承诺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我单位</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符合《中华人民共和国政府采购法》第二十二条规定和采购文件、本承诺书的条件</w:t>
      </w:r>
      <w:r>
        <w:rPr>
          <w:rFonts w:hint="eastAsia" w:ascii="宋体" w:hAnsi="宋体" w:eastAsia="宋体" w:cs="宋体"/>
          <w:color w:val="auto"/>
          <w:szCs w:val="21"/>
          <w:highlight w:val="none"/>
          <w:lang w:eastAsia="zh-CN"/>
        </w:rPr>
        <w:t>：</w:t>
      </w:r>
    </w:p>
    <w:p w14:paraId="00803C78">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（一）</w:t>
      </w:r>
      <w:r>
        <w:rPr>
          <w:rFonts w:hint="eastAsia" w:ascii="宋体" w:hAnsi="宋体" w:eastAsia="宋体" w:cs="宋体"/>
          <w:color w:val="auto"/>
          <w:szCs w:val="21"/>
          <w:highlight w:val="none"/>
        </w:rPr>
        <w:t>具有独立承担民事责任的能力</w:t>
      </w:r>
      <w:r>
        <w:rPr>
          <w:rFonts w:hint="eastAsia" w:ascii="宋体" w:hAnsi="宋体" w:eastAsia="宋体" w:cs="宋体"/>
          <w:color w:val="auto"/>
          <w:szCs w:val="21"/>
          <w:highlight w:val="none"/>
          <w:lang w:eastAsia="zh-CN"/>
        </w:rPr>
        <w:t>；</w:t>
      </w:r>
    </w:p>
    <w:p w14:paraId="492F07E8">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（二）</w:t>
      </w:r>
      <w:r>
        <w:rPr>
          <w:rFonts w:hint="eastAsia" w:ascii="宋体" w:hAnsi="宋体" w:eastAsia="宋体" w:cs="宋体"/>
          <w:color w:val="auto"/>
          <w:szCs w:val="21"/>
          <w:highlight w:val="none"/>
        </w:rPr>
        <w:t>具有良好的商业信誉和健全的财务会计制度</w:t>
      </w:r>
      <w:r>
        <w:rPr>
          <w:rFonts w:hint="eastAsia" w:ascii="宋体" w:hAnsi="宋体" w:eastAsia="宋体" w:cs="宋体"/>
          <w:color w:val="auto"/>
          <w:szCs w:val="21"/>
          <w:highlight w:val="none"/>
          <w:lang w:eastAsia="zh-CN"/>
        </w:rPr>
        <w:t>；</w:t>
      </w:r>
    </w:p>
    <w:p w14:paraId="2979F425">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（三）</w:t>
      </w:r>
      <w:r>
        <w:rPr>
          <w:rFonts w:hint="eastAsia" w:ascii="宋体" w:hAnsi="宋体" w:eastAsia="宋体" w:cs="宋体"/>
          <w:color w:val="auto"/>
          <w:szCs w:val="21"/>
          <w:highlight w:val="none"/>
        </w:rPr>
        <w:t>具有履行合同所必需的设备和专业技术能力</w:t>
      </w:r>
      <w:r>
        <w:rPr>
          <w:rFonts w:hint="eastAsia" w:ascii="宋体" w:hAnsi="宋体" w:eastAsia="宋体" w:cs="宋体"/>
          <w:color w:val="auto"/>
          <w:szCs w:val="21"/>
          <w:highlight w:val="none"/>
          <w:lang w:eastAsia="zh-CN"/>
        </w:rPr>
        <w:t>；</w:t>
      </w:r>
    </w:p>
    <w:p w14:paraId="0491644B">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（四）</w:t>
      </w:r>
      <w:r>
        <w:rPr>
          <w:rFonts w:hint="eastAsia" w:ascii="宋体" w:hAnsi="宋体" w:eastAsia="宋体" w:cs="宋体"/>
          <w:color w:val="auto"/>
          <w:szCs w:val="21"/>
          <w:highlight w:val="none"/>
        </w:rPr>
        <w:t>有依法缴纳税收和社会保障资金的良好记录</w:t>
      </w:r>
      <w:r>
        <w:rPr>
          <w:rFonts w:hint="eastAsia" w:ascii="宋体" w:hAnsi="宋体" w:eastAsia="宋体" w:cs="宋体"/>
          <w:color w:val="auto"/>
          <w:szCs w:val="21"/>
          <w:highlight w:val="none"/>
          <w:lang w:eastAsia="zh-CN"/>
        </w:rPr>
        <w:t>；</w:t>
      </w:r>
    </w:p>
    <w:p w14:paraId="3C88E79A">
      <w:pPr>
        <w:adjustRightIn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（五）</w:t>
      </w:r>
      <w:r>
        <w:rPr>
          <w:rFonts w:hint="eastAsia" w:ascii="宋体" w:hAnsi="宋体" w:eastAsia="宋体" w:cs="宋体"/>
          <w:color w:val="auto"/>
          <w:szCs w:val="21"/>
          <w:highlight w:val="none"/>
        </w:rPr>
        <w:t>参加政府采购活动前三年内</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在经营活动中没有重大违法记录</w:t>
      </w:r>
      <w:r>
        <w:rPr>
          <w:rFonts w:hint="eastAsia" w:ascii="宋体" w:hAnsi="宋体" w:eastAsia="宋体" w:cs="宋体"/>
          <w:color w:val="auto"/>
          <w:szCs w:val="21"/>
          <w:highlight w:val="none"/>
          <w:lang w:eastAsia="zh-CN"/>
        </w:rPr>
        <w:t>；</w:t>
      </w:r>
    </w:p>
    <w:p w14:paraId="4B87B3BB">
      <w:pPr>
        <w:adjustRightIn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（六）</w:t>
      </w:r>
      <w:r>
        <w:rPr>
          <w:rFonts w:hint="eastAsia" w:ascii="宋体" w:hAnsi="宋体" w:eastAsia="宋体" w:cs="宋体"/>
          <w:color w:val="auto"/>
          <w:szCs w:val="21"/>
          <w:highlight w:val="none"/>
        </w:rPr>
        <w:t>未被列入经营异常名录或者严重违法失信名单、</w:t>
      </w:r>
      <w:r>
        <w:rPr>
          <w:rFonts w:hint="eastAsia" w:ascii="宋体" w:hAnsi="宋体" w:eastAsia="宋体" w:cs="宋体"/>
          <w:color w:val="auto"/>
          <w:szCs w:val="21"/>
          <w:highlight w:val="none"/>
          <w:lang w:val="en-US" w:eastAsia="zh-CN"/>
        </w:rPr>
        <w:t>失</w:t>
      </w:r>
      <w:r>
        <w:rPr>
          <w:rFonts w:hint="eastAsia" w:ascii="宋体" w:hAnsi="宋体" w:eastAsia="宋体" w:cs="宋体"/>
          <w:color w:val="auto"/>
          <w:szCs w:val="21"/>
          <w:highlight w:val="none"/>
        </w:rPr>
        <w:t>信被执行人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重大税收违法案件当事人名单、政府采购严重违法失信行为记录名单</w:t>
      </w:r>
      <w:r>
        <w:rPr>
          <w:rFonts w:hint="eastAsia" w:ascii="宋体" w:hAnsi="宋体" w:eastAsia="宋体" w:cs="宋体"/>
          <w:color w:val="auto"/>
          <w:szCs w:val="21"/>
          <w:highlight w:val="none"/>
          <w:lang w:eastAsia="zh-CN"/>
        </w:rPr>
        <w:t>；</w:t>
      </w:r>
    </w:p>
    <w:p w14:paraId="4FEC01BD">
      <w:pPr>
        <w:adjustRightIn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（七）</w:t>
      </w:r>
      <w:r>
        <w:rPr>
          <w:rFonts w:hint="eastAsia" w:ascii="宋体" w:hAnsi="宋体" w:eastAsia="宋体" w:cs="宋体"/>
          <w:color w:val="auto"/>
          <w:szCs w:val="21"/>
          <w:highlight w:val="none"/>
        </w:rPr>
        <w:t>未被相关监管部门作出行政处罚且尚在处罚有效期 的</w:t>
      </w:r>
      <w:r>
        <w:rPr>
          <w:rFonts w:hint="eastAsia" w:ascii="宋体" w:hAnsi="宋体" w:eastAsia="宋体" w:cs="宋体"/>
          <w:color w:val="auto"/>
          <w:szCs w:val="21"/>
          <w:highlight w:val="none"/>
          <w:lang w:eastAsia="zh-CN"/>
        </w:rPr>
        <w:t>；</w:t>
      </w:r>
    </w:p>
    <w:p w14:paraId="38BC25F6">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（八）</w:t>
      </w:r>
      <w:r>
        <w:rPr>
          <w:rFonts w:hint="eastAsia" w:ascii="宋体" w:hAnsi="宋体" w:eastAsia="宋体" w:cs="宋体"/>
          <w:color w:val="auto"/>
          <w:szCs w:val="21"/>
          <w:highlight w:val="none"/>
        </w:rPr>
        <w:t>未曾作出虚假采购承诺</w:t>
      </w:r>
      <w:r>
        <w:rPr>
          <w:rFonts w:hint="eastAsia" w:ascii="宋体" w:hAnsi="宋体" w:eastAsia="宋体" w:cs="宋体"/>
          <w:color w:val="auto"/>
          <w:szCs w:val="21"/>
          <w:highlight w:val="none"/>
          <w:lang w:eastAsia="zh-CN"/>
        </w:rPr>
        <w:t>；</w:t>
      </w:r>
    </w:p>
    <w:p w14:paraId="7C54BBB9">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（九）</w:t>
      </w:r>
      <w:r>
        <w:rPr>
          <w:rFonts w:hint="eastAsia" w:ascii="宋体" w:hAnsi="宋体" w:eastAsia="宋体" w:cs="宋体"/>
          <w:color w:val="auto"/>
          <w:szCs w:val="21"/>
          <w:highlight w:val="none"/>
        </w:rPr>
        <w:t>符合法律、行政法规规定的其他条件。</w:t>
      </w:r>
    </w:p>
    <w:p w14:paraId="7FD64126">
      <w:pPr>
        <w:adjustRightInd w:val="0"/>
        <w:spacing w:line="360" w:lineRule="auto"/>
        <w:ind w:firstLine="441" w:firstLineChars="21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二、我单位</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保证上述承诺事项的真实性。如有弄虚作假或其他违法违规行为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自愿按照规定将违背承诺行为作为失信行为记录到社会信用信息平台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并视同为“提供虚假材料谋取中标、成交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按照《中华人民共和国政府采购法》第七十七、七十九条规定</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处以采购金额千分之五以上千分之十以下的罚款</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列入 不良行为记录名单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在一至三年内禁止参加政府采购活动</w:t>
      </w:r>
      <w:r>
        <w:rPr>
          <w:rFonts w:hint="eastAsia" w:ascii="宋体" w:hAnsi="宋体" w:eastAsia="宋体" w:cs="宋体"/>
          <w:color w:val="auto"/>
          <w:szCs w:val="21"/>
          <w:highlight w:val="none"/>
          <w:lang w:eastAsia="zh-CN"/>
        </w:rPr>
        <w:t>，有</w:t>
      </w:r>
      <w:r>
        <w:rPr>
          <w:rFonts w:hint="eastAsia" w:ascii="宋体" w:hAnsi="宋体" w:eastAsia="宋体" w:cs="宋体"/>
          <w:color w:val="auto"/>
          <w:szCs w:val="21"/>
          <w:highlight w:val="none"/>
        </w:rPr>
        <w:t>违法所得的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并处没收违法所得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情节严重的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由市场监管部门吊销营业执照</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构成犯罪的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依法追究刑事责任</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给他人造成损失的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并应依照有关民事法律规定承担民事责任。</w:t>
      </w:r>
    </w:p>
    <w:p w14:paraId="7FE5C5C8">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val="zh-CN"/>
        </w:rPr>
        <w:t>（电子章）：</w:t>
      </w:r>
    </w:p>
    <w:p w14:paraId="20CFFFAC">
      <w:pPr>
        <w:spacing w:line="6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法定代表人、负责人、本人或授权代表（签字或电子印章）：</w:t>
      </w:r>
    </w:p>
    <w:p w14:paraId="0E167A18">
      <w:pPr>
        <w:widowControl/>
        <w:spacing w:before="100" w:beforeAutospacing="1" w:after="100" w:afterAutospacing="1"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年  月  日</w:t>
      </w:r>
    </w:p>
    <w:p w14:paraId="3C4CD9A4">
      <w:pPr>
        <w:pStyle w:val="27"/>
        <w:ind w:firstLine="340"/>
        <w:rPr>
          <w:rFonts w:hint="eastAsia" w:ascii="宋体" w:hAnsi="宋体" w:eastAsia="宋体" w:cs="宋体"/>
          <w:color w:val="auto"/>
          <w:szCs w:val="21"/>
          <w:highlight w:val="none"/>
        </w:rPr>
      </w:pPr>
    </w:p>
    <w:p w14:paraId="6073E1C3">
      <w:pPr>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注：1.供应商须在投标文件中按此模板提供承诺函，未提供视为未实质性响应招标文件要求，按无效投标处理。</w:t>
      </w:r>
    </w:p>
    <w:p w14:paraId="57BF2103">
      <w:pPr>
        <w:ind w:firstLine="42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Cs w:val="21"/>
          <w:highlight w:val="none"/>
        </w:rPr>
        <w:t>2.供应商的法定代表人或者授权代表的签字或盖章应真实、有效，如由授权代表签字或盖章的，应提供“法定代表人授权书”</w:t>
      </w:r>
    </w:p>
    <w:p w14:paraId="56AE56BA">
      <w:pPr>
        <w:pStyle w:val="28"/>
        <w:ind w:firstLine="480"/>
        <w:rPr>
          <w:rFonts w:hint="eastAsia" w:ascii="宋体" w:hAnsi="宋体" w:eastAsia="宋体" w:cs="宋体"/>
          <w:color w:val="auto"/>
          <w:highlight w:val="none"/>
          <w:lang w:val="zh-CN"/>
        </w:rPr>
      </w:pPr>
    </w:p>
    <w:p w14:paraId="41F72561">
      <w:pPr>
        <w:spacing w:beforeLines="50" w:afterLines="50" w:line="360" w:lineRule="auto"/>
        <w:ind w:right="420" w:firstLine="5486" w:firstLineChars="2286"/>
        <w:rPr>
          <w:rFonts w:hint="eastAsia" w:ascii="宋体" w:hAnsi="宋体" w:eastAsia="宋体" w:cs="宋体"/>
          <w:color w:val="auto"/>
          <w:sz w:val="24"/>
          <w:szCs w:val="24"/>
          <w:highlight w:val="none"/>
          <w:lang w:val="zh-CN"/>
        </w:rPr>
      </w:pPr>
    </w:p>
    <w:p w14:paraId="08618DB1">
      <w:pPr>
        <w:spacing w:beforeLines="50" w:afterLines="50" w:line="360" w:lineRule="auto"/>
        <w:ind w:right="420" w:firstLine="5486" w:firstLineChars="2286"/>
        <w:rPr>
          <w:rFonts w:hint="eastAsia" w:ascii="宋体" w:hAnsi="宋体" w:eastAsia="宋体" w:cs="宋体"/>
          <w:color w:val="auto"/>
          <w:sz w:val="24"/>
          <w:szCs w:val="24"/>
          <w:highlight w:val="none"/>
          <w:lang w:val="zh-CN"/>
        </w:rPr>
      </w:pPr>
    </w:p>
    <w:p w14:paraId="16D6CD86">
      <w:pPr>
        <w:spacing w:beforeLines="50" w:afterLines="50" w:line="360" w:lineRule="auto"/>
        <w:ind w:right="420" w:firstLine="5486" w:firstLineChars="2286"/>
        <w:rPr>
          <w:rFonts w:hint="eastAsia" w:ascii="宋体" w:hAnsi="宋体" w:eastAsia="宋体" w:cs="宋体"/>
          <w:color w:val="auto"/>
          <w:sz w:val="24"/>
          <w:szCs w:val="24"/>
          <w:highlight w:val="none"/>
          <w:lang w:val="zh-CN"/>
        </w:rPr>
      </w:pPr>
    </w:p>
    <w:p w14:paraId="398959B3">
      <w:pPr>
        <w:spacing w:beforeLines="50" w:afterLines="50" w:line="360" w:lineRule="auto"/>
        <w:ind w:right="420" w:firstLine="5486" w:firstLineChars="2286"/>
        <w:rPr>
          <w:rFonts w:hint="eastAsia" w:ascii="宋体" w:hAnsi="宋体" w:eastAsia="宋体" w:cs="宋体"/>
          <w:color w:val="auto"/>
          <w:sz w:val="24"/>
          <w:szCs w:val="24"/>
          <w:highlight w:val="none"/>
          <w:lang w:val="zh-CN"/>
        </w:rPr>
      </w:pPr>
    </w:p>
    <w:p w14:paraId="3AFEF8C4">
      <w:pPr>
        <w:spacing w:beforeLines="50" w:afterLines="50" w:line="360" w:lineRule="auto"/>
        <w:ind w:right="420" w:firstLine="5486" w:firstLineChars="2286"/>
        <w:rPr>
          <w:rFonts w:hint="eastAsia" w:ascii="宋体" w:hAnsi="宋体" w:eastAsia="宋体" w:cs="宋体"/>
          <w:color w:val="auto"/>
          <w:sz w:val="24"/>
          <w:szCs w:val="24"/>
          <w:highlight w:val="none"/>
          <w:lang w:val="zh-CN"/>
        </w:rPr>
      </w:pPr>
    </w:p>
    <w:p w14:paraId="73F4A7E4">
      <w:pPr>
        <w:spacing w:beforeLines="50" w:afterLines="50" w:line="360" w:lineRule="auto"/>
        <w:ind w:right="420" w:firstLine="5486" w:firstLineChars="2286"/>
        <w:rPr>
          <w:rFonts w:hint="eastAsia" w:ascii="宋体" w:hAnsi="宋体" w:eastAsia="宋体" w:cs="宋体"/>
          <w:color w:val="auto"/>
          <w:sz w:val="24"/>
          <w:szCs w:val="24"/>
          <w:highlight w:val="none"/>
          <w:lang w:val="zh-CN"/>
        </w:rPr>
      </w:pPr>
    </w:p>
    <w:p w14:paraId="0847D09B">
      <w:pPr>
        <w:spacing w:beforeLines="50" w:afterLines="50" w:line="360" w:lineRule="auto"/>
        <w:ind w:right="420" w:firstLine="5486" w:firstLineChars="2286"/>
        <w:rPr>
          <w:rFonts w:hint="eastAsia" w:ascii="宋体" w:hAnsi="宋体" w:eastAsia="宋体" w:cs="宋体"/>
          <w:color w:val="auto"/>
          <w:sz w:val="24"/>
          <w:szCs w:val="24"/>
          <w:highlight w:val="none"/>
          <w:lang w:val="zh-CN"/>
        </w:rPr>
      </w:pPr>
    </w:p>
    <w:p w14:paraId="58D9F879">
      <w:pPr>
        <w:spacing w:beforeLines="50" w:afterLines="50" w:line="360" w:lineRule="auto"/>
        <w:ind w:right="420" w:firstLine="5486" w:firstLineChars="2286"/>
        <w:rPr>
          <w:rFonts w:hint="eastAsia" w:ascii="宋体" w:hAnsi="宋体" w:eastAsia="宋体" w:cs="宋体"/>
          <w:color w:val="auto"/>
          <w:sz w:val="24"/>
          <w:szCs w:val="24"/>
          <w:highlight w:val="none"/>
          <w:lang w:val="zh-CN"/>
        </w:rPr>
      </w:pPr>
    </w:p>
    <w:p w14:paraId="114D4408">
      <w:pPr>
        <w:spacing w:beforeLines="50" w:afterLines="50" w:line="360" w:lineRule="auto"/>
        <w:ind w:right="420" w:firstLine="5486" w:firstLineChars="2286"/>
        <w:rPr>
          <w:rFonts w:hint="eastAsia" w:ascii="宋体" w:hAnsi="宋体" w:eastAsia="宋体" w:cs="宋体"/>
          <w:color w:val="auto"/>
          <w:sz w:val="24"/>
          <w:szCs w:val="24"/>
          <w:highlight w:val="none"/>
          <w:lang w:val="zh-CN"/>
        </w:rPr>
      </w:pPr>
    </w:p>
    <w:p w14:paraId="7B97A489">
      <w:pPr>
        <w:pStyle w:val="27"/>
        <w:ind w:firstLine="340"/>
        <w:rPr>
          <w:rFonts w:hint="eastAsia" w:ascii="宋体" w:hAnsi="宋体" w:eastAsia="宋体" w:cs="宋体"/>
          <w:color w:val="auto"/>
          <w:highlight w:val="none"/>
          <w:lang w:val="zh-CN"/>
        </w:rPr>
      </w:pPr>
    </w:p>
    <w:p w14:paraId="0373D30C">
      <w:pPr>
        <w:autoSpaceDE w:val="0"/>
        <w:autoSpaceDN w:val="0"/>
        <w:adjustRightInd w:val="0"/>
        <w:spacing w:line="360" w:lineRule="auto"/>
        <w:jc w:val="both"/>
        <w:outlineLvl w:val="0"/>
        <w:rPr>
          <w:rFonts w:hint="eastAsia" w:ascii="宋体" w:hAnsi="宋体" w:eastAsia="宋体" w:cs="宋体"/>
          <w:b/>
          <w:bCs/>
          <w:color w:val="auto"/>
          <w:sz w:val="24"/>
          <w:szCs w:val="24"/>
          <w:highlight w:val="none"/>
        </w:rPr>
      </w:pPr>
      <w:bookmarkStart w:id="4" w:name="_GoBack"/>
      <w:bookmarkEnd w:id="4"/>
    </w:p>
    <w:p w14:paraId="7C70A630">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3.5投标承诺函</w:t>
      </w:r>
    </w:p>
    <w:p w14:paraId="41C708A6">
      <w:pPr>
        <w:autoSpaceDE w:val="0"/>
        <w:autoSpaceDN w:val="0"/>
        <w:snapToGrid w:val="0"/>
        <w:spacing w:line="360" w:lineRule="auto"/>
        <w:jc w:val="center"/>
        <w:rPr>
          <w:rFonts w:hint="eastAsia" w:ascii="宋体" w:hAnsi="宋体" w:eastAsia="宋体" w:cs="宋体"/>
          <w:b/>
          <w:bCs/>
          <w:color w:val="auto"/>
          <w:sz w:val="24"/>
          <w:szCs w:val="24"/>
          <w:highlight w:val="none"/>
        </w:rPr>
      </w:pPr>
    </w:p>
    <w:p w14:paraId="1456CCD3">
      <w:pPr>
        <w:spacing w:beforeLines="50" w:afterLines="50" w:line="360" w:lineRule="auto"/>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本企业郑重承诺：</w:t>
      </w:r>
    </w:p>
    <w:p w14:paraId="3A61FFF4">
      <w:pPr>
        <w:spacing w:beforeLines="50" w:afterLines="50"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经研究，我方自愿参与贵方</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日</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招标编号、项目名称）的投标，将严格遵守《中华人民共和国政府采购法》等相关法律法规规定，并无条件地遵守本次采购活动各项规定。我们郑重承诺：我方如果在本次投标活动中有下列情形之一的，愿接受政府采购监督管理部门给予相关处罚并承诺依法承担相关的经济赔偿责任和法律责任。</w:t>
      </w:r>
    </w:p>
    <w:p w14:paraId="6D056D9A">
      <w:pPr>
        <w:spacing w:beforeLines="50" w:afterLines="50"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一、在投标有效期内撤销投标文件；</w:t>
      </w:r>
    </w:p>
    <w:p w14:paraId="504CE2D8">
      <w:pPr>
        <w:spacing w:beforeLines="50" w:afterLines="50"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二、在投标文件中提供虚假材料；</w:t>
      </w:r>
    </w:p>
    <w:p w14:paraId="284D5A98">
      <w:pPr>
        <w:spacing w:beforeLines="50" w:afterLines="50"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三、除因不可抗力或招标文件认可的情形以外，中标后不与采购人签订合同；</w:t>
      </w:r>
    </w:p>
    <w:p w14:paraId="0C8757FC">
      <w:pPr>
        <w:spacing w:beforeLines="50" w:afterLines="50"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四、与采购人、其他投标人或者采购代理机构恶意串通；</w:t>
      </w:r>
    </w:p>
    <w:p w14:paraId="1DE0B72F">
      <w:pPr>
        <w:spacing w:beforeLines="50" w:afterLines="50"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五、法律法规及本招标文件规定的其他严重违法行为。</w:t>
      </w:r>
    </w:p>
    <w:p w14:paraId="090D0FBF">
      <w:pPr>
        <w:rPr>
          <w:rFonts w:hint="eastAsia" w:ascii="宋体" w:hAnsi="宋体" w:eastAsia="宋体" w:cs="宋体"/>
          <w:color w:val="auto"/>
          <w:sz w:val="28"/>
          <w:szCs w:val="28"/>
          <w:highlight w:val="none"/>
          <w:u w:val="single"/>
        </w:rPr>
      </w:pPr>
    </w:p>
    <w:p w14:paraId="502AAAEA">
      <w:pPr>
        <w:rPr>
          <w:rFonts w:hint="eastAsia" w:ascii="宋体" w:hAnsi="宋体" w:eastAsia="宋体" w:cs="宋体"/>
          <w:color w:val="auto"/>
          <w:sz w:val="28"/>
          <w:szCs w:val="28"/>
          <w:highlight w:val="none"/>
          <w:u w:val="single"/>
        </w:rPr>
      </w:pPr>
    </w:p>
    <w:p w14:paraId="47FAAE0C">
      <w:pPr>
        <w:spacing w:line="480" w:lineRule="auto"/>
        <w:ind w:firstLine="4357" w:firstLineChars="2075"/>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投标人名称（</w:t>
      </w:r>
      <w:r>
        <w:rPr>
          <w:rFonts w:hint="eastAsia" w:ascii="宋体" w:hAnsi="宋体" w:eastAsia="宋体" w:cs="宋体"/>
          <w:color w:val="auto"/>
          <w:szCs w:val="21"/>
          <w:highlight w:val="none"/>
        </w:rPr>
        <w:t>并加盖公章</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　　　　　　　　　</w:t>
      </w:r>
    </w:p>
    <w:p w14:paraId="75C66DB2">
      <w:pPr>
        <w:spacing w:line="480" w:lineRule="auto"/>
        <w:ind w:firstLine="4357" w:firstLineChars="2075"/>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08177712">
      <w:pPr>
        <w:pStyle w:val="27"/>
        <w:ind w:left="0" w:leftChars="0" w:firstLine="0" w:firstLineChars="0"/>
        <w:rPr>
          <w:rFonts w:hint="eastAsia" w:ascii="宋体" w:hAnsi="宋体" w:eastAsia="宋体" w:cs="宋体"/>
          <w:color w:val="auto"/>
          <w:highlight w:val="none"/>
          <w:lang w:val="zh-CN"/>
        </w:rPr>
      </w:pPr>
    </w:p>
    <w:p w14:paraId="31BAEFD8">
      <w:pPr>
        <w:pStyle w:val="28"/>
        <w:ind w:firstLine="480"/>
        <w:rPr>
          <w:rFonts w:hint="eastAsia" w:ascii="宋体" w:hAnsi="宋体" w:eastAsia="宋体" w:cs="宋体"/>
          <w:color w:val="auto"/>
          <w:highlight w:val="none"/>
          <w:lang w:val="zh-CN"/>
        </w:rPr>
      </w:pPr>
    </w:p>
    <w:p w14:paraId="59945532">
      <w:pPr>
        <w:rPr>
          <w:rFonts w:hint="eastAsia" w:ascii="宋体" w:hAnsi="宋体" w:eastAsia="宋体" w:cs="宋体"/>
          <w:color w:val="auto"/>
          <w:highlight w:val="none"/>
          <w:lang w:val="zh-CN"/>
        </w:rPr>
      </w:pPr>
    </w:p>
    <w:p w14:paraId="50F2BD8C">
      <w:pPr>
        <w:pStyle w:val="27"/>
        <w:ind w:firstLine="340"/>
        <w:rPr>
          <w:rFonts w:hint="eastAsia" w:ascii="宋体" w:hAnsi="宋体" w:eastAsia="宋体" w:cs="宋体"/>
          <w:color w:val="auto"/>
          <w:highlight w:val="none"/>
          <w:lang w:val="zh-CN"/>
        </w:rPr>
      </w:pPr>
    </w:p>
    <w:p w14:paraId="2AA2CBCD">
      <w:pPr>
        <w:pStyle w:val="11"/>
        <w:rPr>
          <w:rFonts w:hint="eastAsia" w:ascii="宋体" w:hAnsi="宋体" w:eastAsia="宋体" w:cs="宋体"/>
          <w:color w:val="auto"/>
          <w:sz w:val="24"/>
          <w:highlight w:val="none"/>
          <w:lang w:val="zh-CN"/>
        </w:rPr>
      </w:pPr>
    </w:p>
    <w:p w14:paraId="21D6965B">
      <w:pPr>
        <w:pStyle w:val="11"/>
        <w:rPr>
          <w:rFonts w:hint="eastAsia" w:ascii="宋体" w:hAnsi="宋体" w:eastAsia="宋体" w:cs="宋体"/>
          <w:color w:val="auto"/>
          <w:sz w:val="24"/>
          <w:highlight w:val="none"/>
          <w:lang w:val="zh-CN"/>
        </w:rPr>
      </w:pPr>
    </w:p>
    <w:p w14:paraId="1CC06D96">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xml:space="preserve">其他资格证书或材料 </w:t>
      </w:r>
    </w:p>
    <w:p w14:paraId="3746877C">
      <w:pPr>
        <w:pStyle w:val="24"/>
        <w:rPr>
          <w:rFonts w:hint="eastAsia" w:ascii="宋体" w:hAnsi="宋体" w:eastAsia="宋体" w:cs="宋体"/>
          <w:color w:val="auto"/>
          <w:highlight w:val="none"/>
          <w:lang w:val="zh-CN"/>
        </w:rPr>
      </w:pPr>
    </w:p>
    <w:p w14:paraId="2B90246E">
      <w:pPr>
        <w:autoSpaceDE w:val="0"/>
        <w:autoSpaceDN w:val="0"/>
        <w:adjustRightInd w:val="0"/>
        <w:spacing w:line="360" w:lineRule="auto"/>
        <w:jc w:val="center"/>
        <w:rPr>
          <w:rFonts w:hint="eastAsia" w:ascii="宋体" w:hAnsi="宋体" w:eastAsia="宋体" w:cs="宋体"/>
          <w:b/>
          <w:snapToGrid w:val="0"/>
          <w:color w:val="auto"/>
          <w:kern w:val="0"/>
          <w:sz w:val="36"/>
          <w:szCs w:val="36"/>
          <w:highlight w:val="none"/>
        </w:rPr>
      </w:pPr>
      <w:r>
        <w:rPr>
          <w:rFonts w:hint="eastAsia" w:ascii="宋体" w:hAnsi="宋体" w:eastAsia="宋体" w:cs="宋体"/>
          <w:b/>
          <w:bCs/>
          <w:color w:val="auto"/>
          <w:sz w:val="28"/>
          <w:szCs w:val="28"/>
          <w:highlight w:val="none"/>
          <w:lang w:val="zh-CN"/>
        </w:rPr>
        <w:t>四、符合性审查相关材料</w:t>
      </w:r>
    </w:p>
    <w:p w14:paraId="12F15B8E">
      <w:pPr>
        <w:spacing w:line="48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4.1分项报价表</w:t>
      </w:r>
    </w:p>
    <w:p w14:paraId="61C2B48D">
      <w:pPr>
        <w:spacing w:line="480" w:lineRule="exact"/>
        <w:jc w:val="center"/>
        <w:rPr>
          <w:rFonts w:hint="eastAsia" w:ascii="宋体" w:hAnsi="宋体" w:eastAsia="宋体" w:cs="宋体"/>
          <w:b/>
          <w:bCs/>
          <w:color w:val="auto"/>
          <w:sz w:val="24"/>
          <w:szCs w:val="24"/>
          <w:highlight w:val="none"/>
        </w:rPr>
      </w:pPr>
    </w:p>
    <w:p w14:paraId="1E22E974">
      <w:pPr>
        <w:autoSpaceDE w:val="0"/>
        <w:autoSpaceDN w:val="0"/>
        <w:adjustRightIn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（投标人根据招标文件要求自行编制）</w:t>
      </w:r>
    </w:p>
    <w:p w14:paraId="6DB25C22">
      <w:pPr>
        <w:spacing w:line="360" w:lineRule="auto"/>
        <w:ind w:firstLine="4410" w:firstLineChars="2100"/>
        <w:contextualSpacing/>
        <w:rPr>
          <w:rFonts w:hint="eastAsia" w:ascii="宋体" w:hAnsi="宋体" w:eastAsia="宋体" w:cs="宋体"/>
          <w:color w:val="auto"/>
          <w:szCs w:val="21"/>
          <w:highlight w:val="none"/>
          <w:lang w:val="zh-CN"/>
        </w:rPr>
      </w:pPr>
    </w:p>
    <w:p w14:paraId="1E1BD0DA">
      <w:pPr>
        <w:spacing w:line="360" w:lineRule="auto"/>
        <w:ind w:firstLine="4410" w:firstLineChars="2100"/>
        <w:contextualSpacing/>
        <w:rPr>
          <w:rFonts w:hint="eastAsia" w:ascii="宋体" w:hAnsi="宋体" w:eastAsia="宋体" w:cs="宋体"/>
          <w:color w:val="auto"/>
          <w:szCs w:val="21"/>
          <w:highlight w:val="none"/>
          <w:lang w:val="zh-CN"/>
        </w:rPr>
      </w:pPr>
    </w:p>
    <w:p w14:paraId="52152BF6">
      <w:pPr>
        <w:spacing w:line="360" w:lineRule="auto"/>
        <w:ind w:firstLine="4410" w:firstLineChars="2100"/>
        <w:contextualSpacing/>
        <w:rPr>
          <w:rFonts w:hint="eastAsia" w:ascii="宋体" w:hAnsi="宋体" w:eastAsia="宋体" w:cs="宋体"/>
          <w:color w:val="auto"/>
          <w:szCs w:val="21"/>
          <w:highlight w:val="none"/>
          <w:lang w:val="zh-CN"/>
        </w:rPr>
      </w:pPr>
    </w:p>
    <w:p w14:paraId="1F1387E1">
      <w:pPr>
        <w:spacing w:line="360" w:lineRule="auto"/>
        <w:ind w:firstLine="4410" w:firstLineChars="21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投标人名称（盖章）：</w:t>
      </w:r>
    </w:p>
    <w:p w14:paraId="6E2088D3">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日期：   年    月    日</w:t>
      </w:r>
    </w:p>
    <w:p w14:paraId="609446AC">
      <w:pPr>
        <w:autoSpaceDE w:val="0"/>
        <w:autoSpaceDN w:val="0"/>
        <w:adjustRightInd w:val="0"/>
        <w:spacing w:line="480" w:lineRule="auto"/>
        <w:rPr>
          <w:rFonts w:hint="eastAsia" w:ascii="宋体" w:hAnsi="宋体" w:eastAsia="宋体" w:cs="宋体"/>
          <w:color w:val="auto"/>
          <w:sz w:val="24"/>
          <w:szCs w:val="24"/>
          <w:highlight w:val="none"/>
        </w:rPr>
      </w:pPr>
    </w:p>
    <w:p w14:paraId="39166AC6">
      <w:pPr>
        <w:autoSpaceDE w:val="0"/>
        <w:autoSpaceDN w:val="0"/>
        <w:adjustRightInd w:val="0"/>
        <w:spacing w:line="480" w:lineRule="auto"/>
        <w:rPr>
          <w:rFonts w:hint="eastAsia" w:ascii="宋体" w:hAnsi="宋体" w:eastAsia="宋体" w:cs="宋体"/>
          <w:color w:val="auto"/>
          <w:sz w:val="24"/>
          <w:szCs w:val="24"/>
          <w:highlight w:val="none"/>
          <w:lang w:val="zh-CN"/>
        </w:rPr>
      </w:pPr>
    </w:p>
    <w:p w14:paraId="240367F2">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4.2技术规格偏离表</w:t>
      </w:r>
    </w:p>
    <w:p w14:paraId="183D44D7">
      <w:pPr>
        <w:spacing w:before="50" w:afterLines="50" w:line="360" w:lineRule="auto"/>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p>
    <w:p w14:paraId="3F688E47">
      <w:pPr>
        <w:autoSpaceDE w:val="0"/>
        <w:autoSpaceDN w:val="0"/>
        <w:adjustRightInd w:val="0"/>
        <w:spacing w:line="360" w:lineRule="auto"/>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项目名称：   </w:t>
      </w:r>
    </w:p>
    <w:tbl>
      <w:tblPr>
        <w:tblStyle w:val="29"/>
        <w:tblW w:w="8046" w:type="dxa"/>
        <w:tblInd w:w="0" w:type="dxa"/>
        <w:tblLayout w:type="fixed"/>
        <w:tblCellMar>
          <w:top w:w="0" w:type="dxa"/>
          <w:left w:w="108" w:type="dxa"/>
          <w:bottom w:w="0" w:type="dxa"/>
          <w:right w:w="108" w:type="dxa"/>
        </w:tblCellMar>
      </w:tblPr>
      <w:tblGrid>
        <w:gridCol w:w="675"/>
        <w:gridCol w:w="1418"/>
        <w:gridCol w:w="1559"/>
        <w:gridCol w:w="1417"/>
        <w:gridCol w:w="1560"/>
        <w:gridCol w:w="1417"/>
      </w:tblGrid>
      <w:tr w14:paraId="3C9C0B90">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auto"/>
            <w:vAlign w:val="center"/>
          </w:tcPr>
          <w:p w14:paraId="4FFF5FEB">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14:paraId="0AC5D9E0">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货物</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服务</w:t>
            </w:r>
          </w:p>
          <w:p w14:paraId="583AB583">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名称</w:t>
            </w:r>
          </w:p>
        </w:tc>
        <w:tc>
          <w:tcPr>
            <w:tcW w:w="1559" w:type="dxa"/>
            <w:tcBorders>
              <w:top w:val="single" w:color="auto" w:sz="6" w:space="0"/>
              <w:left w:val="single" w:color="auto" w:sz="6" w:space="0"/>
              <w:bottom w:val="single" w:color="auto" w:sz="6" w:space="0"/>
              <w:right w:val="single" w:color="auto" w:sz="6" w:space="0"/>
            </w:tcBorders>
            <w:shd w:val="clear" w:color="auto" w:fill="auto"/>
            <w:vAlign w:val="center"/>
          </w:tcPr>
          <w:p w14:paraId="44137BBB">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招标文件</w:t>
            </w:r>
          </w:p>
          <w:p w14:paraId="404D1497">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技术要求</w:t>
            </w:r>
          </w:p>
        </w:tc>
        <w:tc>
          <w:tcPr>
            <w:tcW w:w="1417" w:type="dxa"/>
            <w:tcBorders>
              <w:top w:val="single" w:color="auto" w:sz="6" w:space="0"/>
              <w:left w:val="single" w:color="auto" w:sz="6" w:space="0"/>
              <w:bottom w:val="single" w:color="auto" w:sz="6" w:space="0"/>
              <w:right w:val="single" w:color="auto" w:sz="6" w:space="0"/>
            </w:tcBorders>
            <w:shd w:val="clear" w:color="auto" w:fill="auto"/>
            <w:vAlign w:val="center"/>
          </w:tcPr>
          <w:p w14:paraId="68E5D584">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投标技术</w:t>
            </w:r>
          </w:p>
          <w:p w14:paraId="099E0FD4">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参数</w:t>
            </w:r>
          </w:p>
        </w:tc>
        <w:tc>
          <w:tcPr>
            <w:tcW w:w="1560" w:type="dxa"/>
            <w:tcBorders>
              <w:top w:val="single" w:color="auto" w:sz="6" w:space="0"/>
              <w:left w:val="single" w:color="auto" w:sz="6" w:space="0"/>
              <w:bottom w:val="single" w:color="auto" w:sz="6" w:space="0"/>
              <w:right w:val="single" w:color="auto" w:sz="6" w:space="0"/>
            </w:tcBorders>
            <w:shd w:val="clear" w:color="auto" w:fill="auto"/>
            <w:vAlign w:val="center"/>
          </w:tcPr>
          <w:p w14:paraId="66403C33">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偏离</w:t>
            </w:r>
          </w:p>
          <w:p w14:paraId="11496979">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auto"/>
            <w:vAlign w:val="center"/>
          </w:tcPr>
          <w:p w14:paraId="777289E6">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偏离内容</w:t>
            </w:r>
          </w:p>
          <w:p w14:paraId="7EEE57D9">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说明</w:t>
            </w:r>
          </w:p>
        </w:tc>
      </w:tr>
      <w:tr w14:paraId="6152CED5">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52FFA97F">
            <w:pPr>
              <w:autoSpaceDE w:val="0"/>
              <w:autoSpaceDN w:val="0"/>
              <w:adjustRightInd w:val="0"/>
              <w:spacing w:line="48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1418" w:type="dxa"/>
            <w:tcBorders>
              <w:top w:val="single" w:color="auto" w:sz="6" w:space="0"/>
              <w:left w:val="single" w:color="auto" w:sz="6" w:space="0"/>
              <w:bottom w:val="single" w:color="auto" w:sz="6" w:space="0"/>
              <w:right w:val="single" w:color="auto" w:sz="6" w:space="0"/>
            </w:tcBorders>
          </w:tcPr>
          <w:p w14:paraId="78FED7FA">
            <w:pPr>
              <w:autoSpaceDE w:val="0"/>
              <w:autoSpaceDN w:val="0"/>
              <w:adjustRightInd w:val="0"/>
              <w:spacing w:line="480" w:lineRule="exact"/>
              <w:rPr>
                <w:rFonts w:hint="eastAsia" w:ascii="宋体" w:hAnsi="宋体" w:eastAsia="宋体" w:cs="宋体"/>
                <w:b/>
                <w:bCs/>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tcPr>
          <w:p w14:paraId="7488FBE5">
            <w:pPr>
              <w:autoSpaceDE w:val="0"/>
              <w:autoSpaceDN w:val="0"/>
              <w:adjustRightInd w:val="0"/>
              <w:spacing w:line="480" w:lineRule="exact"/>
              <w:rPr>
                <w:rFonts w:hint="eastAsia" w:ascii="宋体" w:hAnsi="宋体" w:eastAsia="宋体" w:cs="宋体"/>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tcPr>
          <w:p w14:paraId="65BBFC44">
            <w:pPr>
              <w:autoSpaceDE w:val="0"/>
              <w:autoSpaceDN w:val="0"/>
              <w:adjustRightInd w:val="0"/>
              <w:spacing w:line="480" w:lineRule="exact"/>
              <w:rPr>
                <w:rFonts w:hint="eastAsia" w:ascii="宋体" w:hAnsi="宋体" w:eastAsia="宋体" w:cs="宋体"/>
                <w:b/>
                <w:bCs/>
                <w:color w:val="auto"/>
                <w:szCs w:val="21"/>
                <w:highlight w:val="none"/>
              </w:rPr>
            </w:pPr>
          </w:p>
        </w:tc>
        <w:tc>
          <w:tcPr>
            <w:tcW w:w="1560" w:type="dxa"/>
            <w:tcBorders>
              <w:top w:val="single" w:color="auto" w:sz="6" w:space="0"/>
              <w:left w:val="single" w:color="auto" w:sz="6" w:space="0"/>
              <w:bottom w:val="single" w:color="auto" w:sz="6" w:space="0"/>
              <w:right w:val="single" w:color="auto" w:sz="6" w:space="0"/>
            </w:tcBorders>
          </w:tcPr>
          <w:p w14:paraId="1BB4CC22">
            <w:pPr>
              <w:autoSpaceDE w:val="0"/>
              <w:autoSpaceDN w:val="0"/>
              <w:adjustRightInd w:val="0"/>
              <w:spacing w:line="480" w:lineRule="exact"/>
              <w:rPr>
                <w:rFonts w:hint="eastAsia" w:ascii="宋体" w:hAnsi="宋体" w:eastAsia="宋体" w:cs="宋体"/>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1786EE29">
            <w:pPr>
              <w:autoSpaceDE w:val="0"/>
              <w:autoSpaceDN w:val="0"/>
              <w:adjustRightInd w:val="0"/>
              <w:spacing w:line="480" w:lineRule="exact"/>
              <w:jc w:val="center"/>
              <w:rPr>
                <w:rFonts w:hint="eastAsia" w:ascii="宋体" w:hAnsi="宋体" w:eastAsia="宋体" w:cs="宋体"/>
                <w:b/>
                <w:bCs/>
                <w:color w:val="auto"/>
                <w:szCs w:val="21"/>
                <w:highlight w:val="none"/>
              </w:rPr>
            </w:pPr>
          </w:p>
        </w:tc>
      </w:tr>
      <w:tr w14:paraId="1084C115">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2A56CBB8">
            <w:pPr>
              <w:autoSpaceDE w:val="0"/>
              <w:autoSpaceDN w:val="0"/>
              <w:adjustRightInd w:val="0"/>
              <w:spacing w:line="48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1418" w:type="dxa"/>
            <w:tcBorders>
              <w:top w:val="single" w:color="auto" w:sz="6" w:space="0"/>
              <w:left w:val="single" w:color="auto" w:sz="6" w:space="0"/>
              <w:bottom w:val="single" w:color="auto" w:sz="6" w:space="0"/>
              <w:right w:val="single" w:color="auto" w:sz="6" w:space="0"/>
            </w:tcBorders>
          </w:tcPr>
          <w:p w14:paraId="2D49511F">
            <w:pPr>
              <w:autoSpaceDE w:val="0"/>
              <w:autoSpaceDN w:val="0"/>
              <w:adjustRightInd w:val="0"/>
              <w:spacing w:line="480" w:lineRule="exact"/>
              <w:rPr>
                <w:rFonts w:hint="eastAsia" w:ascii="宋体" w:hAnsi="宋体" w:eastAsia="宋体" w:cs="宋体"/>
                <w:b/>
                <w:bCs/>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tcPr>
          <w:p w14:paraId="76AB7065">
            <w:pPr>
              <w:autoSpaceDE w:val="0"/>
              <w:autoSpaceDN w:val="0"/>
              <w:adjustRightInd w:val="0"/>
              <w:spacing w:line="480" w:lineRule="exact"/>
              <w:rPr>
                <w:rFonts w:hint="eastAsia" w:ascii="宋体" w:hAnsi="宋体" w:eastAsia="宋体" w:cs="宋体"/>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tcPr>
          <w:p w14:paraId="20335C9A">
            <w:pPr>
              <w:autoSpaceDE w:val="0"/>
              <w:autoSpaceDN w:val="0"/>
              <w:adjustRightInd w:val="0"/>
              <w:spacing w:line="480" w:lineRule="exact"/>
              <w:rPr>
                <w:rFonts w:hint="eastAsia" w:ascii="宋体" w:hAnsi="宋体" w:eastAsia="宋体" w:cs="宋体"/>
                <w:b/>
                <w:bCs/>
                <w:color w:val="auto"/>
                <w:szCs w:val="21"/>
                <w:highlight w:val="none"/>
              </w:rPr>
            </w:pPr>
          </w:p>
        </w:tc>
        <w:tc>
          <w:tcPr>
            <w:tcW w:w="1560" w:type="dxa"/>
            <w:tcBorders>
              <w:top w:val="single" w:color="auto" w:sz="6" w:space="0"/>
              <w:left w:val="single" w:color="auto" w:sz="6" w:space="0"/>
              <w:bottom w:val="single" w:color="auto" w:sz="6" w:space="0"/>
              <w:right w:val="single" w:color="auto" w:sz="6" w:space="0"/>
            </w:tcBorders>
          </w:tcPr>
          <w:p w14:paraId="44FC927A">
            <w:pPr>
              <w:autoSpaceDE w:val="0"/>
              <w:autoSpaceDN w:val="0"/>
              <w:adjustRightInd w:val="0"/>
              <w:spacing w:line="480" w:lineRule="exact"/>
              <w:rPr>
                <w:rFonts w:hint="eastAsia" w:ascii="宋体" w:hAnsi="宋体" w:eastAsia="宋体" w:cs="宋体"/>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69BE27C5">
            <w:pPr>
              <w:autoSpaceDE w:val="0"/>
              <w:autoSpaceDN w:val="0"/>
              <w:adjustRightInd w:val="0"/>
              <w:spacing w:line="480" w:lineRule="exact"/>
              <w:jc w:val="center"/>
              <w:rPr>
                <w:rFonts w:hint="eastAsia" w:ascii="宋体" w:hAnsi="宋体" w:eastAsia="宋体" w:cs="宋体"/>
                <w:b/>
                <w:bCs/>
                <w:color w:val="auto"/>
                <w:szCs w:val="21"/>
                <w:highlight w:val="none"/>
              </w:rPr>
            </w:pPr>
          </w:p>
        </w:tc>
      </w:tr>
      <w:tr w14:paraId="7C99DA2B">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46CC5BF2">
            <w:pPr>
              <w:autoSpaceDE w:val="0"/>
              <w:autoSpaceDN w:val="0"/>
              <w:adjustRightInd w:val="0"/>
              <w:spacing w:line="480" w:lineRule="exact"/>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w:t>
            </w:r>
          </w:p>
        </w:tc>
        <w:tc>
          <w:tcPr>
            <w:tcW w:w="1418" w:type="dxa"/>
            <w:tcBorders>
              <w:top w:val="single" w:color="auto" w:sz="6" w:space="0"/>
              <w:left w:val="single" w:color="auto" w:sz="6" w:space="0"/>
              <w:bottom w:val="single" w:color="auto" w:sz="6" w:space="0"/>
              <w:right w:val="single" w:color="auto" w:sz="6" w:space="0"/>
            </w:tcBorders>
          </w:tcPr>
          <w:p w14:paraId="15D3943C">
            <w:pPr>
              <w:autoSpaceDE w:val="0"/>
              <w:autoSpaceDN w:val="0"/>
              <w:adjustRightInd w:val="0"/>
              <w:spacing w:line="480" w:lineRule="exact"/>
              <w:rPr>
                <w:rFonts w:hint="eastAsia" w:ascii="宋体" w:hAnsi="宋体" w:eastAsia="宋体" w:cs="宋体"/>
                <w:b/>
                <w:bCs/>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tcPr>
          <w:p w14:paraId="7F76684B">
            <w:pPr>
              <w:autoSpaceDE w:val="0"/>
              <w:autoSpaceDN w:val="0"/>
              <w:adjustRightInd w:val="0"/>
              <w:spacing w:line="480" w:lineRule="exact"/>
              <w:rPr>
                <w:rFonts w:hint="eastAsia" w:ascii="宋体" w:hAnsi="宋体" w:eastAsia="宋体" w:cs="宋体"/>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tcPr>
          <w:p w14:paraId="091FAB25">
            <w:pPr>
              <w:autoSpaceDE w:val="0"/>
              <w:autoSpaceDN w:val="0"/>
              <w:adjustRightInd w:val="0"/>
              <w:spacing w:line="480" w:lineRule="exact"/>
              <w:rPr>
                <w:rFonts w:hint="eastAsia" w:ascii="宋体" w:hAnsi="宋体" w:eastAsia="宋体" w:cs="宋体"/>
                <w:b/>
                <w:bCs/>
                <w:color w:val="auto"/>
                <w:szCs w:val="21"/>
                <w:highlight w:val="none"/>
              </w:rPr>
            </w:pPr>
          </w:p>
        </w:tc>
        <w:tc>
          <w:tcPr>
            <w:tcW w:w="1560" w:type="dxa"/>
            <w:tcBorders>
              <w:top w:val="single" w:color="auto" w:sz="6" w:space="0"/>
              <w:left w:val="single" w:color="auto" w:sz="6" w:space="0"/>
              <w:bottom w:val="single" w:color="auto" w:sz="6" w:space="0"/>
              <w:right w:val="single" w:color="auto" w:sz="6" w:space="0"/>
            </w:tcBorders>
          </w:tcPr>
          <w:p w14:paraId="77EBCD79">
            <w:pPr>
              <w:autoSpaceDE w:val="0"/>
              <w:autoSpaceDN w:val="0"/>
              <w:adjustRightInd w:val="0"/>
              <w:spacing w:line="480" w:lineRule="exact"/>
              <w:rPr>
                <w:rFonts w:hint="eastAsia" w:ascii="宋体" w:hAnsi="宋体" w:eastAsia="宋体" w:cs="宋体"/>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2B4C381B">
            <w:pPr>
              <w:autoSpaceDE w:val="0"/>
              <w:autoSpaceDN w:val="0"/>
              <w:adjustRightInd w:val="0"/>
              <w:spacing w:line="480" w:lineRule="exact"/>
              <w:jc w:val="center"/>
              <w:rPr>
                <w:rFonts w:hint="eastAsia" w:ascii="宋体" w:hAnsi="宋体" w:eastAsia="宋体" w:cs="宋体"/>
                <w:b/>
                <w:bCs/>
                <w:color w:val="auto"/>
                <w:szCs w:val="21"/>
                <w:highlight w:val="none"/>
              </w:rPr>
            </w:pPr>
          </w:p>
        </w:tc>
      </w:tr>
    </w:tbl>
    <w:p w14:paraId="28C9CD8D">
      <w:pPr>
        <w:autoSpaceDE w:val="0"/>
        <w:autoSpaceDN w:val="0"/>
        <w:adjustRightInd w:val="0"/>
        <w:spacing w:line="480" w:lineRule="auto"/>
        <w:rPr>
          <w:rFonts w:hint="eastAsia" w:ascii="宋体" w:hAnsi="宋体" w:eastAsia="宋体" w:cs="宋体"/>
          <w:color w:val="auto"/>
          <w:szCs w:val="21"/>
          <w:highlight w:val="none"/>
          <w:lang w:val="zh-CN"/>
        </w:rPr>
      </w:pPr>
    </w:p>
    <w:p w14:paraId="4A2B07F8">
      <w:pPr>
        <w:spacing w:line="360" w:lineRule="auto"/>
        <w:ind w:firstLine="4410" w:firstLineChars="21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投标人名称（盖章）：</w:t>
      </w:r>
    </w:p>
    <w:p w14:paraId="3075E289">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日期：   年    月    日</w:t>
      </w:r>
    </w:p>
    <w:p w14:paraId="5CCFC595">
      <w:pPr>
        <w:pStyle w:val="27"/>
        <w:ind w:firstLine="0" w:firstLineChars="0"/>
        <w:rPr>
          <w:rFonts w:hint="eastAsia" w:ascii="宋体" w:hAnsi="宋体" w:eastAsia="宋体" w:cs="宋体"/>
          <w:color w:val="auto"/>
          <w:highlight w:val="none"/>
          <w:lang w:val="zh-CN"/>
        </w:rPr>
      </w:pPr>
    </w:p>
    <w:p w14:paraId="042A46D5">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4.3技术方案（实施方案）</w:t>
      </w:r>
    </w:p>
    <w:p w14:paraId="062D1FE9">
      <w:pPr>
        <w:snapToGrid w:val="0"/>
        <w:spacing w:line="360" w:lineRule="auto"/>
        <w:jc w:val="center"/>
        <w:rPr>
          <w:rFonts w:hint="eastAsia" w:ascii="宋体" w:hAnsi="宋体" w:eastAsia="宋体" w:cs="宋体"/>
          <w:b/>
          <w:snapToGrid w:val="0"/>
          <w:color w:val="auto"/>
          <w:kern w:val="0"/>
          <w:sz w:val="36"/>
          <w:szCs w:val="36"/>
          <w:highlight w:val="none"/>
        </w:rPr>
      </w:pPr>
    </w:p>
    <w:p w14:paraId="5DA2BBEA">
      <w:pPr>
        <w:autoSpaceDE w:val="0"/>
        <w:autoSpaceDN w:val="0"/>
        <w:adjustRightIn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（投标人根据招标文件要求自行编制）</w:t>
      </w:r>
    </w:p>
    <w:p w14:paraId="5841BAC8">
      <w:pPr>
        <w:snapToGrid w:val="0"/>
        <w:spacing w:line="360" w:lineRule="auto"/>
        <w:jc w:val="center"/>
        <w:rPr>
          <w:rFonts w:hint="eastAsia" w:ascii="宋体" w:hAnsi="宋体" w:eastAsia="宋体" w:cs="宋体"/>
          <w:b/>
          <w:snapToGrid w:val="0"/>
          <w:color w:val="auto"/>
          <w:kern w:val="0"/>
          <w:sz w:val="36"/>
          <w:szCs w:val="36"/>
          <w:highlight w:val="none"/>
        </w:rPr>
      </w:pPr>
    </w:p>
    <w:p w14:paraId="1ECA26CD">
      <w:pPr>
        <w:pStyle w:val="27"/>
        <w:ind w:firstLine="340"/>
        <w:rPr>
          <w:rFonts w:hint="eastAsia" w:ascii="宋体" w:hAnsi="宋体" w:eastAsia="宋体" w:cs="宋体"/>
          <w:color w:val="auto"/>
          <w:highlight w:val="none"/>
        </w:rPr>
      </w:pPr>
    </w:p>
    <w:p w14:paraId="3E0F9FCB">
      <w:pPr>
        <w:pStyle w:val="28"/>
        <w:ind w:firstLine="480"/>
        <w:rPr>
          <w:rFonts w:hint="eastAsia" w:ascii="宋体" w:hAnsi="宋体" w:eastAsia="宋体" w:cs="宋体"/>
          <w:color w:val="auto"/>
          <w:highlight w:val="none"/>
        </w:rPr>
      </w:pPr>
    </w:p>
    <w:p w14:paraId="28AD9C06">
      <w:pPr>
        <w:rPr>
          <w:rFonts w:hint="eastAsia" w:ascii="宋体" w:hAnsi="宋体" w:eastAsia="宋体" w:cs="宋体"/>
          <w:color w:val="auto"/>
          <w:highlight w:val="none"/>
        </w:rPr>
      </w:pPr>
    </w:p>
    <w:p w14:paraId="7AB97BB8">
      <w:pPr>
        <w:pStyle w:val="27"/>
        <w:ind w:firstLine="340"/>
        <w:rPr>
          <w:rFonts w:hint="eastAsia" w:ascii="宋体" w:hAnsi="宋体" w:eastAsia="宋体" w:cs="宋体"/>
          <w:color w:val="auto"/>
          <w:highlight w:val="none"/>
        </w:rPr>
      </w:pPr>
    </w:p>
    <w:p w14:paraId="6FDBA99C">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4.4服务承诺</w:t>
      </w:r>
      <w:r>
        <w:rPr>
          <w:rFonts w:hint="eastAsia" w:ascii="宋体" w:hAnsi="宋体" w:eastAsia="宋体" w:cs="宋体"/>
          <w:b/>
          <w:bCs/>
          <w:color w:val="auto"/>
          <w:sz w:val="24"/>
          <w:szCs w:val="24"/>
          <w:highlight w:val="none"/>
          <w:lang w:val="en-US" w:eastAsia="zh-CN"/>
        </w:rPr>
        <w:t>及</w:t>
      </w:r>
      <w:r>
        <w:rPr>
          <w:rFonts w:hint="eastAsia" w:ascii="宋体" w:hAnsi="宋体" w:eastAsia="宋体" w:cs="宋体"/>
          <w:b/>
          <w:bCs/>
          <w:color w:val="auto"/>
          <w:sz w:val="24"/>
          <w:szCs w:val="24"/>
          <w:highlight w:val="none"/>
        </w:rPr>
        <w:t>售后服务方案</w:t>
      </w:r>
    </w:p>
    <w:p w14:paraId="7517E59D">
      <w:pPr>
        <w:autoSpaceDE w:val="0"/>
        <w:autoSpaceDN w:val="0"/>
        <w:adjustRightIn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（投标人根据招标文件要求自行编制）</w:t>
      </w:r>
    </w:p>
    <w:p w14:paraId="433D383F">
      <w:pPr>
        <w:pStyle w:val="27"/>
        <w:ind w:firstLine="340"/>
        <w:rPr>
          <w:rFonts w:hint="eastAsia" w:ascii="宋体" w:hAnsi="宋体" w:eastAsia="宋体" w:cs="宋体"/>
          <w:color w:val="auto"/>
          <w:highlight w:val="none"/>
          <w:lang w:val="zh-CN"/>
        </w:rPr>
      </w:pPr>
    </w:p>
    <w:p w14:paraId="0B4EF1C6">
      <w:pPr>
        <w:pStyle w:val="28"/>
        <w:ind w:firstLine="480"/>
        <w:rPr>
          <w:rFonts w:hint="eastAsia" w:ascii="宋体" w:hAnsi="宋体" w:eastAsia="宋体" w:cs="宋体"/>
          <w:color w:val="auto"/>
          <w:highlight w:val="none"/>
          <w:lang w:val="zh-CN"/>
        </w:rPr>
      </w:pPr>
    </w:p>
    <w:p w14:paraId="3A732F34">
      <w:pPr>
        <w:rPr>
          <w:rFonts w:hint="eastAsia" w:ascii="宋体" w:hAnsi="宋体" w:eastAsia="宋体" w:cs="宋体"/>
          <w:color w:val="auto"/>
          <w:highlight w:val="none"/>
          <w:lang w:val="zh-CN"/>
        </w:rPr>
      </w:pPr>
    </w:p>
    <w:p w14:paraId="665F6514">
      <w:pPr>
        <w:pStyle w:val="27"/>
        <w:ind w:firstLine="340"/>
        <w:rPr>
          <w:rFonts w:hint="eastAsia" w:ascii="宋体" w:hAnsi="宋体" w:eastAsia="宋体" w:cs="宋体"/>
          <w:color w:val="auto"/>
          <w:highlight w:val="none"/>
          <w:lang w:val="zh-CN"/>
        </w:rPr>
      </w:pPr>
    </w:p>
    <w:p w14:paraId="01CA8A5E">
      <w:pPr>
        <w:pStyle w:val="28"/>
        <w:ind w:firstLine="480"/>
        <w:rPr>
          <w:rFonts w:hint="eastAsia" w:ascii="宋体" w:hAnsi="宋体" w:eastAsia="宋体" w:cs="宋体"/>
          <w:color w:val="auto"/>
          <w:highlight w:val="none"/>
          <w:lang w:val="zh-CN"/>
        </w:rPr>
      </w:pPr>
    </w:p>
    <w:p w14:paraId="6CE5D36A">
      <w:pPr>
        <w:rPr>
          <w:rFonts w:hint="eastAsia" w:ascii="宋体" w:hAnsi="宋体" w:eastAsia="宋体" w:cs="宋体"/>
          <w:color w:val="auto"/>
          <w:highlight w:val="none"/>
          <w:lang w:val="zh-CN"/>
        </w:rPr>
      </w:pPr>
    </w:p>
    <w:p w14:paraId="6DAF5F2B">
      <w:pPr>
        <w:pStyle w:val="27"/>
        <w:ind w:firstLine="340"/>
        <w:rPr>
          <w:rFonts w:hint="eastAsia" w:ascii="宋体" w:hAnsi="宋体" w:eastAsia="宋体" w:cs="宋体"/>
          <w:color w:val="auto"/>
          <w:highlight w:val="none"/>
          <w:lang w:val="zh-CN"/>
        </w:rPr>
      </w:pPr>
    </w:p>
    <w:p w14:paraId="27E850C1">
      <w:pPr>
        <w:pStyle w:val="28"/>
        <w:ind w:firstLine="480"/>
        <w:rPr>
          <w:rFonts w:hint="eastAsia" w:ascii="宋体" w:hAnsi="宋体" w:eastAsia="宋体" w:cs="宋体"/>
          <w:color w:val="auto"/>
          <w:highlight w:val="none"/>
          <w:lang w:val="zh-CN"/>
        </w:rPr>
      </w:pPr>
    </w:p>
    <w:p w14:paraId="4F3A348D">
      <w:pPr>
        <w:rPr>
          <w:rFonts w:hint="eastAsia" w:ascii="宋体" w:hAnsi="宋体" w:eastAsia="宋体" w:cs="宋体"/>
          <w:color w:val="auto"/>
          <w:highlight w:val="none"/>
          <w:lang w:val="zh-CN"/>
        </w:rPr>
      </w:pPr>
    </w:p>
    <w:p w14:paraId="3767D38D">
      <w:pPr>
        <w:pStyle w:val="27"/>
        <w:ind w:firstLine="340"/>
        <w:rPr>
          <w:rFonts w:hint="eastAsia" w:ascii="宋体" w:hAnsi="宋体" w:eastAsia="宋体" w:cs="宋体"/>
          <w:color w:val="auto"/>
          <w:highlight w:val="none"/>
          <w:lang w:val="zh-CN"/>
        </w:rPr>
      </w:pPr>
    </w:p>
    <w:p w14:paraId="4A310DE1">
      <w:pPr>
        <w:pStyle w:val="28"/>
        <w:ind w:firstLine="480"/>
        <w:rPr>
          <w:rFonts w:hint="eastAsia" w:ascii="宋体" w:hAnsi="宋体" w:eastAsia="宋体" w:cs="宋体"/>
          <w:color w:val="auto"/>
          <w:highlight w:val="none"/>
          <w:lang w:val="zh-CN"/>
        </w:rPr>
      </w:pPr>
    </w:p>
    <w:p w14:paraId="046DE97D">
      <w:pPr>
        <w:rPr>
          <w:rFonts w:hint="eastAsia" w:ascii="宋体" w:hAnsi="宋体" w:eastAsia="宋体" w:cs="宋体"/>
          <w:color w:val="auto"/>
          <w:highlight w:val="none"/>
          <w:lang w:val="zh-CN"/>
        </w:rPr>
      </w:pPr>
    </w:p>
    <w:p w14:paraId="6C0AE82E">
      <w:pPr>
        <w:pStyle w:val="27"/>
        <w:ind w:firstLine="340"/>
        <w:rPr>
          <w:rFonts w:hint="eastAsia" w:ascii="宋体" w:hAnsi="宋体" w:eastAsia="宋体" w:cs="宋体"/>
          <w:color w:val="auto"/>
          <w:highlight w:val="none"/>
          <w:lang w:val="zh-CN"/>
        </w:rPr>
      </w:pPr>
    </w:p>
    <w:p w14:paraId="50054374">
      <w:pPr>
        <w:rPr>
          <w:rFonts w:hint="eastAsia" w:ascii="宋体" w:hAnsi="宋体" w:eastAsia="宋体" w:cs="宋体"/>
          <w:color w:val="auto"/>
          <w:highlight w:val="none"/>
          <w:lang w:val="zh-CN"/>
        </w:rPr>
      </w:pPr>
    </w:p>
    <w:p w14:paraId="6DC46B35">
      <w:pPr>
        <w:pStyle w:val="28"/>
        <w:ind w:firstLine="480"/>
        <w:rPr>
          <w:rFonts w:hint="eastAsia" w:ascii="宋体" w:hAnsi="宋体" w:eastAsia="宋体" w:cs="宋体"/>
          <w:color w:val="auto"/>
          <w:highlight w:val="none"/>
          <w:lang w:val="zh-CN"/>
        </w:rPr>
      </w:pPr>
    </w:p>
    <w:p w14:paraId="4BA0C71E">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业绩情况表</w:t>
      </w:r>
    </w:p>
    <w:p w14:paraId="3F3A9B90">
      <w:pPr>
        <w:autoSpaceDE w:val="0"/>
        <w:autoSpaceDN w:val="0"/>
        <w:adjustRightInd w:val="0"/>
        <w:spacing w:line="360" w:lineRule="auto"/>
        <w:jc w:val="center"/>
        <w:outlineLvl w:val="0"/>
        <w:rPr>
          <w:rFonts w:hint="eastAsia" w:ascii="宋体" w:hAnsi="宋体" w:eastAsia="宋体" w:cs="宋体"/>
          <w:b/>
          <w:bCs/>
          <w:color w:val="auto"/>
          <w:sz w:val="28"/>
          <w:szCs w:val="28"/>
          <w:highlight w:val="none"/>
        </w:rPr>
      </w:pPr>
    </w:p>
    <w:p w14:paraId="453943C6">
      <w:pPr>
        <w:spacing w:before="50" w:afterLines="50" w:line="360" w:lineRule="auto"/>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p>
    <w:p w14:paraId="3C1E3C09">
      <w:pPr>
        <w:snapToGrid w:val="0"/>
        <w:spacing w:line="360" w:lineRule="auto"/>
        <w:rPr>
          <w:rFonts w:hint="eastAsia" w:ascii="宋体" w:hAnsi="宋体" w:eastAsia="宋体" w:cs="宋体"/>
          <w:b/>
          <w:snapToGrid w:val="0"/>
          <w:color w:val="auto"/>
          <w:kern w:val="0"/>
          <w:szCs w:val="21"/>
          <w:highlight w:val="none"/>
        </w:rPr>
      </w:pPr>
      <w:r>
        <w:rPr>
          <w:rFonts w:hint="eastAsia" w:ascii="宋体" w:hAnsi="宋体" w:eastAsia="宋体" w:cs="宋体"/>
          <w:color w:val="auto"/>
          <w:szCs w:val="21"/>
          <w:highlight w:val="none"/>
        </w:rPr>
        <w:t xml:space="preserve">项目名称：   </w:t>
      </w:r>
    </w:p>
    <w:tbl>
      <w:tblPr>
        <w:tblStyle w:val="29"/>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5B8E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auto"/>
            <w:vAlign w:val="center"/>
          </w:tcPr>
          <w:p w14:paraId="0D4B5CF8">
            <w:pPr>
              <w:pStyle w:val="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808" w:type="dxa"/>
            <w:shd w:val="clear" w:color="auto" w:fill="auto"/>
            <w:vAlign w:val="center"/>
          </w:tcPr>
          <w:p w14:paraId="17D8AD67">
            <w:pPr>
              <w:pStyle w:val="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客户单位名称</w:t>
            </w:r>
          </w:p>
        </w:tc>
        <w:tc>
          <w:tcPr>
            <w:tcW w:w="3579" w:type="dxa"/>
            <w:shd w:val="clear" w:color="auto" w:fill="auto"/>
            <w:vAlign w:val="center"/>
          </w:tcPr>
          <w:p w14:paraId="4AA92424">
            <w:pPr>
              <w:pStyle w:val="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项目名称及主要内容</w:t>
            </w:r>
          </w:p>
        </w:tc>
        <w:tc>
          <w:tcPr>
            <w:tcW w:w="1440" w:type="dxa"/>
            <w:shd w:val="clear" w:color="auto" w:fill="auto"/>
            <w:vAlign w:val="center"/>
          </w:tcPr>
          <w:p w14:paraId="34414E28">
            <w:pPr>
              <w:pStyle w:val="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合同金额</w:t>
            </w:r>
          </w:p>
          <w:p w14:paraId="7E98D992">
            <w:pPr>
              <w:pStyle w:val="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（万元）</w:t>
            </w:r>
          </w:p>
        </w:tc>
        <w:tc>
          <w:tcPr>
            <w:tcW w:w="1706" w:type="dxa"/>
            <w:shd w:val="clear" w:color="auto" w:fill="auto"/>
            <w:vAlign w:val="center"/>
          </w:tcPr>
          <w:p w14:paraId="02DB9AB8">
            <w:pPr>
              <w:pStyle w:val="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联系人及电话</w:t>
            </w:r>
          </w:p>
        </w:tc>
      </w:tr>
      <w:tr w14:paraId="4FE5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DDD799E">
            <w:pPr>
              <w:pStyle w:val="8"/>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08" w:type="dxa"/>
            <w:vAlign w:val="center"/>
          </w:tcPr>
          <w:p w14:paraId="2054301F">
            <w:pPr>
              <w:pStyle w:val="8"/>
              <w:spacing w:line="360" w:lineRule="auto"/>
              <w:rPr>
                <w:rFonts w:hint="eastAsia" w:ascii="宋体" w:hAnsi="宋体" w:eastAsia="宋体" w:cs="宋体"/>
                <w:color w:val="auto"/>
                <w:sz w:val="21"/>
                <w:szCs w:val="21"/>
                <w:highlight w:val="none"/>
              </w:rPr>
            </w:pPr>
          </w:p>
        </w:tc>
        <w:tc>
          <w:tcPr>
            <w:tcW w:w="3579" w:type="dxa"/>
            <w:vAlign w:val="center"/>
          </w:tcPr>
          <w:p w14:paraId="45AFB33B">
            <w:pPr>
              <w:pStyle w:val="8"/>
              <w:spacing w:line="360" w:lineRule="auto"/>
              <w:rPr>
                <w:rFonts w:hint="eastAsia" w:ascii="宋体" w:hAnsi="宋体" w:eastAsia="宋体" w:cs="宋体"/>
                <w:color w:val="auto"/>
                <w:sz w:val="21"/>
                <w:szCs w:val="21"/>
                <w:highlight w:val="none"/>
              </w:rPr>
            </w:pPr>
          </w:p>
        </w:tc>
        <w:tc>
          <w:tcPr>
            <w:tcW w:w="1440" w:type="dxa"/>
            <w:vAlign w:val="center"/>
          </w:tcPr>
          <w:p w14:paraId="04C17FD8">
            <w:pPr>
              <w:pStyle w:val="8"/>
              <w:spacing w:line="360" w:lineRule="auto"/>
              <w:rPr>
                <w:rFonts w:hint="eastAsia" w:ascii="宋体" w:hAnsi="宋体" w:eastAsia="宋体" w:cs="宋体"/>
                <w:color w:val="auto"/>
                <w:sz w:val="21"/>
                <w:szCs w:val="21"/>
                <w:highlight w:val="none"/>
              </w:rPr>
            </w:pPr>
          </w:p>
        </w:tc>
        <w:tc>
          <w:tcPr>
            <w:tcW w:w="1706" w:type="dxa"/>
            <w:vAlign w:val="center"/>
          </w:tcPr>
          <w:p w14:paraId="7DA54503">
            <w:pPr>
              <w:pStyle w:val="8"/>
              <w:spacing w:line="360" w:lineRule="auto"/>
              <w:rPr>
                <w:rFonts w:hint="eastAsia" w:ascii="宋体" w:hAnsi="宋体" w:eastAsia="宋体" w:cs="宋体"/>
                <w:color w:val="auto"/>
                <w:sz w:val="21"/>
                <w:szCs w:val="21"/>
                <w:highlight w:val="none"/>
              </w:rPr>
            </w:pPr>
          </w:p>
        </w:tc>
      </w:tr>
      <w:tr w14:paraId="52E1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88280F0">
            <w:pPr>
              <w:pStyle w:val="8"/>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08" w:type="dxa"/>
            <w:vAlign w:val="center"/>
          </w:tcPr>
          <w:p w14:paraId="596485CF">
            <w:pPr>
              <w:pStyle w:val="8"/>
              <w:spacing w:line="360" w:lineRule="auto"/>
              <w:rPr>
                <w:rFonts w:hint="eastAsia" w:ascii="宋体" w:hAnsi="宋体" w:eastAsia="宋体" w:cs="宋体"/>
                <w:color w:val="auto"/>
                <w:sz w:val="21"/>
                <w:szCs w:val="21"/>
                <w:highlight w:val="none"/>
              </w:rPr>
            </w:pPr>
          </w:p>
        </w:tc>
        <w:tc>
          <w:tcPr>
            <w:tcW w:w="3579" w:type="dxa"/>
            <w:vAlign w:val="center"/>
          </w:tcPr>
          <w:p w14:paraId="3B659EDC">
            <w:pPr>
              <w:pStyle w:val="8"/>
              <w:spacing w:line="360" w:lineRule="auto"/>
              <w:rPr>
                <w:rFonts w:hint="eastAsia" w:ascii="宋体" w:hAnsi="宋体" w:eastAsia="宋体" w:cs="宋体"/>
                <w:color w:val="auto"/>
                <w:sz w:val="21"/>
                <w:szCs w:val="21"/>
                <w:highlight w:val="none"/>
              </w:rPr>
            </w:pPr>
          </w:p>
        </w:tc>
        <w:tc>
          <w:tcPr>
            <w:tcW w:w="1440" w:type="dxa"/>
            <w:vAlign w:val="center"/>
          </w:tcPr>
          <w:p w14:paraId="62FE1F92">
            <w:pPr>
              <w:pStyle w:val="8"/>
              <w:spacing w:line="360" w:lineRule="auto"/>
              <w:rPr>
                <w:rFonts w:hint="eastAsia" w:ascii="宋体" w:hAnsi="宋体" w:eastAsia="宋体" w:cs="宋体"/>
                <w:color w:val="auto"/>
                <w:sz w:val="21"/>
                <w:szCs w:val="21"/>
                <w:highlight w:val="none"/>
              </w:rPr>
            </w:pPr>
          </w:p>
        </w:tc>
        <w:tc>
          <w:tcPr>
            <w:tcW w:w="1706" w:type="dxa"/>
            <w:vAlign w:val="center"/>
          </w:tcPr>
          <w:p w14:paraId="34D148BC">
            <w:pPr>
              <w:pStyle w:val="8"/>
              <w:spacing w:line="360" w:lineRule="auto"/>
              <w:rPr>
                <w:rFonts w:hint="eastAsia" w:ascii="宋体" w:hAnsi="宋体" w:eastAsia="宋体" w:cs="宋体"/>
                <w:color w:val="auto"/>
                <w:sz w:val="21"/>
                <w:szCs w:val="21"/>
                <w:highlight w:val="none"/>
              </w:rPr>
            </w:pPr>
          </w:p>
        </w:tc>
      </w:tr>
      <w:tr w14:paraId="2CF53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F9EC101">
            <w:pPr>
              <w:pStyle w:val="8"/>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808" w:type="dxa"/>
            <w:vAlign w:val="center"/>
          </w:tcPr>
          <w:p w14:paraId="10B6E0AB">
            <w:pPr>
              <w:pStyle w:val="8"/>
              <w:spacing w:line="360" w:lineRule="auto"/>
              <w:rPr>
                <w:rFonts w:hint="eastAsia" w:ascii="宋体" w:hAnsi="宋体" w:eastAsia="宋体" w:cs="宋体"/>
                <w:color w:val="auto"/>
                <w:sz w:val="21"/>
                <w:szCs w:val="21"/>
                <w:highlight w:val="none"/>
              </w:rPr>
            </w:pPr>
          </w:p>
        </w:tc>
        <w:tc>
          <w:tcPr>
            <w:tcW w:w="3579" w:type="dxa"/>
            <w:vAlign w:val="center"/>
          </w:tcPr>
          <w:p w14:paraId="02FA4B2B">
            <w:pPr>
              <w:pStyle w:val="8"/>
              <w:spacing w:line="360" w:lineRule="auto"/>
              <w:rPr>
                <w:rFonts w:hint="eastAsia" w:ascii="宋体" w:hAnsi="宋体" w:eastAsia="宋体" w:cs="宋体"/>
                <w:color w:val="auto"/>
                <w:sz w:val="21"/>
                <w:szCs w:val="21"/>
                <w:highlight w:val="none"/>
              </w:rPr>
            </w:pPr>
          </w:p>
        </w:tc>
        <w:tc>
          <w:tcPr>
            <w:tcW w:w="1440" w:type="dxa"/>
            <w:vAlign w:val="center"/>
          </w:tcPr>
          <w:p w14:paraId="2BBADC5C">
            <w:pPr>
              <w:pStyle w:val="8"/>
              <w:spacing w:line="360" w:lineRule="auto"/>
              <w:rPr>
                <w:rFonts w:hint="eastAsia" w:ascii="宋体" w:hAnsi="宋体" w:eastAsia="宋体" w:cs="宋体"/>
                <w:color w:val="auto"/>
                <w:sz w:val="21"/>
                <w:szCs w:val="21"/>
                <w:highlight w:val="none"/>
              </w:rPr>
            </w:pPr>
          </w:p>
        </w:tc>
        <w:tc>
          <w:tcPr>
            <w:tcW w:w="1706" w:type="dxa"/>
            <w:vAlign w:val="center"/>
          </w:tcPr>
          <w:p w14:paraId="207D0988">
            <w:pPr>
              <w:pStyle w:val="8"/>
              <w:spacing w:line="360" w:lineRule="auto"/>
              <w:rPr>
                <w:rFonts w:hint="eastAsia" w:ascii="宋体" w:hAnsi="宋体" w:eastAsia="宋体" w:cs="宋体"/>
                <w:color w:val="auto"/>
                <w:sz w:val="21"/>
                <w:szCs w:val="21"/>
                <w:highlight w:val="none"/>
              </w:rPr>
            </w:pPr>
          </w:p>
        </w:tc>
      </w:tr>
      <w:tr w14:paraId="3AA3F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02D861B">
            <w:pPr>
              <w:pStyle w:val="8"/>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808" w:type="dxa"/>
            <w:vAlign w:val="center"/>
          </w:tcPr>
          <w:p w14:paraId="104C6BCE">
            <w:pPr>
              <w:rPr>
                <w:rFonts w:hint="eastAsia" w:ascii="宋体" w:hAnsi="宋体" w:eastAsia="宋体" w:cs="宋体"/>
                <w:color w:val="auto"/>
                <w:szCs w:val="21"/>
                <w:highlight w:val="none"/>
              </w:rPr>
            </w:pPr>
          </w:p>
        </w:tc>
        <w:tc>
          <w:tcPr>
            <w:tcW w:w="3579" w:type="dxa"/>
            <w:vAlign w:val="center"/>
          </w:tcPr>
          <w:p w14:paraId="4F327A5C">
            <w:pPr>
              <w:rPr>
                <w:rFonts w:hint="eastAsia" w:ascii="宋体" w:hAnsi="宋体" w:eastAsia="宋体" w:cs="宋体"/>
                <w:color w:val="auto"/>
                <w:szCs w:val="21"/>
                <w:highlight w:val="none"/>
              </w:rPr>
            </w:pPr>
          </w:p>
        </w:tc>
        <w:tc>
          <w:tcPr>
            <w:tcW w:w="1440" w:type="dxa"/>
            <w:vAlign w:val="center"/>
          </w:tcPr>
          <w:p w14:paraId="56F94B03">
            <w:pPr>
              <w:rPr>
                <w:rFonts w:hint="eastAsia" w:ascii="宋体" w:hAnsi="宋体" w:eastAsia="宋体" w:cs="宋体"/>
                <w:color w:val="auto"/>
                <w:szCs w:val="21"/>
                <w:highlight w:val="none"/>
              </w:rPr>
            </w:pPr>
          </w:p>
        </w:tc>
        <w:tc>
          <w:tcPr>
            <w:tcW w:w="1706" w:type="dxa"/>
            <w:vAlign w:val="center"/>
          </w:tcPr>
          <w:p w14:paraId="3D03C182">
            <w:pPr>
              <w:rPr>
                <w:rFonts w:hint="eastAsia" w:ascii="宋体" w:hAnsi="宋体" w:eastAsia="宋体" w:cs="宋体"/>
                <w:color w:val="auto"/>
                <w:szCs w:val="21"/>
                <w:highlight w:val="none"/>
              </w:rPr>
            </w:pPr>
          </w:p>
        </w:tc>
      </w:tr>
      <w:tr w14:paraId="6E28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1B6B37E">
            <w:pPr>
              <w:pStyle w:val="8"/>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08" w:type="dxa"/>
            <w:vAlign w:val="center"/>
          </w:tcPr>
          <w:p w14:paraId="073FEBE9">
            <w:pPr>
              <w:rPr>
                <w:rFonts w:hint="eastAsia" w:ascii="宋体" w:hAnsi="宋体" w:eastAsia="宋体" w:cs="宋体"/>
                <w:color w:val="auto"/>
                <w:szCs w:val="21"/>
                <w:highlight w:val="none"/>
              </w:rPr>
            </w:pPr>
          </w:p>
        </w:tc>
        <w:tc>
          <w:tcPr>
            <w:tcW w:w="3579" w:type="dxa"/>
            <w:vAlign w:val="center"/>
          </w:tcPr>
          <w:p w14:paraId="2CEB6930">
            <w:pPr>
              <w:rPr>
                <w:rFonts w:hint="eastAsia" w:ascii="宋体" w:hAnsi="宋体" w:eastAsia="宋体" w:cs="宋体"/>
                <w:color w:val="auto"/>
                <w:szCs w:val="21"/>
                <w:highlight w:val="none"/>
              </w:rPr>
            </w:pPr>
          </w:p>
        </w:tc>
        <w:tc>
          <w:tcPr>
            <w:tcW w:w="1440" w:type="dxa"/>
            <w:vAlign w:val="center"/>
          </w:tcPr>
          <w:p w14:paraId="3B0A2281">
            <w:pPr>
              <w:rPr>
                <w:rFonts w:hint="eastAsia" w:ascii="宋体" w:hAnsi="宋体" w:eastAsia="宋体" w:cs="宋体"/>
                <w:color w:val="auto"/>
                <w:szCs w:val="21"/>
                <w:highlight w:val="none"/>
              </w:rPr>
            </w:pPr>
          </w:p>
        </w:tc>
        <w:tc>
          <w:tcPr>
            <w:tcW w:w="1706" w:type="dxa"/>
            <w:vAlign w:val="center"/>
          </w:tcPr>
          <w:p w14:paraId="7EB92003">
            <w:pPr>
              <w:rPr>
                <w:rFonts w:hint="eastAsia" w:ascii="宋体" w:hAnsi="宋体" w:eastAsia="宋体" w:cs="宋体"/>
                <w:color w:val="auto"/>
                <w:szCs w:val="21"/>
                <w:highlight w:val="none"/>
              </w:rPr>
            </w:pPr>
          </w:p>
        </w:tc>
      </w:tr>
    </w:tbl>
    <w:p w14:paraId="16F34411">
      <w:pPr>
        <w:autoSpaceDE w:val="0"/>
        <w:autoSpaceDN w:val="0"/>
        <w:adjustRightInd w:val="0"/>
        <w:spacing w:line="480" w:lineRule="auto"/>
        <w:rPr>
          <w:rFonts w:hint="eastAsia" w:ascii="宋体" w:hAnsi="宋体" w:eastAsia="宋体" w:cs="宋体"/>
          <w:color w:val="auto"/>
          <w:szCs w:val="21"/>
          <w:highlight w:val="none"/>
          <w:lang w:val="zh-CN"/>
        </w:rPr>
      </w:pPr>
    </w:p>
    <w:p w14:paraId="16C88213">
      <w:pPr>
        <w:autoSpaceDE w:val="0"/>
        <w:autoSpaceDN w:val="0"/>
        <w:adjustRightInd w:val="0"/>
        <w:spacing w:line="48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投标人名称（</w:t>
      </w:r>
      <w:r>
        <w:rPr>
          <w:rFonts w:hint="eastAsia" w:ascii="宋体" w:hAnsi="宋体" w:eastAsia="宋体" w:cs="宋体"/>
          <w:color w:val="auto"/>
          <w:szCs w:val="21"/>
          <w:highlight w:val="none"/>
        </w:rPr>
        <w:t>并加盖公章</w:t>
      </w:r>
      <w:r>
        <w:rPr>
          <w:rFonts w:hint="eastAsia" w:ascii="宋体" w:hAnsi="宋体" w:eastAsia="宋体" w:cs="宋体"/>
          <w:color w:val="auto"/>
          <w:szCs w:val="21"/>
          <w:highlight w:val="none"/>
          <w:lang w:val="zh-CN"/>
        </w:rPr>
        <w:t>）：</w:t>
      </w:r>
    </w:p>
    <w:p w14:paraId="70966F85">
      <w:pPr>
        <w:autoSpaceDE w:val="0"/>
        <w:autoSpaceDN w:val="0"/>
        <w:adjustRightInd w:val="0"/>
        <w:spacing w:line="480" w:lineRule="auto"/>
        <w:rPr>
          <w:rFonts w:hint="eastAsia" w:ascii="宋体" w:hAnsi="宋体" w:eastAsia="宋体" w:cs="宋体"/>
          <w:color w:val="auto"/>
          <w:sz w:val="24"/>
          <w:szCs w:val="24"/>
          <w:highlight w:val="none"/>
          <w:lang w:val="zh-CN"/>
        </w:rPr>
      </w:pPr>
    </w:p>
    <w:p w14:paraId="784CAF23">
      <w:pPr>
        <w:pStyle w:val="11"/>
        <w:rPr>
          <w:rFonts w:hint="eastAsia" w:ascii="宋体" w:hAnsi="宋体" w:eastAsia="宋体" w:cs="宋体"/>
          <w:color w:val="auto"/>
          <w:highlight w:val="none"/>
          <w:lang w:val="zh-CN"/>
        </w:rPr>
      </w:pPr>
    </w:p>
    <w:p w14:paraId="64AF9056">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3E041F77">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0DC6DC7D">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6FB26486">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3A008FDF">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745B90AB">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3464694C">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6894F54B">
      <w:pPr>
        <w:pStyle w:val="11"/>
        <w:rPr>
          <w:rFonts w:hint="eastAsia" w:ascii="宋体" w:hAnsi="宋体" w:eastAsia="宋体" w:cs="宋体"/>
          <w:color w:val="auto"/>
          <w:highlight w:val="none"/>
        </w:rPr>
      </w:pPr>
    </w:p>
    <w:p w14:paraId="281EA21F">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.6中小企业声明函</w:t>
      </w:r>
    </w:p>
    <w:p w14:paraId="577AF289">
      <w:pPr>
        <w:spacing w:line="360" w:lineRule="auto"/>
        <w:jc w:val="center"/>
        <w:rPr>
          <w:rFonts w:hint="eastAsia" w:ascii="宋体" w:hAnsi="宋体" w:eastAsia="宋体" w:cs="宋体"/>
          <w:b/>
          <w:bCs/>
          <w:color w:val="auto"/>
          <w:szCs w:val="21"/>
          <w:highlight w:val="none"/>
        </w:rPr>
      </w:pPr>
    </w:p>
    <w:p w14:paraId="73E342CF">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 号）的规定，本公司（联合体）参加</w:t>
      </w:r>
      <w:r>
        <w:rPr>
          <w:rFonts w:hint="eastAsia" w:ascii="宋体" w:hAnsi="宋体" w:eastAsia="宋体" w:cs="宋体"/>
          <w:i/>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i/>
          <w:color w:val="auto"/>
          <w:highlight w:val="none"/>
          <w:u w:val="single"/>
        </w:rPr>
        <w:t>（项目名称）</w:t>
      </w:r>
      <w:r>
        <w:rPr>
          <w:rFonts w:hint="eastAsia" w:ascii="宋体" w:hAnsi="宋体" w:eastAsia="宋体" w:cs="宋体"/>
          <w:color w:val="auto"/>
          <w:highlight w:val="none"/>
        </w:rPr>
        <w:t>采购活动，提供的货物全部由符合政策要求的中小企业制造。相关企业（含联合体中的中小企业、签订分包意向协议的中小企业）的具体情况如下：</w:t>
      </w:r>
    </w:p>
    <w:p w14:paraId="47C11FCC">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1. </w:t>
      </w:r>
      <w:r>
        <w:rPr>
          <w:rFonts w:hint="eastAsia" w:ascii="宋体" w:hAnsi="宋体" w:eastAsia="宋体" w:cs="宋体"/>
          <w:i/>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i/>
          <w:color w:val="auto"/>
          <w:highlight w:val="none"/>
          <w:u w:val="single"/>
        </w:rPr>
        <w:t>（采购文件中明确的所属行业）</w:t>
      </w:r>
      <w:r>
        <w:rPr>
          <w:rFonts w:hint="eastAsia" w:ascii="宋体" w:hAnsi="宋体" w:eastAsia="宋体" w:cs="宋体"/>
          <w:color w:val="auto"/>
          <w:highlight w:val="none"/>
        </w:rPr>
        <w:t>行业；制造商为</w:t>
      </w:r>
      <w:r>
        <w:rPr>
          <w:rFonts w:hint="eastAsia" w:ascii="宋体" w:hAnsi="宋体" w:eastAsia="宋体" w:cs="宋体"/>
          <w:i/>
          <w:color w:val="auto"/>
          <w:highlight w:val="none"/>
          <w:u w:val="single"/>
        </w:rPr>
        <w:t>（企业名称）</w:t>
      </w:r>
      <w:r>
        <w:rPr>
          <w:rFonts w:hint="eastAsia" w:ascii="宋体" w:hAnsi="宋体" w:eastAsia="宋体" w:cs="宋体"/>
          <w:color w:val="auto"/>
          <w:highlight w:val="none"/>
        </w:rPr>
        <w:t>，从业人员  人，营业收入为   万元，资产总额为   万元，属于</w:t>
      </w:r>
      <w:r>
        <w:rPr>
          <w:rFonts w:hint="eastAsia" w:ascii="宋体" w:hAnsi="宋体" w:eastAsia="宋体" w:cs="宋体"/>
          <w:i/>
          <w:color w:val="auto"/>
          <w:highlight w:val="none"/>
          <w:u w:val="single"/>
        </w:rPr>
        <w:t>（中型企业、小型企业、微型企业）</w:t>
      </w:r>
      <w:r>
        <w:rPr>
          <w:rFonts w:hint="eastAsia" w:ascii="宋体" w:hAnsi="宋体" w:eastAsia="宋体" w:cs="宋体"/>
          <w:color w:val="auto"/>
          <w:highlight w:val="none"/>
        </w:rPr>
        <w:t>；</w:t>
      </w:r>
    </w:p>
    <w:p w14:paraId="77971662">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2. </w:t>
      </w:r>
      <w:r>
        <w:rPr>
          <w:rFonts w:hint="eastAsia" w:ascii="宋体" w:hAnsi="宋体" w:eastAsia="宋体" w:cs="宋体"/>
          <w:i/>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i/>
          <w:color w:val="auto"/>
          <w:highlight w:val="none"/>
          <w:u w:val="single"/>
        </w:rPr>
        <w:t>（采购文件中明确的所属行业）</w:t>
      </w:r>
      <w:r>
        <w:rPr>
          <w:rFonts w:hint="eastAsia" w:ascii="宋体" w:hAnsi="宋体" w:eastAsia="宋体" w:cs="宋体"/>
          <w:color w:val="auto"/>
          <w:highlight w:val="none"/>
        </w:rPr>
        <w:t>行业；制造商为</w:t>
      </w:r>
      <w:r>
        <w:rPr>
          <w:rFonts w:hint="eastAsia" w:ascii="宋体" w:hAnsi="宋体" w:eastAsia="宋体" w:cs="宋体"/>
          <w:i/>
          <w:color w:val="auto"/>
          <w:highlight w:val="none"/>
          <w:u w:val="single"/>
        </w:rPr>
        <w:t>（企业名称）</w:t>
      </w:r>
      <w:r>
        <w:rPr>
          <w:rFonts w:hint="eastAsia" w:ascii="宋体" w:hAnsi="宋体" w:eastAsia="宋体" w:cs="宋体"/>
          <w:color w:val="auto"/>
          <w:highlight w:val="none"/>
        </w:rPr>
        <w:t>，从业人员人，营业收入为万元，资产总额为万元，属于</w:t>
      </w:r>
      <w:r>
        <w:rPr>
          <w:rFonts w:hint="eastAsia" w:ascii="宋体" w:hAnsi="宋体" w:eastAsia="宋体" w:cs="宋体"/>
          <w:i/>
          <w:color w:val="auto"/>
          <w:highlight w:val="none"/>
          <w:u w:val="single"/>
        </w:rPr>
        <w:t>（中型企业、小型企业、微型企业）</w:t>
      </w:r>
      <w:r>
        <w:rPr>
          <w:rFonts w:hint="eastAsia" w:ascii="宋体" w:hAnsi="宋体" w:eastAsia="宋体" w:cs="宋体"/>
          <w:color w:val="auto"/>
          <w:highlight w:val="none"/>
        </w:rPr>
        <w:t>；</w:t>
      </w:r>
    </w:p>
    <w:p w14:paraId="04641231">
      <w:pPr>
        <w:spacing w:line="360" w:lineRule="auto"/>
        <w:ind w:firstLine="707" w:firstLineChars="337"/>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4C48DDD8">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19D78991">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73044507">
      <w:pPr>
        <w:spacing w:line="360" w:lineRule="auto"/>
        <w:jc w:val="left"/>
        <w:rPr>
          <w:rFonts w:hint="eastAsia" w:ascii="宋体" w:hAnsi="宋体" w:eastAsia="宋体" w:cs="宋体"/>
          <w:color w:val="auto"/>
          <w:highlight w:val="none"/>
        </w:rPr>
      </w:pPr>
    </w:p>
    <w:p w14:paraId="083E1D3F">
      <w:pPr>
        <w:spacing w:line="480" w:lineRule="auto"/>
        <w:ind w:firstLine="5957" w:firstLineChars="2837"/>
        <w:jc w:val="left"/>
        <w:rPr>
          <w:rFonts w:hint="eastAsia" w:ascii="宋体" w:hAnsi="宋体" w:eastAsia="宋体" w:cs="宋体"/>
          <w:color w:val="auto"/>
          <w:highlight w:val="none"/>
        </w:rPr>
      </w:pPr>
      <w:r>
        <w:rPr>
          <w:rFonts w:hint="eastAsia" w:ascii="宋体" w:hAnsi="宋体" w:eastAsia="宋体" w:cs="宋体"/>
          <w:color w:val="auto"/>
          <w:highlight w:val="none"/>
        </w:rPr>
        <w:t>企业名称（盖章）：</w:t>
      </w:r>
    </w:p>
    <w:p w14:paraId="5FA27DAF">
      <w:pPr>
        <w:spacing w:line="480" w:lineRule="auto"/>
        <w:ind w:firstLine="5957" w:firstLineChars="2837"/>
        <w:jc w:val="left"/>
        <w:rPr>
          <w:rFonts w:hint="eastAsia" w:ascii="宋体" w:hAnsi="宋体" w:eastAsia="宋体" w:cs="宋体"/>
          <w:color w:val="auto"/>
          <w:szCs w:val="21"/>
          <w:highlight w:val="none"/>
        </w:rPr>
      </w:pPr>
      <w:r>
        <w:rPr>
          <w:rFonts w:hint="eastAsia" w:ascii="宋体" w:hAnsi="宋体" w:eastAsia="宋体" w:cs="宋体"/>
          <w:color w:val="auto"/>
          <w:highlight w:val="none"/>
        </w:rPr>
        <w:t>日期：</w:t>
      </w:r>
    </w:p>
    <w:p w14:paraId="5D81515B">
      <w:pPr>
        <w:widowControl/>
        <w:spacing w:before="100" w:beforeAutospacing="1" w:after="100" w:afterAutospacing="1" w:line="360" w:lineRule="auto"/>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6EFF40A7">
      <w:pPr>
        <w:widowControl/>
        <w:spacing w:before="100" w:beforeAutospacing="1" w:after="100" w:afterAutospacing="1" w:line="360" w:lineRule="auto"/>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1.</w:t>
      </w:r>
      <w:r>
        <w:rPr>
          <w:rFonts w:hint="eastAsia" w:ascii="宋体" w:hAnsi="宋体" w:eastAsia="宋体" w:cs="宋体"/>
          <w:color w:val="auto"/>
          <w:highlight w:val="none"/>
        </w:rPr>
        <w:t>从业人员、营业收入、资产总额填报上一年度数据，无上一年度数据的新成立企业可不填报。</w:t>
      </w:r>
    </w:p>
    <w:p w14:paraId="71877105">
      <w:pPr>
        <w:widowControl/>
        <w:spacing w:before="100" w:beforeAutospacing="1" w:after="100" w:afterAutospacing="1" w:line="360" w:lineRule="auto"/>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2.</w:t>
      </w:r>
      <w:r>
        <w:rPr>
          <w:rFonts w:hint="eastAsia" w:ascii="宋体" w:hAnsi="宋体" w:eastAsia="宋体" w:cs="宋体"/>
          <w:color w:val="auto"/>
          <w:kern w:val="0"/>
          <w:szCs w:val="21"/>
          <w:highlight w:val="none"/>
        </w:rPr>
        <w:t>中小企业参加政府采购活动，应当出具</w:t>
      </w:r>
      <w:r>
        <w:rPr>
          <w:rFonts w:hint="eastAsia" w:ascii="宋体" w:hAnsi="宋体" w:eastAsia="宋体" w:cs="宋体"/>
          <w:color w:val="auto"/>
          <w:highlight w:val="none"/>
        </w:rPr>
        <w:t>《中小企业声明函》，否则不得享受相关中小企业扶持政</w:t>
      </w:r>
      <w:r>
        <w:rPr>
          <w:rFonts w:hint="eastAsia" w:ascii="宋体" w:hAnsi="宋体" w:eastAsia="宋体" w:cs="宋体"/>
          <w:color w:val="auto"/>
          <w:kern w:val="0"/>
          <w:szCs w:val="21"/>
          <w:highlight w:val="none"/>
        </w:rPr>
        <w:t>策。</w:t>
      </w:r>
    </w:p>
    <w:p w14:paraId="466860F4">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456F5742">
      <w:pPr>
        <w:pStyle w:val="27"/>
        <w:ind w:firstLine="340"/>
        <w:rPr>
          <w:rFonts w:hint="eastAsia" w:ascii="宋体" w:hAnsi="宋体" w:eastAsia="宋体" w:cs="宋体"/>
          <w:color w:val="auto"/>
          <w:highlight w:val="none"/>
        </w:rPr>
      </w:pPr>
    </w:p>
    <w:p w14:paraId="64C111A7">
      <w:pPr>
        <w:pStyle w:val="28"/>
        <w:ind w:firstLine="480"/>
        <w:rPr>
          <w:rFonts w:hint="eastAsia" w:ascii="宋体" w:hAnsi="宋体" w:eastAsia="宋体" w:cs="宋体"/>
          <w:color w:val="auto"/>
          <w:highlight w:val="none"/>
        </w:rPr>
      </w:pPr>
    </w:p>
    <w:p w14:paraId="5C7079A8">
      <w:pPr>
        <w:rPr>
          <w:rFonts w:hint="eastAsia" w:ascii="宋体" w:hAnsi="宋体" w:eastAsia="宋体" w:cs="宋体"/>
          <w:color w:val="auto"/>
          <w:highlight w:val="none"/>
        </w:rPr>
      </w:pPr>
    </w:p>
    <w:p w14:paraId="48B01728">
      <w:pPr>
        <w:pStyle w:val="27"/>
        <w:ind w:left="0" w:leftChars="0" w:firstLine="0" w:firstLineChars="0"/>
        <w:rPr>
          <w:rFonts w:hint="eastAsia" w:ascii="宋体" w:hAnsi="宋体" w:eastAsia="宋体" w:cs="宋体"/>
          <w:color w:val="auto"/>
          <w:highlight w:val="none"/>
        </w:rPr>
      </w:pPr>
    </w:p>
    <w:p w14:paraId="06FE7475">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.7残疾人福利性单位声明函</w:t>
      </w:r>
    </w:p>
    <w:p w14:paraId="40CB0EE4">
      <w:pPr>
        <w:spacing w:line="360" w:lineRule="auto"/>
        <w:rPr>
          <w:rFonts w:hint="eastAsia" w:ascii="宋体" w:hAnsi="宋体" w:eastAsia="宋体" w:cs="宋体"/>
          <w:color w:val="auto"/>
          <w:szCs w:val="21"/>
          <w:highlight w:val="none"/>
        </w:rPr>
      </w:pPr>
    </w:p>
    <w:p w14:paraId="3182BE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16A42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本单位对上述声明的真实性负责。如有虚假，将依法承担相应责任。</w:t>
      </w:r>
    </w:p>
    <w:p w14:paraId="39B0A80E">
      <w:pPr>
        <w:spacing w:line="360" w:lineRule="auto"/>
        <w:rPr>
          <w:rFonts w:hint="eastAsia" w:ascii="宋体" w:hAnsi="宋体" w:eastAsia="宋体" w:cs="宋体"/>
          <w:color w:val="auto"/>
          <w:szCs w:val="21"/>
          <w:highlight w:val="none"/>
        </w:rPr>
      </w:pPr>
    </w:p>
    <w:p w14:paraId="21961E60">
      <w:pPr>
        <w:spacing w:line="360" w:lineRule="auto"/>
        <w:rPr>
          <w:rFonts w:hint="eastAsia" w:ascii="宋体" w:hAnsi="宋体" w:eastAsia="宋体" w:cs="宋体"/>
          <w:color w:val="auto"/>
          <w:szCs w:val="21"/>
          <w:highlight w:val="none"/>
        </w:rPr>
      </w:pPr>
    </w:p>
    <w:p w14:paraId="376B80C5">
      <w:pPr>
        <w:spacing w:line="360" w:lineRule="auto"/>
        <w:rPr>
          <w:rFonts w:hint="eastAsia" w:ascii="宋体" w:hAnsi="宋体" w:eastAsia="宋体" w:cs="宋体"/>
          <w:color w:val="auto"/>
          <w:szCs w:val="21"/>
          <w:highlight w:val="none"/>
        </w:rPr>
      </w:pPr>
    </w:p>
    <w:p w14:paraId="63AA42E9">
      <w:pPr>
        <w:spacing w:line="360" w:lineRule="auto"/>
        <w:rPr>
          <w:rFonts w:hint="eastAsia" w:ascii="宋体" w:hAnsi="宋体" w:eastAsia="宋体" w:cs="宋体"/>
          <w:color w:val="auto"/>
          <w:szCs w:val="21"/>
          <w:highlight w:val="none"/>
        </w:rPr>
      </w:pPr>
    </w:p>
    <w:p w14:paraId="6A1BB9A8">
      <w:pPr>
        <w:spacing w:line="360" w:lineRule="auto"/>
        <w:ind w:firstLine="4410" w:firstLineChars="21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投标人名称（盖章）：</w:t>
      </w:r>
    </w:p>
    <w:p w14:paraId="11F2677C">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日期：   年    月    日</w:t>
      </w:r>
    </w:p>
    <w:p w14:paraId="292AD6A2">
      <w:pPr>
        <w:autoSpaceDE w:val="0"/>
        <w:autoSpaceDN w:val="0"/>
        <w:adjustRightInd w:val="0"/>
        <w:spacing w:line="360" w:lineRule="auto"/>
        <w:jc w:val="center"/>
        <w:rPr>
          <w:rFonts w:hint="eastAsia" w:ascii="宋体" w:hAnsi="宋体" w:eastAsia="宋体" w:cs="宋体"/>
          <w:color w:val="auto"/>
          <w:sz w:val="24"/>
          <w:szCs w:val="24"/>
          <w:highlight w:val="none"/>
        </w:rPr>
      </w:pPr>
    </w:p>
    <w:p w14:paraId="6D9B2FBE">
      <w:pPr>
        <w:pStyle w:val="28"/>
        <w:ind w:firstLine="480"/>
        <w:rPr>
          <w:rFonts w:hint="eastAsia" w:ascii="宋体" w:hAnsi="宋体" w:eastAsia="宋体" w:cs="宋体"/>
          <w:color w:val="auto"/>
          <w:highlight w:val="none"/>
        </w:rPr>
      </w:pPr>
    </w:p>
    <w:p w14:paraId="1BE319F9">
      <w:pPr>
        <w:rPr>
          <w:rFonts w:hint="eastAsia" w:ascii="宋体" w:hAnsi="宋体" w:eastAsia="宋体" w:cs="宋体"/>
          <w:color w:val="auto"/>
          <w:highlight w:val="none"/>
        </w:rPr>
      </w:pPr>
    </w:p>
    <w:p w14:paraId="7ACFE3AA">
      <w:pPr>
        <w:autoSpaceDE w:val="0"/>
        <w:autoSpaceDN w:val="0"/>
        <w:adjustRightInd w:val="0"/>
        <w:spacing w:line="360" w:lineRule="auto"/>
        <w:rPr>
          <w:rFonts w:hint="eastAsia" w:ascii="宋体" w:hAnsi="宋体" w:eastAsia="宋体" w:cs="宋体"/>
          <w:b/>
          <w:bCs/>
          <w:color w:val="auto"/>
          <w:sz w:val="44"/>
          <w:szCs w:val="44"/>
          <w:highlight w:val="none"/>
          <w:lang w:val="zh-CN"/>
        </w:rPr>
      </w:pPr>
    </w:p>
    <w:p w14:paraId="734EBA29">
      <w:pPr>
        <w:autoSpaceDE w:val="0"/>
        <w:autoSpaceDN w:val="0"/>
        <w:adjustRightInd w:val="0"/>
        <w:spacing w:line="360" w:lineRule="auto"/>
        <w:rPr>
          <w:rFonts w:hint="eastAsia" w:ascii="宋体" w:hAnsi="宋体" w:eastAsia="宋体" w:cs="宋体"/>
          <w:b/>
          <w:bCs/>
          <w:color w:val="auto"/>
          <w:sz w:val="44"/>
          <w:szCs w:val="44"/>
          <w:highlight w:val="none"/>
          <w:lang w:val="zh-CN"/>
        </w:rPr>
      </w:pPr>
    </w:p>
    <w:p w14:paraId="485F4FE8">
      <w:pPr>
        <w:autoSpaceDE w:val="0"/>
        <w:autoSpaceDN w:val="0"/>
        <w:adjustRightInd w:val="0"/>
        <w:spacing w:line="360" w:lineRule="auto"/>
        <w:jc w:val="center"/>
        <w:rPr>
          <w:rFonts w:hint="eastAsia" w:ascii="宋体" w:hAnsi="宋体" w:eastAsia="宋体" w:cs="宋体"/>
          <w:b/>
          <w:bCs/>
          <w:color w:val="auto"/>
          <w:sz w:val="44"/>
          <w:szCs w:val="44"/>
          <w:highlight w:val="none"/>
          <w:lang w:val="zh-CN"/>
        </w:rPr>
      </w:pPr>
    </w:p>
    <w:p w14:paraId="186ECCDC">
      <w:pPr>
        <w:autoSpaceDE w:val="0"/>
        <w:autoSpaceDN w:val="0"/>
        <w:adjustRightInd w:val="0"/>
        <w:spacing w:line="360" w:lineRule="auto"/>
        <w:jc w:val="center"/>
        <w:rPr>
          <w:rFonts w:hint="eastAsia" w:ascii="宋体" w:hAnsi="宋体" w:eastAsia="宋体" w:cs="宋体"/>
          <w:b/>
          <w:bCs/>
          <w:color w:val="auto"/>
          <w:sz w:val="44"/>
          <w:szCs w:val="44"/>
          <w:highlight w:val="none"/>
          <w:lang w:val="zh-CN"/>
        </w:rPr>
      </w:pPr>
    </w:p>
    <w:p w14:paraId="22D922C0">
      <w:pPr>
        <w:autoSpaceDE w:val="0"/>
        <w:autoSpaceDN w:val="0"/>
        <w:adjustRightInd w:val="0"/>
        <w:spacing w:line="360" w:lineRule="auto"/>
        <w:jc w:val="center"/>
        <w:rPr>
          <w:rFonts w:hint="eastAsia" w:ascii="宋体" w:hAnsi="宋体" w:eastAsia="宋体" w:cs="宋体"/>
          <w:b/>
          <w:bCs/>
          <w:color w:val="auto"/>
          <w:sz w:val="44"/>
          <w:szCs w:val="44"/>
          <w:highlight w:val="none"/>
          <w:lang w:val="zh-CN"/>
        </w:rPr>
      </w:pPr>
    </w:p>
    <w:p w14:paraId="3CF695AE">
      <w:pPr>
        <w:autoSpaceDE w:val="0"/>
        <w:autoSpaceDN w:val="0"/>
        <w:adjustRightInd w:val="0"/>
        <w:spacing w:line="360" w:lineRule="auto"/>
        <w:jc w:val="center"/>
        <w:rPr>
          <w:rFonts w:hint="eastAsia" w:ascii="宋体" w:hAnsi="宋体" w:eastAsia="宋体" w:cs="宋体"/>
          <w:b/>
          <w:bCs/>
          <w:color w:val="auto"/>
          <w:sz w:val="44"/>
          <w:szCs w:val="44"/>
          <w:highlight w:val="none"/>
          <w:lang w:val="zh-CN"/>
        </w:rPr>
      </w:pPr>
    </w:p>
    <w:p w14:paraId="0876FEA7">
      <w:pPr>
        <w:autoSpaceDE w:val="0"/>
        <w:autoSpaceDN w:val="0"/>
        <w:adjustRightInd w:val="0"/>
        <w:spacing w:line="360" w:lineRule="auto"/>
        <w:jc w:val="center"/>
        <w:rPr>
          <w:rFonts w:hint="eastAsia" w:ascii="宋体" w:hAnsi="宋体" w:eastAsia="宋体" w:cs="宋体"/>
          <w:b/>
          <w:bCs/>
          <w:color w:val="auto"/>
          <w:sz w:val="44"/>
          <w:szCs w:val="44"/>
          <w:highlight w:val="none"/>
          <w:lang w:val="zh-CN"/>
        </w:rPr>
      </w:pPr>
    </w:p>
    <w:p w14:paraId="3FBDD43C">
      <w:pPr>
        <w:autoSpaceDE w:val="0"/>
        <w:autoSpaceDN w:val="0"/>
        <w:adjustRightInd w:val="0"/>
        <w:spacing w:line="360" w:lineRule="auto"/>
        <w:jc w:val="center"/>
        <w:rPr>
          <w:rFonts w:hint="eastAsia" w:ascii="宋体" w:hAnsi="宋体" w:eastAsia="宋体" w:cs="宋体"/>
          <w:b/>
          <w:bCs/>
          <w:color w:val="auto"/>
          <w:sz w:val="44"/>
          <w:szCs w:val="44"/>
          <w:highlight w:val="none"/>
          <w:lang w:val="zh-CN"/>
        </w:rPr>
      </w:pPr>
    </w:p>
    <w:p w14:paraId="68904862">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五、其他资料（若有）</w:t>
      </w:r>
    </w:p>
    <w:p w14:paraId="5D2B9236">
      <w:pPr>
        <w:rPr>
          <w:rFonts w:hint="eastAsia" w:ascii="宋体" w:hAnsi="宋体" w:eastAsia="宋体" w:cs="宋体"/>
          <w:color w:val="auto"/>
          <w:highlight w:val="none"/>
        </w:rPr>
      </w:pPr>
    </w:p>
    <w:p w14:paraId="0B7B6322">
      <w:pPr>
        <w:rPr>
          <w:rFonts w:hint="eastAsia" w:ascii="宋体" w:hAnsi="宋体" w:eastAsia="宋体" w:cs="宋体"/>
          <w:color w:val="auto"/>
          <w:highlight w:val="none"/>
        </w:rPr>
      </w:pPr>
    </w:p>
    <w:p w14:paraId="37564FF3">
      <w:pPr>
        <w:rPr>
          <w:rFonts w:hint="eastAsia" w:ascii="宋体" w:hAnsi="宋体" w:eastAsia="宋体" w:cs="宋体"/>
          <w:color w:val="auto"/>
          <w:highlight w:val="none"/>
        </w:rPr>
      </w:pPr>
    </w:p>
    <w:p w14:paraId="15B6B16E">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除采购文件另有规定外，投标人认为需要提交的其他证明材料或资料加盖投标人公章后应在此项下提交。</w:t>
      </w:r>
    </w:p>
    <w:p w14:paraId="17643130">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w:t>
      </w:r>
    </w:p>
    <w:p w14:paraId="3A575830">
      <w:pPr>
        <w:rPr>
          <w:rFonts w:hint="eastAsia" w:ascii="宋体" w:hAnsi="宋体" w:eastAsia="宋体" w:cs="宋体"/>
          <w:color w:val="auto"/>
          <w:highlight w:val="none"/>
        </w:rPr>
      </w:pPr>
    </w:p>
    <w:p w14:paraId="53B66441">
      <w:pPr>
        <w:rPr>
          <w:rFonts w:hint="eastAsia" w:ascii="宋体" w:hAnsi="宋体" w:eastAsia="宋体" w:cs="宋体"/>
          <w:color w:val="auto"/>
          <w:highlight w:val="none"/>
        </w:rPr>
      </w:pPr>
    </w:p>
    <w:p w14:paraId="157716FB">
      <w:pPr>
        <w:rPr>
          <w:rFonts w:hint="eastAsia" w:ascii="宋体" w:hAnsi="宋体" w:eastAsia="宋体" w:cs="宋体"/>
          <w:color w:val="auto"/>
          <w:highlight w:val="none"/>
        </w:rPr>
      </w:pPr>
    </w:p>
    <w:p w14:paraId="58DC7A0B">
      <w:pPr>
        <w:rPr>
          <w:rFonts w:hint="eastAsia" w:ascii="宋体" w:hAnsi="宋体" w:eastAsia="宋体" w:cs="宋体"/>
          <w:color w:val="auto"/>
          <w:highlight w:val="none"/>
        </w:rPr>
      </w:pPr>
    </w:p>
    <w:p w14:paraId="0AB1146F">
      <w:pPr>
        <w:rPr>
          <w:rFonts w:hint="eastAsia" w:ascii="宋体" w:hAnsi="宋体" w:eastAsia="宋体" w:cs="宋体"/>
          <w:color w:val="auto"/>
          <w:highlight w:val="none"/>
        </w:rPr>
      </w:pPr>
    </w:p>
    <w:p w14:paraId="724D416A">
      <w:pPr>
        <w:rPr>
          <w:rFonts w:hint="eastAsia" w:ascii="宋体" w:hAnsi="宋体" w:eastAsia="宋体" w:cs="宋体"/>
          <w:color w:val="auto"/>
          <w:highlight w:val="none"/>
        </w:rPr>
      </w:pPr>
    </w:p>
    <w:p w14:paraId="79153710">
      <w:pPr>
        <w:rPr>
          <w:rFonts w:hint="eastAsia" w:ascii="宋体" w:hAnsi="宋体" w:eastAsia="宋体" w:cs="宋体"/>
          <w:color w:val="auto"/>
          <w:highlight w:val="none"/>
        </w:rPr>
      </w:pPr>
    </w:p>
    <w:p w14:paraId="21ECFEF4">
      <w:pPr>
        <w:rPr>
          <w:rFonts w:hint="eastAsia" w:ascii="宋体" w:hAnsi="宋体" w:eastAsia="宋体" w:cs="宋体"/>
          <w:color w:val="auto"/>
          <w:highlight w:val="none"/>
        </w:rPr>
      </w:pPr>
    </w:p>
    <w:p w14:paraId="40AC25FE">
      <w:pPr>
        <w:rPr>
          <w:rFonts w:hint="eastAsia" w:ascii="宋体" w:hAnsi="宋体" w:eastAsia="宋体" w:cs="宋体"/>
          <w:color w:val="auto"/>
          <w:highlight w:val="none"/>
        </w:rPr>
      </w:pPr>
    </w:p>
    <w:p w14:paraId="42973859">
      <w:pPr>
        <w:rPr>
          <w:rFonts w:hint="eastAsia" w:ascii="宋体" w:hAnsi="宋体" w:eastAsia="宋体" w:cs="宋体"/>
          <w:color w:val="auto"/>
          <w:highlight w:val="none"/>
        </w:rPr>
      </w:pPr>
    </w:p>
    <w:p w14:paraId="22E0DCFA">
      <w:pPr>
        <w:rPr>
          <w:rFonts w:hint="eastAsia" w:ascii="宋体" w:hAnsi="宋体" w:eastAsia="宋体" w:cs="宋体"/>
          <w:color w:val="auto"/>
          <w:highlight w:val="none"/>
        </w:rPr>
      </w:pPr>
    </w:p>
    <w:p w14:paraId="5726F5D4">
      <w:pPr>
        <w:rPr>
          <w:rFonts w:hint="eastAsia" w:ascii="宋体" w:hAnsi="宋体" w:eastAsia="宋体" w:cs="宋体"/>
          <w:color w:val="auto"/>
          <w:highlight w:val="none"/>
        </w:rPr>
      </w:pPr>
    </w:p>
    <w:p w14:paraId="115CB3BA">
      <w:pPr>
        <w:rPr>
          <w:rFonts w:hint="eastAsia" w:ascii="宋体" w:hAnsi="宋体" w:eastAsia="宋体" w:cs="宋体"/>
          <w:color w:val="auto"/>
          <w:highlight w:val="none"/>
        </w:rPr>
      </w:pPr>
    </w:p>
    <w:sectPr>
      <w:footerReference r:id="rId4" w:type="default"/>
      <w:pgSz w:w="11906" w:h="16838"/>
      <w:pgMar w:top="2098" w:right="1474" w:bottom="1928"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052CF">
    <w:pPr>
      <w:spacing w:line="116" w:lineRule="exact"/>
      <w:ind w:firstLine="4452"/>
      <w:rPr>
        <w:rStyle w:val="89"/>
        <w:rFonts w:eastAsia="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35D590">
                          <w:pPr>
                            <w:pStyle w:val="20"/>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14:paraId="3935D590">
                    <w:pPr>
                      <w:pStyle w:val="20"/>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132B7">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90587CD">
                          <w:pPr>
                            <w:pStyle w:val="20"/>
                          </w:pPr>
                          <w:r>
                            <w:fldChar w:fldCharType="begin"/>
                          </w:r>
                          <w:r>
                            <w:instrText xml:space="preserve"> PAGE  \* MERGEFORMAT </w:instrText>
                          </w:r>
                          <w:r>
                            <w:fldChar w:fldCharType="separate"/>
                          </w:r>
                          <w:r>
                            <w:t>68</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PdggbnXAQAAsAMAAA4AAAAAAAAAAQAgAAAA&#10;HgEAAGRycy9lMm9Eb2MueG1sUEsFBgAAAAAGAAYAWQEAAGcFAAAAAA==&#10;">
              <v:fill on="f" focussize="0,0"/>
              <v:stroke on="f"/>
              <v:imagedata o:title=""/>
              <o:lock v:ext="edit" aspectratio="f"/>
              <v:textbox inset="0mm,0mm,0mm,0mm" style="mso-fit-shape-to-text:t;">
                <w:txbxContent>
                  <w:p w14:paraId="190587CD">
                    <w:pPr>
                      <w:pStyle w:val="20"/>
                    </w:pPr>
                    <w:r>
                      <w:fldChar w:fldCharType="begin"/>
                    </w:r>
                    <w:r>
                      <w:instrText xml:space="preserve"> PAGE  \* MERGEFORMAT </w:instrText>
                    </w:r>
                    <w:r>
                      <w:fldChar w:fldCharType="separate"/>
                    </w:r>
                    <w:r>
                      <w:t>68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44A70"/>
    <w:multiLevelType w:val="singleLevel"/>
    <w:tmpl w:val="84C44A70"/>
    <w:lvl w:ilvl="0" w:tentative="0">
      <w:start w:val="19"/>
      <w:numFmt w:val="decimal"/>
      <w:suff w:val="nothing"/>
      <w:lvlText w:val="%1．"/>
      <w:lvlJc w:val="left"/>
    </w:lvl>
  </w:abstractNum>
  <w:abstractNum w:abstractNumId="1">
    <w:nsid w:val="88E39436"/>
    <w:multiLevelType w:val="singleLevel"/>
    <w:tmpl w:val="88E39436"/>
    <w:lvl w:ilvl="0" w:tentative="0">
      <w:start w:val="1"/>
      <w:numFmt w:val="decimal"/>
      <w:suff w:val="nothing"/>
      <w:lvlText w:val="（%1）"/>
      <w:lvlJc w:val="left"/>
      <w:rPr>
        <w:rFonts w:cs="Times New Roman"/>
      </w:rPr>
    </w:lvl>
  </w:abstractNum>
  <w:abstractNum w:abstractNumId="2">
    <w:nsid w:val="A6886026"/>
    <w:multiLevelType w:val="singleLevel"/>
    <w:tmpl w:val="A6886026"/>
    <w:lvl w:ilvl="0" w:tentative="0">
      <w:start w:val="1"/>
      <w:numFmt w:val="decimal"/>
      <w:suff w:val="nothing"/>
      <w:lvlText w:val="%1、"/>
      <w:lvlJc w:val="left"/>
    </w:lvl>
  </w:abstractNum>
  <w:abstractNum w:abstractNumId="3">
    <w:nsid w:val="C80AD064"/>
    <w:multiLevelType w:val="singleLevel"/>
    <w:tmpl w:val="C80AD064"/>
    <w:lvl w:ilvl="0" w:tentative="0">
      <w:start w:val="2"/>
      <w:numFmt w:val="chineseCounting"/>
      <w:suff w:val="space"/>
      <w:lvlText w:val="第%1章"/>
      <w:lvlJc w:val="left"/>
      <w:rPr>
        <w:rFonts w:hint="eastAsia"/>
      </w:rPr>
    </w:lvl>
  </w:abstractNum>
  <w:abstractNum w:abstractNumId="4">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00000014"/>
    <w:multiLevelType w:val="multilevel"/>
    <w:tmpl w:val="00000014"/>
    <w:lvl w:ilvl="0" w:tentative="0">
      <w:start w:val="1"/>
      <w:numFmt w:val="decimal"/>
      <w:pStyle w:val="6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DEDDF1C"/>
    <w:multiLevelType w:val="singleLevel"/>
    <w:tmpl w:val="0DEDDF1C"/>
    <w:lvl w:ilvl="0" w:tentative="0">
      <w:start w:val="1"/>
      <w:numFmt w:val="chineseCounting"/>
      <w:suff w:val="nothing"/>
      <w:lvlText w:val="%1、"/>
      <w:lvlJc w:val="left"/>
      <w:rPr>
        <w:rFonts w:hint="eastAsia"/>
      </w:rPr>
    </w:lvl>
  </w:abstractNum>
  <w:abstractNum w:abstractNumId="7">
    <w:nsid w:val="12E17952"/>
    <w:multiLevelType w:val="multilevel"/>
    <w:tmpl w:val="12E17952"/>
    <w:lvl w:ilvl="0" w:tentative="0">
      <w:start w:val="10"/>
      <w:numFmt w:val="japaneseCounting"/>
      <w:lvlText w:val="第%1条"/>
      <w:lvlJc w:val="left"/>
      <w:pPr>
        <w:tabs>
          <w:tab w:val="left" w:pos="1440"/>
        </w:tabs>
        <w:ind w:left="1440" w:hanging="9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9">
    <w:nsid w:val="22130065"/>
    <w:multiLevelType w:val="singleLevel"/>
    <w:tmpl w:val="22130065"/>
    <w:lvl w:ilvl="0" w:tentative="0">
      <w:start w:val="6"/>
      <w:numFmt w:val="decimal"/>
      <w:suff w:val="nothing"/>
      <w:lvlText w:val="%1、"/>
      <w:lvlJc w:val="left"/>
    </w:lvl>
  </w:abstractNum>
  <w:abstractNum w:abstractNumId="10">
    <w:nsid w:val="3D55D76B"/>
    <w:multiLevelType w:val="singleLevel"/>
    <w:tmpl w:val="3D55D76B"/>
    <w:lvl w:ilvl="0" w:tentative="0">
      <w:start w:val="1"/>
      <w:numFmt w:val="decimal"/>
      <w:suff w:val="space"/>
      <w:lvlText w:val="(%1)"/>
      <w:lvlJc w:val="left"/>
    </w:lvl>
  </w:abstractNum>
  <w:abstractNum w:abstractNumId="11">
    <w:nsid w:val="59CA577B"/>
    <w:multiLevelType w:val="multilevel"/>
    <w:tmpl w:val="59CA577B"/>
    <w:lvl w:ilvl="0" w:tentative="0">
      <w:start w:val="1"/>
      <w:numFmt w:val="decimal"/>
      <w:lvlText w:val="%1."/>
      <w:lvlJc w:val="left"/>
      <w:pPr>
        <w:tabs>
          <w:tab w:val="left" w:pos="720"/>
        </w:tabs>
        <w:ind w:left="720" w:hanging="24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2">
    <w:nsid w:val="59F817E8"/>
    <w:multiLevelType w:val="singleLevel"/>
    <w:tmpl w:val="59F817E8"/>
    <w:lvl w:ilvl="0" w:tentative="0">
      <w:start w:val="1"/>
      <w:numFmt w:val="chineseCounting"/>
      <w:pStyle w:val="69"/>
      <w:suff w:val="nothing"/>
      <w:lvlText w:val="%1、"/>
      <w:lvlJc w:val="left"/>
    </w:lvl>
  </w:abstractNum>
  <w:abstractNum w:abstractNumId="13">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794C8743"/>
    <w:multiLevelType w:val="singleLevel"/>
    <w:tmpl w:val="794C8743"/>
    <w:lvl w:ilvl="0" w:tentative="0">
      <w:start w:val="1"/>
      <w:numFmt w:val="decimal"/>
      <w:suff w:val="nothing"/>
      <w:lvlText w:val="%1、"/>
      <w:lvlJc w:val="left"/>
    </w:lvl>
  </w:abstractNum>
  <w:num w:numId="1">
    <w:abstractNumId w:val="4"/>
  </w:num>
  <w:num w:numId="2">
    <w:abstractNumId w:val="5"/>
  </w:num>
  <w:num w:numId="3">
    <w:abstractNumId w:val="12"/>
  </w:num>
  <w:num w:numId="4">
    <w:abstractNumId w:val="9"/>
  </w:num>
  <w:num w:numId="5">
    <w:abstractNumId w:val="3"/>
  </w:num>
  <w:num w:numId="6">
    <w:abstractNumId w:val="6"/>
  </w:num>
  <w:num w:numId="7">
    <w:abstractNumId w:val="14"/>
  </w:num>
  <w:num w:numId="8">
    <w:abstractNumId w:val="2"/>
  </w:num>
  <w:num w:numId="9">
    <w:abstractNumId w:val="8"/>
  </w:num>
  <w:num w:numId="10">
    <w:abstractNumId w:val="13"/>
  </w:num>
  <w:num w:numId="11">
    <w:abstractNumId w:val="1"/>
  </w:num>
  <w:num w:numId="12">
    <w:abstractNumId w:val="0"/>
  </w:num>
  <w:num w:numId="13">
    <w:abstractNumId w:val="10"/>
  </w:num>
  <w:num w:numId="14">
    <w:abstractNumId w:val="7"/>
  </w:num>
  <w:num w:numId="1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许昌丰元咨询管理有限公司:连丹丹">
    <w15:presenceInfo w15:providerId="None" w15:userId="许昌丰元咨询管理有限公司:连丹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jNDQ0ZTI0YTExNGMzOWM4NThkYjgzYjNjNzIwNTQifQ=="/>
    <w:docVar w:name="KSO_WPS_MARK_KEY" w:val="8fe70a09-05ed-496a-98bb-0ea9301eb51a"/>
  </w:docVars>
  <w:rsids>
    <w:rsidRoot w:val="00D51569"/>
    <w:rsid w:val="00005C90"/>
    <w:rsid w:val="00005E30"/>
    <w:rsid w:val="000069EC"/>
    <w:rsid w:val="00007470"/>
    <w:rsid w:val="000112AC"/>
    <w:rsid w:val="0001195E"/>
    <w:rsid w:val="00013211"/>
    <w:rsid w:val="0001598A"/>
    <w:rsid w:val="000173D4"/>
    <w:rsid w:val="000227BF"/>
    <w:rsid w:val="00025F3F"/>
    <w:rsid w:val="00030B34"/>
    <w:rsid w:val="00031CF4"/>
    <w:rsid w:val="000418F9"/>
    <w:rsid w:val="00046E42"/>
    <w:rsid w:val="000516FF"/>
    <w:rsid w:val="000537EC"/>
    <w:rsid w:val="0005401D"/>
    <w:rsid w:val="00055572"/>
    <w:rsid w:val="0007027E"/>
    <w:rsid w:val="00072339"/>
    <w:rsid w:val="000800D2"/>
    <w:rsid w:val="00080389"/>
    <w:rsid w:val="00083387"/>
    <w:rsid w:val="0008414A"/>
    <w:rsid w:val="00091C9C"/>
    <w:rsid w:val="00095387"/>
    <w:rsid w:val="00096224"/>
    <w:rsid w:val="0009640F"/>
    <w:rsid w:val="000A02BB"/>
    <w:rsid w:val="000A73BC"/>
    <w:rsid w:val="000A77FF"/>
    <w:rsid w:val="000B3383"/>
    <w:rsid w:val="000B4057"/>
    <w:rsid w:val="000B4BAC"/>
    <w:rsid w:val="000B7263"/>
    <w:rsid w:val="000C0D70"/>
    <w:rsid w:val="000C2A7B"/>
    <w:rsid w:val="000D1CF1"/>
    <w:rsid w:val="000D30B8"/>
    <w:rsid w:val="000D6633"/>
    <w:rsid w:val="000D798A"/>
    <w:rsid w:val="000E2FFC"/>
    <w:rsid w:val="000E57E7"/>
    <w:rsid w:val="000F1E89"/>
    <w:rsid w:val="0010014D"/>
    <w:rsid w:val="00113912"/>
    <w:rsid w:val="00113BAE"/>
    <w:rsid w:val="001145D4"/>
    <w:rsid w:val="001223EF"/>
    <w:rsid w:val="001236A3"/>
    <w:rsid w:val="00126895"/>
    <w:rsid w:val="001415B4"/>
    <w:rsid w:val="00152541"/>
    <w:rsid w:val="00154EA8"/>
    <w:rsid w:val="0016405F"/>
    <w:rsid w:val="00165E49"/>
    <w:rsid w:val="00165F8E"/>
    <w:rsid w:val="0016779A"/>
    <w:rsid w:val="00167F93"/>
    <w:rsid w:val="00170DCF"/>
    <w:rsid w:val="0017129C"/>
    <w:rsid w:val="0017154C"/>
    <w:rsid w:val="00172E64"/>
    <w:rsid w:val="001749D2"/>
    <w:rsid w:val="00174C63"/>
    <w:rsid w:val="00175281"/>
    <w:rsid w:val="0017584B"/>
    <w:rsid w:val="00177319"/>
    <w:rsid w:val="00177379"/>
    <w:rsid w:val="00181C6A"/>
    <w:rsid w:val="00183B7D"/>
    <w:rsid w:val="00191A00"/>
    <w:rsid w:val="00193679"/>
    <w:rsid w:val="001957E3"/>
    <w:rsid w:val="0019757C"/>
    <w:rsid w:val="001A2714"/>
    <w:rsid w:val="001A2E65"/>
    <w:rsid w:val="001B0DF5"/>
    <w:rsid w:val="001C0A13"/>
    <w:rsid w:val="001C26CD"/>
    <w:rsid w:val="001C2B6A"/>
    <w:rsid w:val="001C761E"/>
    <w:rsid w:val="001D06FF"/>
    <w:rsid w:val="001D1CBB"/>
    <w:rsid w:val="001D33AD"/>
    <w:rsid w:val="001D33DA"/>
    <w:rsid w:val="001D4C00"/>
    <w:rsid w:val="001D5BB5"/>
    <w:rsid w:val="001D64E5"/>
    <w:rsid w:val="001E1078"/>
    <w:rsid w:val="001E25D9"/>
    <w:rsid w:val="001E592F"/>
    <w:rsid w:val="001F0899"/>
    <w:rsid w:val="001F641A"/>
    <w:rsid w:val="001F7199"/>
    <w:rsid w:val="00203824"/>
    <w:rsid w:val="00205009"/>
    <w:rsid w:val="002078AE"/>
    <w:rsid w:val="00207FEB"/>
    <w:rsid w:val="00210B90"/>
    <w:rsid w:val="00213F11"/>
    <w:rsid w:val="00214892"/>
    <w:rsid w:val="0022454A"/>
    <w:rsid w:val="00224D01"/>
    <w:rsid w:val="00227A97"/>
    <w:rsid w:val="00227BF9"/>
    <w:rsid w:val="00231307"/>
    <w:rsid w:val="00231C22"/>
    <w:rsid w:val="00234627"/>
    <w:rsid w:val="0024040D"/>
    <w:rsid w:val="002426C4"/>
    <w:rsid w:val="002436B4"/>
    <w:rsid w:val="00246A17"/>
    <w:rsid w:val="00252623"/>
    <w:rsid w:val="002532B5"/>
    <w:rsid w:val="00255732"/>
    <w:rsid w:val="002615C0"/>
    <w:rsid w:val="002659C7"/>
    <w:rsid w:val="00266F45"/>
    <w:rsid w:val="00267EE6"/>
    <w:rsid w:val="002709BD"/>
    <w:rsid w:val="002732E0"/>
    <w:rsid w:val="002847E1"/>
    <w:rsid w:val="00286CD2"/>
    <w:rsid w:val="002871DE"/>
    <w:rsid w:val="002872FE"/>
    <w:rsid w:val="0029125D"/>
    <w:rsid w:val="0029513F"/>
    <w:rsid w:val="002A2748"/>
    <w:rsid w:val="002A625E"/>
    <w:rsid w:val="002A62EC"/>
    <w:rsid w:val="002A66C8"/>
    <w:rsid w:val="002A6AA6"/>
    <w:rsid w:val="002B1CC1"/>
    <w:rsid w:val="002B2DE9"/>
    <w:rsid w:val="002B63D8"/>
    <w:rsid w:val="002C0F73"/>
    <w:rsid w:val="002C3B0D"/>
    <w:rsid w:val="002C6520"/>
    <w:rsid w:val="002D082A"/>
    <w:rsid w:val="002D1053"/>
    <w:rsid w:val="002D38B2"/>
    <w:rsid w:val="002D6A6C"/>
    <w:rsid w:val="002E0D3B"/>
    <w:rsid w:val="002E18BD"/>
    <w:rsid w:val="002E3D0E"/>
    <w:rsid w:val="002E5209"/>
    <w:rsid w:val="002E6378"/>
    <w:rsid w:val="002E7DF3"/>
    <w:rsid w:val="002F11CE"/>
    <w:rsid w:val="002F1E2E"/>
    <w:rsid w:val="002F23BC"/>
    <w:rsid w:val="002F2D13"/>
    <w:rsid w:val="002F3BDA"/>
    <w:rsid w:val="002F4580"/>
    <w:rsid w:val="003011BE"/>
    <w:rsid w:val="00303F10"/>
    <w:rsid w:val="0030443F"/>
    <w:rsid w:val="00307D84"/>
    <w:rsid w:val="0031002E"/>
    <w:rsid w:val="003158D3"/>
    <w:rsid w:val="00315CA6"/>
    <w:rsid w:val="003169BF"/>
    <w:rsid w:val="00321D34"/>
    <w:rsid w:val="0032516C"/>
    <w:rsid w:val="003269A1"/>
    <w:rsid w:val="00326A7C"/>
    <w:rsid w:val="0032784A"/>
    <w:rsid w:val="00330D3D"/>
    <w:rsid w:val="0033421C"/>
    <w:rsid w:val="003347F9"/>
    <w:rsid w:val="00335BCD"/>
    <w:rsid w:val="00336F5A"/>
    <w:rsid w:val="003378D1"/>
    <w:rsid w:val="00342AB1"/>
    <w:rsid w:val="00346BEF"/>
    <w:rsid w:val="003518EF"/>
    <w:rsid w:val="0037221E"/>
    <w:rsid w:val="003737C5"/>
    <w:rsid w:val="00375F23"/>
    <w:rsid w:val="003812AE"/>
    <w:rsid w:val="00381A4A"/>
    <w:rsid w:val="00382E5B"/>
    <w:rsid w:val="00386F17"/>
    <w:rsid w:val="003929E8"/>
    <w:rsid w:val="003A05BE"/>
    <w:rsid w:val="003A1280"/>
    <w:rsid w:val="003B103B"/>
    <w:rsid w:val="003B1D5B"/>
    <w:rsid w:val="003B34F7"/>
    <w:rsid w:val="003C0C24"/>
    <w:rsid w:val="003C481F"/>
    <w:rsid w:val="003C6D19"/>
    <w:rsid w:val="003D193F"/>
    <w:rsid w:val="003D2645"/>
    <w:rsid w:val="003D2DF6"/>
    <w:rsid w:val="003D4E8A"/>
    <w:rsid w:val="003E5ADF"/>
    <w:rsid w:val="003E7C66"/>
    <w:rsid w:val="003F2406"/>
    <w:rsid w:val="00410B19"/>
    <w:rsid w:val="004157FF"/>
    <w:rsid w:val="00416591"/>
    <w:rsid w:val="00433C5A"/>
    <w:rsid w:val="00435E0B"/>
    <w:rsid w:val="00440D16"/>
    <w:rsid w:val="0044232F"/>
    <w:rsid w:val="00444482"/>
    <w:rsid w:val="004464C2"/>
    <w:rsid w:val="0044739E"/>
    <w:rsid w:val="00460A24"/>
    <w:rsid w:val="00463754"/>
    <w:rsid w:val="00464D64"/>
    <w:rsid w:val="00467153"/>
    <w:rsid w:val="0047231A"/>
    <w:rsid w:val="0047378F"/>
    <w:rsid w:val="00480C9E"/>
    <w:rsid w:val="00482B1A"/>
    <w:rsid w:val="00484F80"/>
    <w:rsid w:val="00485967"/>
    <w:rsid w:val="0048691A"/>
    <w:rsid w:val="004941B6"/>
    <w:rsid w:val="00496BD4"/>
    <w:rsid w:val="0049794D"/>
    <w:rsid w:val="004A0DA0"/>
    <w:rsid w:val="004A698D"/>
    <w:rsid w:val="004A713D"/>
    <w:rsid w:val="004B2601"/>
    <w:rsid w:val="004B61CF"/>
    <w:rsid w:val="004B620B"/>
    <w:rsid w:val="004B6F24"/>
    <w:rsid w:val="004C1117"/>
    <w:rsid w:val="004C2A4D"/>
    <w:rsid w:val="004C62F8"/>
    <w:rsid w:val="004C6547"/>
    <w:rsid w:val="004D0712"/>
    <w:rsid w:val="004D3082"/>
    <w:rsid w:val="004D7BED"/>
    <w:rsid w:val="004E0DFB"/>
    <w:rsid w:val="004E3EAA"/>
    <w:rsid w:val="004E450C"/>
    <w:rsid w:val="004E547A"/>
    <w:rsid w:val="004E5E79"/>
    <w:rsid w:val="004F0E0A"/>
    <w:rsid w:val="004F1683"/>
    <w:rsid w:val="004F5E7A"/>
    <w:rsid w:val="00501F13"/>
    <w:rsid w:val="00506193"/>
    <w:rsid w:val="00520164"/>
    <w:rsid w:val="005222C3"/>
    <w:rsid w:val="005254AD"/>
    <w:rsid w:val="00527604"/>
    <w:rsid w:val="00532D1B"/>
    <w:rsid w:val="00535B8D"/>
    <w:rsid w:val="00536CF1"/>
    <w:rsid w:val="00536DD2"/>
    <w:rsid w:val="005411DE"/>
    <w:rsid w:val="00546251"/>
    <w:rsid w:val="0055332A"/>
    <w:rsid w:val="00555EDE"/>
    <w:rsid w:val="00560B27"/>
    <w:rsid w:val="00570E6D"/>
    <w:rsid w:val="005711DE"/>
    <w:rsid w:val="00573241"/>
    <w:rsid w:val="00575C9D"/>
    <w:rsid w:val="005779B2"/>
    <w:rsid w:val="00581F58"/>
    <w:rsid w:val="00586CD2"/>
    <w:rsid w:val="005940FF"/>
    <w:rsid w:val="00596914"/>
    <w:rsid w:val="005A33DA"/>
    <w:rsid w:val="005A4357"/>
    <w:rsid w:val="005A49BE"/>
    <w:rsid w:val="005A5CA7"/>
    <w:rsid w:val="005A7E7E"/>
    <w:rsid w:val="005B1144"/>
    <w:rsid w:val="005B1214"/>
    <w:rsid w:val="005B14F6"/>
    <w:rsid w:val="005B180E"/>
    <w:rsid w:val="005B4048"/>
    <w:rsid w:val="005C09F8"/>
    <w:rsid w:val="005D00D7"/>
    <w:rsid w:val="005D1319"/>
    <w:rsid w:val="005D1597"/>
    <w:rsid w:val="005D4EBE"/>
    <w:rsid w:val="005D51C3"/>
    <w:rsid w:val="005D6674"/>
    <w:rsid w:val="005E25C0"/>
    <w:rsid w:val="005F375D"/>
    <w:rsid w:val="00600324"/>
    <w:rsid w:val="00605FD5"/>
    <w:rsid w:val="00614999"/>
    <w:rsid w:val="00622142"/>
    <w:rsid w:val="00630932"/>
    <w:rsid w:val="00631795"/>
    <w:rsid w:val="00636AAD"/>
    <w:rsid w:val="00637A19"/>
    <w:rsid w:val="0064175E"/>
    <w:rsid w:val="00641E35"/>
    <w:rsid w:val="00644025"/>
    <w:rsid w:val="00651710"/>
    <w:rsid w:val="00652F79"/>
    <w:rsid w:val="006533B0"/>
    <w:rsid w:val="00654154"/>
    <w:rsid w:val="006560E7"/>
    <w:rsid w:val="0065614C"/>
    <w:rsid w:val="006616D3"/>
    <w:rsid w:val="0066238D"/>
    <w:rsid w:val="00662ECB"/>
    <w:rsid w:val="0066706E"/>
    <w:rsid w:val="0066795B"/>
    <w:rsid w:val="00667D06"/>
    <w:rsid w:val="0067327E"/>
    <w:rsid w:val="00675A3C"/>
    <w:rsid w:val="006778F4"/>
    <w:rsid w:val="00685277"/>
    <w:rsid w:val="00686222"/>
    <w:rsid w:val="0069574E"/>
    <w:rsid w:val="00695B12"/>
    <w:rsid w:val="006A1483"/>
    <w:rsid w:val="006A4520"/>
    <w:rsid w:val="006A4956"/>
    <w:rsid w:val="006A6187"/>
    <w:rsid w:val="006A6E3E"/>
    <w:rsid w:val="006A70CE"/>
    <w:rsid w:val="006B1419"/>
    <w:rsid w:val="006B25F5"/>
    <w:rsid w:val="006B34C4"/>
    <w:rsid w:val="006B5F07"/>
    <w:rsid w:val="006C3AAD"/>
    <w:rsid w:val="006D0369"/>
    <w:rsid w:val="006D2D95"/>
    <w:rsid w:val="006D6E86"/>
    <w:rsid w:val="006D71B0"/>
    <w:rsid w:val="006D71DF"/>
    <w:rsid w:val="006D7408"/>
    <w:rsid w:val="006E21C6"/>
    <w:rsid w:val="006F0344"/>
    <w:rsid w:val="006F1019"/>
    <w:rsid w:val="006F15D2"/>
    <w:rsid w:val="006F7C4F"/>
    <w:rsid w:val="00714D78"/>
    <w:rsid w:val="00724498"/>
    <w:rsid w:val="007257C6"/>
    <w:rsid w:val="007303E5"/>
    <w:rsid w:val="00732D5E"/>
    <w:rsid w:val="00751E93"/>
    <w:rsid w:val="00752DA3"/>
    <w:rsid w:val="00763734"/>
    <w:rsid w:val="00763CD2"/>
    <w:rsid w:val="0076522A"/>
    <w:rsid w:val="00770503"/>
    <w:rsid w:val="007707E3"/>
    <w:rsid w:val="00772353"/>
    <w:rsid w:val="00772CF9"/>
    <w:rsid w:val="0077399E"/>
    <w:rsid w:val="0078009F"/>
    <w:rsid w:val="0078097A"/>
    <w:rsid w:val="0078321F"/>
    <w:rsid w:val="00783715"/>
    <w:rsid w:val="007873DE"/>
    <w:rsid w:val="0078798E"/>
    <w:rsid w:val="00791B7A"/>
    <w:rsid w:val="00796020"/>
    <w:rsid w:val="007A1051"/>
    <w:rsid w:val="007A51B4"/>
    <w:rsid w:val="007C0625"/>
    <w:rsid w:val="007C74CE"/>
    <w:rsid w:val="007E5B97"/>
    <w:rsid w:val="007E6BFA"/>
    <w:rsid w:val="007E6FAA"/>
    <w:rsid w:val="007F042C"/>
    <w:rsid w:val="007F216A"/>
    <w:rsid w:val="007F4688"/>
    <w:rsid w:val="00801CB9"/>
    <w:rsid w:val="008024FF"/>
    <w:rsid w:val="00806A4E"/>
    <w:rsid w:val="00810ED7"/>
    <w:rsid w:val="00813D6C"/>
    <w:rsid w:val="00814BC6"/>
    <w:rsid w:val="00815958"/>
    <w:rsid w:val="0081674C"/>
    <w:rsid w:val="008167A4"/>
    <w:rsid w:val="008169E7"/>
    <w:rsid w:val="0081722A"/>
    <w:rsid w:val="008235E7"/>
    <w:rsid w:val="00824331"/>
    <w:rsid w:val="00826634"/>
    <w:rsid w:val="008268B3"/>
    <w:rsid w:val="0082696D"/>
    <w:rsid w:val="008305FE"/>
    <w:rsid w:val="00833A9C"/>
    <w:rsid w:val="008358AC"/>
    <w:rsid w:val="00841FEE"/>
    <w:rsid w:val="00845294"/>
    <w:rsid w:val="00845E76"/>
    <w:rsid w:val="00846366"/>
    <w:rsid w:val="00847EB4"/>
    <w:rsid w:val="00853FF4"/>
    <w:rsid w:val="0085561E"/>
    <w:rsid w:val="0085589E"/>
    <w:rsid w:val="00867743"/>
    <w:rsid w:val="0087084F"/>
    <w:rsid w:val="00870A90"/>
    <w:rsid w:val="00870F5F"/>
    <w:rsid w:val="0087132C"/>
    <w:rsid w:val="008814AB"/>
    <w:rsid w:val="00883016"/>
    <w:rsid w:val="00887377"/>
    <w:rsid w:val="00890942"/>
    <w:rsid w:val="00894F27"/>
    <w:rsid w:val="008953C5"/>
    <w:rsid w:val="008A6416"/>
    <w:rsid w:val="008B110D"/>
    <w:rsid w:val="008B4F98"/>
    <w:rsid w:val="008B618F"/>
    <w:rsid w:val="008B6DDF"/>
    <w:rsid w:val="008C5F18"/>
    <w:rsid w:val="008C64CC"/>
    <w:rsid w:val="008D05C1"/>
    <w:rsid w:val="008D2E1A"/>
    <w:rsid w:val="008E16F1"/>
    <w:rsid w:val="008E70B6"/>
    <w:rsid w:val="008E7FBF"/>
    <w:rsid w:val="008F2C11"/>
    <w:rsid w:val="008F4729"/>
    <w:rsid w:val="008F52FA"/>
    <w:rsid w:val="008F67AC"/>
    <w:rsid w:val="008F6EB2"/>
    <w:rsid w:val="008F7EDB"/>
    <w:rsid w:val="00900F1C"/>
    <w:rsid w:val="00902999"/>
    <w:rsid w:val="00906200"/>
    <w:rsid w:val="00910752"/>
    <w:rsid w:val="00914A10"/>
    <w:rsid w:val="00915766"/>
    <w:rsid w:val="0091778B"/>
    <w:rsid w:val="00922C0B"/>
    <w:rsid w:val="00923781"/>
    <w:rsid w:val="00927C89"/>
    <w:rsid w:val="0093043A"/>
    <w:rsid w:val="009316AE"/>
    <w:rsid w:val="00934868"/>
    <w:rsid w:val="0093555D"/>
    <w:rsid w:val="009378B5"/>
    <w:rsid w:val="009420C2"/>
    <w:rsid w:val="00946F0D"/>
    <w:rsid w:val="00951D5E"/>
    <w:rsid w:val="00955972"/>
    <w:rsid w:val="009564F5"/>
    <w:rsid w:val="0096341B"/>
    <w:rsid w:val="00965EE4"/>
    <w:rsid w:val="009703B2"/>
    <w:rsid w:val="00971959"/>
    <w:rsid w:val="00971CF1"/>
    <w:rsid w:val="00971DF8"/>
    <w:rsid w:val="009748D7"/>
    <w:rsid w:val="009757E6"/>
    <w:rsid w:val="00982496"/>
    <w:rsid w:val="00983B30"/>
    <w:rsid w:val="00983ECB"/>
    <w:rsid w:val="009853BF"/>
    <w:rsid w:val="0098663F"/>
    <w:rsid w:val="00987ACF"/>
    <w:rsid w:val="00992A2E"/>
    <w:rsid w:val="00992AB2"/>
    <w:rsid w:val="0099755A"/>
    <w:rsid w:val="009A0424"/>
    <w:rsid w:val="009A0C4B"/>
    <w:rsid w:val="009A0D67"/>
    <w:rsid w:val="009A10C2"/>
    <w:rsid w:val="009A31BA"/>
    <w:rsid w:val="009A3E46"/>
    <w:rsid w:val="009A42A9"/>
    <w:rsid w:val="009A42AD"/>
    <w:rsid w:val="009B2566"/>
    <w:rsid w:val="009B77DF"/>
    <w:rsid w:val="009C12AB"/>
    <w:rsid w:val="009C20C0"/>
    <w:rsid w:val="009C29B9"/>
    <w:rsid w:val="009D0218"/>
    <w:rsid w:val="009D173B"/>
    <w:rsid w:val="009D63BC"/>
    <w:rsid w:val="009E2A41"/>
    <w:rsid w:val="009F14D6"/>
    <w:rsid w:val="009F3688"/>
    <w:rsid w:val="009F6417"/>
    <w:rsid w:val="00A00764"/>
    <w:rsid w:val="00A02881"/>
    <w:rsid w:val="00A02A30"/>
    <w:rsid w:val="00A04DD5"/>
    <w:rsid w:val="00A10F0B"/>
    <w:rsid w:val="00A1438F"/>
    <w:rsid w:val="00A145C2"/>
    <w:rsid w:val="00A153DA"/>
    <w:rsid w:val="00A21CF5"/>
    <w:rsid w:val="00A2333F"/>
    <w:rsid w:val="00A256F1"/>
    <w:rsid w:val="00A306ED"/>
    <w:rsid w:val="00A31F71"/>
    <w:rsid w:val="00A366FE"/>
    <w:rsid w:val="00A37751"/>
    <w:rsid w:val="00A44BD3"/>
    <w:rsid w:val="00A46EDA"/>
    <w:rsid w:val="00A52E66"/>
    <w:rsid w:val="00A541CC"/>
    <w:rsid w:val="00A54462"/>
    <w:rsid w:val="00A60670"/>
    <w:rsid w:val="00A62928"/>
    <w:rsid w:val="00A641CD"/>
    <w:rsid w:val="00A706A0"/>
    <w:rsid w:val="00A74B92"/>
    <w:rsid w:val="00A74F81"/>
    <w:rsid w:val="00A94D7E"/>
    <w:rsid w:val="00A95697"/>
    <w:rsid w:val="00A95C8D"/>
    <w:rsid w:val="00A95EA0"/>
    <w:rsid w:val="00A96F5A"/>
    <w:rsid w:val="00AA0B3A"/>
    <w:rsid w:val="00AA23BA"/>
    <w:rsid w:val="00AA6F4A"/>
    <w:rsid w:val="00AB2C35"/>
    <w:rsid w:val="00AB37ED"/>
    <w:rsid w:val="00AC081D"/>
    <w:rsid w:val="00AC199B"/>
    <w:rsid w:val="00AC5A33"/>
    <w:rsid w:val="00AC766D"/>
    <w:rsid w:val="00AC7F46"/>
    <w:rsid w:val="00AD442D"/>
    <w:rsid w:val="00AD77A9"/>
    <w:rsid w:val="00AE3026"/>
    <w:rsid w:val="00AE3F48"/>
    <w:rsid w:val="00AF6E1F"/>
    <w:rsid w:val="00B007A9"/>
    <w:rsid w:val="00B010D9"/>
    <w:rsid w:val="00B03A96"/>
    <w:rsid w:val="00B03AE3"/>
    <w:rsid w:val="00B05B6E"/>
    <w:rsid w:val="00B060ED"/>
    <w:rsid w:val="00B073B1"/>
    <w:rsid w:val="00B12972"/>
    <w:rsid w:val="00B14A86"/>
    <w:rsid w:val="00B17A0C"/>
    <w:rsid w:val="00B22360"/>
    <w:rsid w:val="00B22DAC"/>
    <w:rsid w:val="00B26927"/>
    <w:rsid w:val="00B351F8"/>
    <w:rsid w:val="00B3576D"/>
    <w:rsid w:val="00B3585D"/>
    <w:rsid w:val="00B35F15"/>
    <w:rsid w:val="00B3774D"/>
    <w:rsid w:val="00B44C64"/>
    <w:rsid w:val="00B51CBD"/>
    <w:rsid w:val="00B52793"/>
    <w:rsid w:val="00B5412E"/>
    <w:rsid w:val="00B6230B"/>
    <w:rsid w:val="00B62649"/>
    <w:rsid w:val="00B62715"/>
    <w:rsid w:val="00B62AAB"/>
    <w:rsid w:val="00B72ABF"/>
    <w:rsid w:val="00B7472A"/>
    <w:rsid w:val="00B75D93"/>
    <w:rsid w:val="00B77621"/>
    <w:rsid w:val="00B80BDE"/>
    <w:rsid w:val="00B81DDB"/>
    <w:rsid w:val="00B83570"/>
    <w:rsid w:val="00B87403"/>
    <w:rsid w:val="00B94DFB"/>
    <w:rsid w:val="00BA6F2D"/>
    <w:rsid w:val="00BA703E"/>
    <w:rsid w:val="00BB0837"/>
    <w:rsid w:val="00BB0BAC"/>
    <w:rsid w:val="00BB1626"/>
    <w:rsid w:val="00BB60EF"/>
    <w:rsid w:val="00BB6478"/>
    <w:rsid w:val="00BB6D0A"/>
    <w:rsid w:val="00BC0807"/>
    <w:rsid w:val="00BC2D95"/>
    <w:rsid w:val="00BC348F"/>
    <w:rsid w:val="00BC6C68"/>
    <w:rsid w:val="00BD35E0"/>
    <w:rsid w:val="00BD6CE9"/>
    <w:rsid w:val="00BE0803"/>
    <w:rsid w:val="00BF6206"/>
    <w:rsid w:val="00BF6B3B"/>
    <w:rsid w:val="00C02173"/>
    <w:rsid w:val="00C130C0"/>
    <w:rsid w:val="00C13A29"/>
    <w:rsid w:val="00C14BFB"/>
    <w:rsid w:val="00C21F92"/>
    <w:rsid w:val="00C22A94"/>
    <w:rsid w:val="00C24F01"/>
    <w:rsid w:val="00C25F2B"/>
    <w:rsid w:val="00C27457"/>
    <w:rsid w:val="00C32265"/>
    <w:rsid w:val="00C32DA0"/>
    <w:rsid w:val="00C336E6"/>
    <w:rsid w:val="00C354AE"/>
    <w:rsid w:val="00C3589C"/>
    <w:rsid w:val="00C36EE4"/>
    <w:rsid w:val="00C43592"/>
    <w:rsid w:val="00C44F98"/>
    <w:rsid w:val="00C46F35"/>
    <w:rsid w:val="00C513E0"/>
    <w:rsid w:val="00C51450"/>
    <w:rsid w:val="00C53C71"/>
    <w:rsid w:val="00C54034"/>
    <w:rsid w:val="00C54556"/>
    <w:rsid w:val="00C56D2B"/>
    <w:rsid w:val="00C57617"/>
    <w:rsid w:val="00C60B8E"/>
    <w:rsid w:val="00C67918"/>
    <w:rsid w:val="00C73C00"/>
    <w:rsid w:val="00C73DB4"/>
    <w:rsid w:val="00C75839"/>
    <w:rsid w:val="00C805B9"/>
    <w:rsid w:val="00C80C5C"/>
    <w:rsid w:val="00C83353"/>
    <w:rsid w:val="00C8359A"/>
    <w:rsid w:val="00C84321"/>
    <w:rsid w:val="00C86C87"/>
    <w:rsid w:val="00C87D15"/>
    <w:rsid w:val="00C936C4"/>
    <w:rsid w:val="00C968BF"/>
    <w:rsid w:val="00CA32D6"/>
    <w:rsid w:val="00CA3DC9"/>
    <w:rsid w:val="00CB501F"/>
    <w:rsid w:val="00CC1F2F"/>
    <w:rsid w:val="00CD0441"/>
    <w:rsid w:val="00CD4AA2"/>
    <w:rsid w:val="00CD4B44"/>
    <w:rsid w:val="00CE67CF"/>
    <w:rsid w:val="00CF1B6F"/>
    <w:rsid w:val="00CF35E8"/>
    <w:rsid w:val="00D02114"/>
    <w:rsid w:val="00D03A94"/>
    <w:rsid w:val="00D04863"/>
    <w:rsid w:val="00D16DEC"/>
    <w:rsid w:val="00D17F85"/>
    <w:rsid w:val="00D23C5E"/>
    <w:rsid w:val="00D26CF5"/>
    <w:rsid w:val="00D26DE5"/>
    <w:rsid w:val="00D30AC2"/>
    <w:rsid w:val="00D30CA6"/>
    <w:rsid w:val="00D31AF4"/>
    <w:rsid w:val="00D33197"/>
    <w:rsid w:val="00D36DAD"/>
    <w:rsid w:val="00D47B48"/>
    <w:rsid w:val="00D51569"/>
    <w:rsid w:val="00D51C46"/>
    <w:rsid w:val="00D62770"/>
    <w:rsid w:val="00D70A72"/>
    <w:rsid w:val="00D72640"/>
    <w:rsid w:val="00D75B1F"/>
    <w:rsid w:val="00D75FD1"/>
    <w:rsid w:val="00D82300"/>
    <w:rsid w:val="00D82E65"/>
    <w:rsid w:val="00D858ED"/>
    <w:rsid w:val="00D955CB"/>
    <w:rsid w:val="00D9624A"/>
    <w:rsid w:val="00D97209"/>
    <w:rsid w:val="00DA2DBB"/>
    <w:rsid w:val="00DB0E94"/>
    <w:rsid w:val="00DB1009"/>
    <w:rsid w:val="00DB123B"/>
    <w:rsid w:val="00DB2864"/>
    <w:rsid w:val="00DB3D3C"/>
    <w:rsid w:val="00DB6873"/>
    <w:rsid w:val="00DC1A17"/>
    <w:rsid w:val="00DC2D6F"/>
    <w:rsid w:val="00DD3761"/>
    <w:rsid w:val="00DD3EB1"/>
    <w:rsid w:val="00DD5E68"/>
    <w:rsid w:val="00DE086E"/>
    <w:rsid w:val="00DE1199"/>
    <w:rsid w:val="00DE518C"/>
    <w:rsid w:val="00DE5717"/>
    <w:rsid w:val="00DE62B8"/>
    <w:rsid w:val="00DE7EB2"/>
    <w:rsid w:val="00E05B7E"/>
    <w:rsid w:val="00E07755"/>
    <w:rsid w:val="00E13097"/>
    <w:rsid w:val="00E218F5"/>
    <w:rsid w:val="00E225D8"/>
    <w:rsid w:val="00E243DC"/>
    <w:rsid w:val="00E33652"/>
    <w:rsid w:val="00E410FF"/>
    <w:rsid w:val="00E45DDF"/>
    <w:rsid w:val="00E508B7"/>
    <w:rsid w:val="00E52555"/>
    <w:rsid w:val="00E52CC2"/>
    <w:rsid w:val="00E5529D"/>
    <w:rsid w:val="00E60588"/>
    <w:rsid w:val="00E635CF"/>
    <w:rsid w:val="00E7064E"/>
    <w:rsid w:val="00E73C1D"/>
    <w:rsid w:val="00E76282"/>
    <w:rsid w:val="00E770B1"/>
    <w:rsid w:val="00E77ABE"/>
    <w:rsid w:val="00E909DB"/>
    <w:rsid w:val="00E923D8"/>
    <w:rsid w:val="00E971A0"/>
    <w:rsid w:val="00EA0AC6"/>
    <w:rsid w:val="00EA2482"/>
    <w:rsid w:val="00EA2C50"/>
    <w:rsid w:val="00EB129D"/>
    <w:rsid w:val="00EB28B0"/>
    <w:rsid w:val="00EC484B"/>
    <w:rsid w:val="00EC4B87"/>
    <w:rsid w:val="00EC5194"/>
    <w:rsid w:val="00EC600B"/>
    <w:rsid w:val="00ED5C44"/>
    <w:rsid w:val="00ED72AF"/>
    <w:rsid w:val="00EE03C4"/>
    <w:rsid w:val="00EE07D8"/>
    <w:rsid w:val="00EF0243"/>
    <w:rsid w:val="00EF6001"/>
    <w:rsid w:val="00F02D15"/>
    <w:rsid w:val="00F03E1C"/>
    <w:rsid w:val="00F16292"/>
    <w:rsid w:val="00F22485"/>
    <w:rsid w:val="00F25F89"/>
    <w:rsid w:val="00F2770F"/>
    <w:rsid w:val="00F305DE"/>
    <w:rsid w:val="00F31E10"/>
    <w:rsid w:val="00F363B0"/>
    <w:rsid w:val="00F3723A"/>
    <w:rsid w:val="00F37ED1"/>
    <w:rsid w:val="00F42763"/>
    <w:rsid w:val="00F44C16"/>
    <w:rsid w:val="00F45E08"/>
    <w:rsid w:val="00F475D5"/>
    <w:rsid w:val="00F509A1"/>
    <w:rsid w:val="00F52781"/>
    <w:rsid w:val="00F55770"/>
    <w:rsid w:val="00F64361"/>
    <w:rsid w:val="00F64A3F"/>
    <w:rsid w:val="00F67C47"/>
    <w:rsid w:val="00F718E3"/>
    <w:rsid w:val="00F77BE2"/>
    <w:rsid w:val="00F80181"/>
    <w:rsid w:val="00F80C67"/>
    <w:rsid w:val="00F82BA2"/>
    <w:rsid w:val="00F90580"/>
    <w:rsid w:val="00FA44E8"/>
    <w:rsid w:val="00FA6EDD"/>
    <w:rsid w:val="00FB0A39"/>
    <w:rsid w:val="00FB2E22"/>
    <w:rsid w:val="00FB5348"/>
    <w:rsid w:val="00FB5796"/>
    <w:rsid w:val="00FB6F1A"/>
    <w:rsid w:val="00FC04EC"/>
    <w:rsid w:val="00FC302B"/>
    <w:rsid w:val="00FC5DCD"/>
    <w:rsid w:val="00FE0C3D"/>
    <w:rsid w:val="00FE5AD6"/>
    <w:rsid w:val="00FF04A6"/>
    <w:rsid w:val="010158D6"/>
    <w:rsid w:val="01032CB0"/>
    <w:rsid w:val="01352CEB"/>
    <w:rsid w:val="014C6B51"/>
    <w:rsid w:val="01987FE8"/>
    <w:rsid w:val="01C16070"/>
    <w:rsid w:val="01C761D7"/>
    <w:rsid w:val="01CD2E9D"/>
    <w:rsid w:val="01DF5C17"/>
    <w:rsid w:val="01F571E8"/>
    <w:rsid w:val="01FA65AD"/>
    <w:rsid w:val="020F6BF8"/>
    <w:rsid w:val="0234536F"/>
    <w:rsid w:val="02350DBB"/>
    <w:rsid w:val="02627A03"/>
    <w:rsid w:val="027D71DE"/>
    <w:rsid w:val="02883A4A"/>
    <w:rsid w:val="02987B74"/>
    <w:rsid w:val="02B70804"/>
    <w:rsid w:val="02BA46C4"/>
    <w:rsid w:val="02DB7CB9"/>
    <w:rsid w:val="02FF7BF3"/>
    <w:rsid w:val="034A5312"/>
    <w:rsid w:val="035D5A48"/>
    <w:rsid w:val="035E0DBD"/>
    <w:rsid w:val="03660C58"/>
    <w:rsid w:val="0366165B"/>
    <w:rsid w:val="037A2DDB"/>
    <w:rsid w:val="037F368D"/>
    <w:rsid w:val="03810BC8"/>
    <w:rsid w:val="038A3960"/>
    <w:rsid w:val="03AA0B2E"/>
    <w:rsid w:val="03B01C9E"/>
    <w:rsid w:val="03E45005"/>
    <w:rsid w:val="03E96876"/>
    <w:rsid w:val="03F82FC0"/>
    <w:rsid w:val="03FF6280"/>
    <w:rsid w:val="043833BC"/>
    <w:rsid w:val="043F474B"/>
    <w:rsid w:val="04610B65"/>
    <w:rsid w:val="04684D4C"/>
    <w:rsid w:val="046B4941"/>
    <w:rsid w:val="04754611"/>
    <w:rsid w:val="047F2D99"/>
    <w:rsid w:val="048900BC"/>
    <w:rsid w:val="04D74B21"/>
    <w:rsid w:val="05104E18"/>
    <w:rsid w:val="052A53FB"/>
    <w:rsid w:val="053828F1"/>
    <w:rsid w:val="0545527A"/>
    <w:rsid w:val="0560706F"/>
    <w:rsid w:val="05617CFD"/>
    <w:rsid w:val="05CF12DE"/>
    <w:rsid w:val="062B4947"/>
    <w:rsid w:val="064918B1"/>
    <w:rsid w:val="065D35AE"/>
    <w:rsid w:val="0669568A"/>
    <w:rsid w:val="067E039A"/>
    <w:rsid w:val="068648B3"/>
    <w:rsid w:val="069F204B"/>
    <w:rsid w:val="06C6248C"/>
    <w:rsid w:val="06CC61D3"/>
    <w:rsid w:val="06E8731C"/>
    <w:rsid w:val="070E46A7"/>
    <w:rsid w:val="07733ED3"/>
    <w:rsid w:val="077A10F3"/>
    <w:rsid w:val="07810AD9"/>
    <w:rsid w:val="079A26F9"/>
    <w:rsid w:val="07BC752A"/>
    <w:rsid w:val="07CC279A"/>
    <w:rsid w:val="07D761FC"/>
    <w:rsid w:val="07DB6498"/>
    <w:rsid w:val="08083865"/>
    <w:rsid w:val="080F08D8"/>
    <w:rsid w:val="082D0D5E"/>
    <w:rsid w:val="08602EE2"/>
    <w:rsid w:val="08665B84"/>
    <w:rsid w:val="086F66D8"/>
    <w:rsid w:val="08852C67"/>
    <w:rsid w:val="08A92ADB"/>
    <w:rsid w:val="08BD0334"/>
    <w:rsid w:val="08DC157E"/>
    <w:rsid w:val="09120680"/>
    <w:rsid w:val="093C394F"/>
    <w:rsid w:val="093D1475"/>
    <w:rsid w:val="094C36CE"/>
    <w:rsid w:val="09AB11AC"/>
    <w:rsid w:val="09D27E0F"/>
    <w:rsid w:val="09F4585F"/>
    <w:rsid w:val="0A081459"/>
    <w:rsid w:val="0A1B2824"/>
    <w:rsid w:val="0A424F95"/>
    <w:rsid w:val="0A474359"/>
    <w:rsid w:val="0A635F4B"/>
    <w:rsid w:val="0A786C09"/>
    <w:rsid w:val="0A7B053D"/>
    <w:rsid w:val="0A973EE9"/>
    <w:rsid w:val="0AAC68B2"/>
    <w:rsid w:val="0AD16319"/>
    <w:rsid w:val="0AD16BED"/>
    <w:rsid w:val="0AD2385E"/>
    <w:rsid w:val="0AD87F40"/>
    <w:rsid w:val="0B0B182B"/>
    <w:rsid w:val="0B0E30C9"/>
    <w:rsid w:val="0B505A69"/>
    <w:rsid w:val="0B534700"/>
    <w:rsid w:val="0B5C5BE2"/>
    <w:rsid w:val="0B662F05"/>
    <w:rsid w:val="0BD04822"/>
    <w:rsid w:val="0C3633F3"/>
    <w:rsid w:val="0C5D5081"/>
    <w:rsid w:val="0C6D5860"/>
    <w:rsid w:val="0C7E6A8E"/>
    <w:rsid w:val="0CA856BF"/>
    <w:rsid w:val="0CB17349"/>
    <w:rsid w:val="0CCF0636"/>
    <w:rsid w:val="0CD914B5"/>
    <w:rsid w:val="0D2F7FD6"/>
    <w:rsid w:val="0D773E61"/>
    <w:rsid w:val="0D780511"/>
    <w:rsid w:val="0D865199"/>
    <w:rsid w:val="0D882289"/>
    <w:rsid w:val="0D887163"/>
    <w:rsid w:val="0DB97859"/>
    <w:rsid w:val="0DCE6B40"/>
    <w:rsid w:val="0DD64262"/>
    <w:rsid w:val="0DDF48E9"/>
    <w:rsid w:val="0DEC6932"/>
    <w:rsid w:val="0E034A3B"/>
    <w:rsid w:val="0E1B7FD7"/>
    <w:rsid w:val="0E2D64C7"/>
    <w:rsid w:val="0E305CD7"/>
    <w:rsid w:val="0E317062"/>
    <w:rsid w:val="0E372937"/>
    <w:rsid w:val="0E5B405D"/>
    <w:rsid w:val="0E6C0832"/>
    <w:rsid w:val="0E720B98"/>
    <w:rsid w:val="0E7B2823"/>
    <w:rsid w:val="0ECF2B6F"/>
    <w:rsid w:val="0EE97B8E"/>
    <w:rsid w:val="0EF56D77"/>
    <w:rsid w:val="0F0F0F63"/>
    <w:rsid w:val="0F32366B"/>
    <w:rsid w:val="0F833B5D"/>
    <w:rsid w:val="0FB51D65"/>
    <w:rsid w:val="0FB81855"/>
    <w:rsid w:val="0FBF0F10"/>
    <w:rsid w:val="0FDD2DE3"/>
    <w:rsid w:val="0FEB546A"/>
    <w:rsid w:val="0FEC3293"/>
    <w:rsid w:val="0FF85550"/>
    <w:rsid w:val="10187F49"/>
    <w:rsid w:val="10291372"/>
    <w:rsid w:val="103A2D2B"/>
    <w:rsid w:val="105C48D7"/>
    <w:rsid w:val="105D1DBB"/>
    <w:rsid w:val="10757746"/>
    <w:rsid w:val="10765998"/>
    <w:rsid w:val="107931DF"/>
    <w:rsid w:val="10811D72"/>
    <w:rsid w:val="109160DD"/>
    <w:rsid w:val="10B12DC8"/>
    <w:rsid w:val="10D96FA4"/>
    <w:rsid w:val="11203380"/>
    <w:rsid w:val="112C3A43"/>
    <w:rsid w:val="112C6057"/>
    <w:rsid w:val="115F467E"/>
    <w:rsid w:val="11685955"/>
    <w:rsid w:val="116D5B02"/>
    <w:rsid w:val="11937599"/>
    <w:rsid w:val="11BA38CE"/>
    <w:rsid w:val="11CD3114"/>
    <w:rsid w:val="11D97B41"/>
    <w:rsid w:val="11E3757B"/>
    <w:rsid w:val="120841D8"/>
    <w:rsid w:val="122E6D2D"/>
    <w:rsid w:val="123B4FDC"/>
    <w:rsid w:val="124156C4"/>
    <w:rsid w:val="124235BD"/>
    <w:rsid w:val="126D2DCB"/>
    <w:rsid w:val="128123D2"/>
    <w:rsid w:val="128D0D77"/>
    <w:rsid w:val="1292638E"/>
    <w:rsid w:val="12AB5973"/>
    <w:rsid w:val="12B75DF4"/>
    <w:rsid w:val="12CA0B0F"/>
    <w:rsid w:val="12DD352E"/>
    <w:rsid w:val="13046389"/>
    <w:rsid w:val="13201BEB"/>
    <w:rsid w:val="13255454"/>
    <w:rsid w:val="13363F94"/>
    <w:rsid w:val="13513B09"/>
    <w:rsid w:val="13706DBD"/>
    <w:rsid w:val="13781A27"/>
    <w:rsid w:val="138A175B"/>
    <w:rsid w:val="138C7281"/>
    <w:rsid w:val="13D660DB"/>
    <w:rsid w:val="13DD18EF"/>
    <w:rsid w:val="13E72709"/>
    <w:rsid w:val="143A0FC9"/>
    <w:rsid w:val="14595396"/>
    <w:rsid w:val="14627FE2"/>
    <w:rsid w:val="148166BA"/>
    <w:rsid w:val="14992F53"/>
    <w:rsid w:val="14BD0BCC"/>
    <w:rsid w:val="14D561AF"/>
    <w:rsid w:val="14E756D6"/>
    <w:rsid w:val="14FC1368"/>
    <w:rsid w:val="15046A4F"/>
    <w:rsid w:val="15107A3E"/>
    <w:rsid w:val="15257DA7"/>
    <w:rsid w:val="1527196A"/>
    <w:rsid w:val="15285CB1"/>
    <w:rsid w:val="15407A60"/>
    <w:rsid w:val="1547546E"/>
    <w:rsid w:val="154F6607"/>
    <w:rsid w:val="159A2A9E"/>
    <w:rsid w:val="15A841E2"/>
    <w:rsid w:val="15CE1DD3"/>
    <w:rsid w:val="15E2762C"/>
    <w:rsid w:val="160434BC"/>
    <w:rsid w:val="163F2CAE"/>
    <w:rsid w:val="16663DB9"/>
    <w:rsid w:val="167C182F"/>
    <w:rsid w:val="167C26EE"/>
    <w:rsid w:val="16B56AEF"/>
    <w:rsid w:val="16E15B36"/>
    <w:rsid w:val="17057A2A"/>
    <w:rsid w:val="170E3AEC"/>
    <w:rsid w:val="172D7CCE"/>
    <w:rsid w:val="17560DDB"/>
    <w:rsid w:val="175B58E8"/>
    <w:rsid w:val="17877E7A"/>
    <w:rsid w:val="178A3129"/>
    <w:rsid w:val="179201D1"/>
    <w:rsid w:val="17985E27"/>
    <w:rsid w:val="17B30CC5"/>
    <w:rsid w:val="17B434B7"/>
    <w:rsid w:val="17B8106A"/>
    <w:rsid w:val="17CF257F"/>
    <w:rsid w:val="17DF339A"/>
    <w:rsid w:val="17E7717C"/>
    <w:rsid w:val="17F77804"/>
    <w:rsid w:val="180C12F3"/>
    <w:rsid w:val="181E2472"/>
    <w:rsid w:val="18B54B50"/>
    <w:rsid w:val="18D71629"/>
    <w:rsid w:val="18DE6304"/>
    <w:rsid w:val="18E41ED8"/>
    <w:rsid w:val="18E65685"/>
    <w:rsid w:val="18F953B8"/>
    <w:rsid w:val="19466124"/>
    <w:rsid w:val="194E4E0B"/>
    <w:rsid w:val="1967608F"/>
    <w:rsid w:val="196B16E7"/>
    <w:rsid w:val="19A41AAE"/>
    <w:rsid w:val="19AE52C2"/>
    <w:rsid w:val="19CA28B1"/>
    <w:rsid w:val="1A021C2E"/>
    <w:rsid w:val="1A183821"/>
    <w:rsid w:val="1A1F735F"/>
    <w:rsid w:val="1A5564DA"/>
    <w:rsid w:val="1A622AE9"/>
    <w:rsid w:val="1A69031C"/>
    <w:rsid w:val="1A737B8C"/>
    <w:rsid w:val="1A9A4AA1"/>
    <w:rsid w:val="1ABB7BBC"/>
    <w:rsid w:val="1AD63F77"/>
    <w:rsid w:val="1AF70FC5"/>
    <w:rsid w:val="1B302BE8"/>
    <w:rsid w:val="1B311E44"/>
    <w:rsid w:val="1B505038"/>
    <w:rsid w:val="1B901D16"/>
    <w:rsid w:val="1BA710FC"/>
    <w:rsid w:val="1BBE01F3"/>
    <w:rsid w:val="1BE37C5A"/>
    <w:rsid w:val="1BF400B9"/>
    <w:rsid w:val="1BFD3750"/>
    <w:rsid w:val="1C0A42A2"/>
    <w:rsid w:val="1C3913EC"/>
    <w:rsid w:val="1C7A243A"/>
    <w:rsid w:val="1C9D5143"/>
    <w:rsid w:val="1CA61FB7"/>
    <w:rsid w:val="1CB57848"/>
    <w:rsid w:val="1CCC554A"/>
    <w:rsid w:val="1D005039"/>
    <w:rsid w:val="1D0B1216"/>
    <w:rsid w:val="1D145A26"/>
    <w:rsid w:val="1D230C56"/>
    <w:rsid w:val="1D2908C1"/>
    <w:rsid w:val="1D3D2567"/>
    <w:rsid w:val="1D586233"/>
    <w:rsid w:val="1D9D6D46"/>
    <w:rsid w:val="1DD957B9"/>
    <w:rsid w:val="1DE81558"/>
    <w:rsid w:val="1DE978C4"/>
    <w:rsid w:val="1E4A2212"/>
    <w:rsid w:val="1E672DC4"/>
    <w:rsid w:val="1E7874CB"/>
    <w:rsid w:val="1E86502B"/>
    <w:rsid w:val="1E937715"/>
    <w:rsid w:val="1EA66853"/>
    <w:rsid w:val="1ED33FB6"/>
    <w:rsid w:val="1ED878F4"/>
    <w:rsid w:val="1F0A02A8"/>
    <w:rsid w:val="1F334282"/>
    <w:rsid w:val="1FAC462E"/>
    <w:rsid w:val="1FAF67D1"/>
    <w:rsid w:val="1FC61D6D"/>
    <w:rsid w:val="1FC81641"/>
    <w:rsid w:val="1FD61FB0"/>
    <w:rsid w:val="1FE65558"/>
    <w:rsid w:val="2037160E"/>
    <w:rsid w:val="207709E4"/>
    <w:rsid w:val="207B2B57"/>
    <w:rsid w:val="209E05F3"/>
    <w:rsid w:val="20A025BE"/>
    <w:rsid w:val="20AF4712"/>
    <w:rsid w:val="20E53C20"/>
    <w:rsid w:val="20EA55E7"/>
    <w:rsid w:val="20FE7E29"/>
    <w:rsid w:val="2120725A"/>
    <w:rsid w:val="216E26D1"/>
    <w:rsid w:val="2198698A"/>
    <w:rsid w:val="21AD6D40"/>
    <w:rsid w:val="21BF15BD"/>
    <w:rsid w:val="21CF534E"/>
    <w:rsid w:val="21DB7273"/>
    <w:rsid w:val="220B3A67"/>
    <w:rsid w:val="22281D94"/>
    <w:rsid w:val="225418B2"/>
    <w:rsid w:val="22560C5B"/>
    <w:rsid w:val="225F4AB8"/>
    <w:rsid w:val="226513C9"/>
    <w:rsid w:val="229F2EDC"/>
    <w:rsid w:val="22A42708"/>
    <w:rsid w:val="22A90270"/>
    <w:rsid w:val="22B569E9"/>
    <w:rsid w:val="22BB548D"/>
    <w:rsid w:val="22D36EAB"/>
    <w:rsid w:val="230D0531"/>
    <w:rsid w:val="230E1A60"/>
    <w:rsid w:val="238147AE"/>
    <w:rsid w:val="238242BD"/>
    <w:rsid w:val="238735C1"/>
    <w:rsid w:val="239556B2"/>
    <w:rsid w:val="23CD191B"/>
    <w:rsid w:val="240F3CE2"/>
    <w:rsid w:val="243C084F"/>
    <w:rsid w:val="24506BB2"/>
    <w:rsid w:val="2470714F"/>
    <w:rsid w:val="248A5117"/>
    <w:rsid w:val="24947709"/>
    <w:rsid w:val="24DA661A"/>
    <w:rsid w:val="24E915BF"/>
    <w:rsid w:val="24F20F0E"/>
    <w:rsid w:val="2512339A"/>
    <w:rsid w:val="251610A0"/>
    <w:rsid w:val="251B2213"/>
    <w:rsid w:val="255F4A9B"/>
    <w:rsid w:val="25693F9A"/>
    <w:rsid w:val="25880798"/>
    <w:rsid w:val="25AB3597"/>
    <w:rsid w:val="25BC6721"/>
    <w:rsid w:val="25DF5936"/>
    <w:rsid w:val="25E1345C"/>
    <w:rsid w:val="25FF38E2"/>
    <w:rsid w:val="2604539D"/>
    <w:rsid w:val="2606275A"/>
    <w:rsid w:val="261323A8"/>
    <w:rsid w:val="263B734F"/>
    <w:rsid w:val="26442526"/>
    <w:rsid w:val="2644463F"/>
    <w:rsid w:val="26543C2E"/>
    <w:rsid w:val="265D3E18"/>
    <w:rsid w:val="268D5392"/>
    <w:rsid w:val="269353D2"/>
    <w:rsid w:val="26A40624"/>
    <w:rsid w:val="26AE7F5A"/>
    <w:rsid w:val="26DB6AFD"/>
    <w:rsid w:val="26FF20C4"/>
    <w:rsid w:val="27181100"/>
    <w:rsid w:val="2724223C"/>
    <w:rsid w:val="273677D8"/>
    <w:rsid w:val="27457A1B"/>
    <w:rsid w:val="274C3FCA"/>
    <w:rsid w:val="274D4573"/>
    <w:rsid w:val="274F0899"/>
    <w:rsid w:val="2750205B"/>
    <w:rsid w:val="277334B8"/>
    <w:rsid w:val="27821D05"/>
    <w:rsid w:val="27984DD3"/>
    <w:rsid w:val="279B2315"/>
    <w:rsid w:val="27A37FBA"/>
    <w:rsid w:val="27C83DAF"/>
    <w:rsid w:val="27FE20B7"/>
    <w:rsid w:val="281573ED"/>
    <w:rsid w:val="281A4A03"/>
    <w:rsid w:val="28212744"/>
    <w:rsid w:val="282B09BF"/>
    <w:rsid w:val="284941DC"/>
    <w:rsid w:val="284B2E0F"/>
    <w:rsid w:val="286345FC"/>
    <w:rsid w:val="28694B74"/>
    <w:rsid w:val="286E522A"/>
    <w:rsid w:val="28862099"/>
    <w:rsid w:val="28A54C15"/>
    <w:rsid w:val="28AA47B7"/>
    <w:rsid w:val="28B8203E"/>
    <w:rsid w:val="28BC446B"/>
    <w:rsid w:val="28C5140C"/>
    <w:rsid w:val="28C66939"/>
    <w:rsid w:val="28E64C4D"/>
    <w:rsid w:val="292F703A"/>
    <w:rsid w:val="293F6AC5"/>
    <w:rsid w:val="295B52D4"/>
    <w:rsid w:val="299D1B7F"/>
    <w:rsid w:val="299F1664"/>
    <w:rsid w:val="29A03F34"/>
    <w:rsid w:val="29CA4B8D"/>
    <w:rsid w:val="29D01E7C"/>
    <w:rsid w:val="29D740CE"/>
    <w:rsid w:val="29DF0256"/>
    <w:rsid w:val="29F54480"/>
    <w:rsid w:val="2A0911D4"/>
    <w:rsid w:val="2A126E9B"/>
    <w:rsid w:val="2A2102CB"/>
    <w:rsid w:val="2A3D2C2B"/>
    <w:rsid w:val="2A4D10C0"/>
    <w:rsid w:val="2A876D21"/>
    <w:rsid w:val="2A905CE8"/>
    <w:rsid w:val="2A9B65A1"/>
    <w:rsid w:val="2AA71F8F"/>
    <w:rsid w:val="2AD0331D"/>
    <w:rsid w:val="2ADA66CC"/>
    <w:rsid w:val="2B071285"/>
    <w:rsid w:val="2B195446"/>
    <w:rsid w:val="2B230073"/>
    <w:rsid w:val="2B3B25A7"/>
    <w:rsid w:val="2B4029D3"/>
    <w:rsid w:val="2B431031"/>
    <w:rsid w:val="2B71330F"/>
    <w:rsid w:val="2B844FB6"/>
    <w:rsid w:val="2B9C71DF"/>
    <w:rsid w:val="2B9D755D"/>
    <w:rsid w:val="2BAC3761"/>
    <w:rsid w:val="2BAD17F5"/>
    <w:rsid w:val="2BC74EA2"/>
    <w:rsid w:val="2BCA6741"/>
    <w:rsid w:val="2BE71E7D"/>
    <w:rsid w:val="2C1F6A8C"/>
    <w:rsid w:val="2C25459E"/>
    <w:rsid w:val="2C277102"/>
    <w:rsid w:val="2C730B86"/>
    <w:rsid w:val="2C78619D"/>
    <w:rsid w:val="2C7C3EDF"/>
    <w:rsid w:val="2C8578C5"/>
    <w:rsid w:val="2CCB09C2"/>
    <w:rsid w:val="2D123A9F"/>
    <w:rsid w:val="2D124F89"/>
    <w:rsid w:val="2D2877B9"/>
    <w:rsid w:val="2D2C3753"/>
    <w:rsid w:val="2D3C391E"/>
    <w:rsid w:val="2D8A262B"/>
    <w:rsid w:val="2D9139BA"/>
    <w:rsid w:val="2D9F12C1"/>
    <w:rsid w:val="2DA91BDB"/>
    <w:rsid w:val="2DAA05D8"/>
    <w:rsid w:val="2DB87198"/>
    <w:rsid w:val="2DDF4725"/>
    <w:rsid w:val="2E31032F"/>
    <w:rsid w:val="2E330B3F"/>
    <w:rsid w:val="2E331215"/>
    <w:rsid w:val="2E66584D"/>
    <w:rsid w:val="2E6D79D2"/>
    <w:rsid w:val="2E782484"/>
    <w:rsid w:val="2E8D5F30"/>
    <w:rsid w:val="2EBA26F8"/>
    <w:rsid w:val="2EC36428"/>
    <w:rsid w:val="2ED643F9"/>
    <w:rsid w:val="2EDE558F"/>
    <w:rsid w:val="2EEE7155"/>
    <w:rsid w:val="2EFB296D"/>
    <w:rsid w:val="2EFF2BA5"/>
    <w:rsid w:val="2F106B71"/>
    <w:rsid w:val="2F1F0B51"/>
    <w:rsid w:val="2F5E78CC"/>
    <w:rsid w:val="2F6A673D"/>
    <w:rsid w:val="2FA533D6"/>
    <w:rsid w:val="2FCE0D44"/>
    <w:rsid w:val="2FDF7099"/>
    <w:rsid w:val="2FEC4ED7"/>
    <w:rsid w:val="300F20AC"/>
    <w:rsid w:val="301A7EDF"/>
    <w:rsid w:val="30292DEB"/>
    <w:rsid w:val="305701CE"/>
    <w:rsid w:val="30590093"/>
    <w:rsid w:val="307668EC"/>
    <w:rsid w:val="30980BBB"/>
    <w:rsid w:val="30A11B2E"/>
    <w:rsid w:val="30B90E12"/>
    <w:rsid w:val="30C9346B"/>
    <w:rsid w:val="30D47455"/>
    <w:rsid w:val="30D61886"/>
    <w:rsid w:val="30E3452C"/>
    <w:rsid w:val="31077AEF"/>
    <w:rsid w:val="31306024"/>
    <w:rsid w:val="314074DB"/>
    <w:rsid w:val="31454C16"/>
    <w:rsid w:val="31483DFF"/>
    <w:rsid w:val="31666F0B"/>
    <w:rsid w:val="31682C84"/>
    <w:rsid w:val="318D040C"/>
    <w:rsid w:val="31B347D4"/>
    <w:rsid w:val="31C24612"/>
    <w:rsid w:val="31DE5183"/>
    <w:rsid w:val="31E22A36"/>
    <w:rsid w:val="31F46CAC"/>
    <w:rsid w:val="31FB3AF8"/>
    <w:rsid w:val="32073758"/>
    <w:rsid w:val="320C0FA3"/>
    <w:rsid w:val="321078B5"/>
    <w:rsid w:val="323048E9"/>
    <w:rsid w:val="323572CB"/>
    <w:rsid w:val="32493792"/>
    <w:rsid w:val="324F79A0"/>
    <w:rsid w:val="32700042"/>
    <w:rsid w:val="32957AA8"/>
    <w:rsid w:val="32DC5400"/>
    <w:rsid w:val="32E4633A"/>
    <w:rsid w:val="32F00761"/>
    <w:rsid w:val="334C3C6E"/>
    <w:rsid w:val="335072D3"/>
    <w:rsid w:val="337C1C26"/>
    <w:rsid w:val="33BB353F"/>
    <w:rsid w:val="33E55BB9"/>
    <w:rsid w:val="34011EE2"/>
    <w:rsid w:val="34031BE8"/>
    <w:rsid w:val="34050C5E"/>
    <w:rsid w:val="34126D30"/>
    <w:rsid w:val="34311DD7"/>
    <w:rsid w:val="343155AF"/>
    <w:rsid w:val="346E1993"/>
    <w:rsid w:val="34761214"/>
    <w:rsid w:val="347B53E1"/>
    <w:rsid w:val="348A4B70"/>
    <w:rsid w:val="349120A4"/>
    <w:rsid w:val="34AE374B"/>
    <w:rsid w:val="34B90BA2"/>
    <w:rsid w:val="34D10B40"/>
    <w:rsid w:val="34D932CA"/>
    <w:rsid w:val="34E940DB"/>
    <w:rsid w:val="35081201"/>
    <w:rsid w:val="35204D7F"/>
    <w:rsid w:val="354258EB"/>
    <w:rsid w:val="35527ED3"/>
    <w:rsid w:val="3553798F"/>
    <w:rsid w:val="35690D78"/>
    <w:rsid w:val="35747E49"/>
    <w:rsid w:val="357F2070"/>
    <w:rsid w:val="358E07DF"/>
    <w:rsid w:val="359202CF"/>
    <w:rsid w:val="359C3619"/>
    <w:rsid w:val="359C724D"/>
    <w:rsid w:val="359D2410"/>
    <w:rsid w:val="35AD3EF5"/>
    <w:rsid w:val="35B01F13"/>
    <w:rsid w:val="35B07A97"/>
    <w:rsid w:val="35B53B02"/>
    <w:rsid w:val="35D2085D"/>
    <w:rsid w:val="35EB3E83"/>
    <w:rsid w:val="360A4005"/>
    <w:rsid w:val="365B4B65"/>
    <w:rsid w:val="366758E3"/>
    <w:rsid w:val="36877708"/>
    <w:rsid w:val="368C2F70"/>
    <w:rsid w:val="36975214"/>
    <w:rsid w:val="36F80606"/>
    <w:rsid w:val="37064C28"/>
    <w:rsid w:val="370E607B"/>
    <w:rsid w:val="371619FA"/>
    <w:rsid w:val="37173799"/>
    <w:rsid w:val="373C5526"/>
    <w:rsid w:val="3742554F"/>
    <w:rsid w:val="377F4883"/>
    <w:rsid w:val="37837FAD"/>
    <w:rsid w:val="37842204"/>
    <w:rsid w:val="378C593C"/>
    <w:rsid w:val="37B2157F"/>
    <w:rsid w:val="37B7401D"/>
    <w:rsid w:val="37C4498C"/>
    <w:rsid w:val="37CD55EE"/>
    <w:rsid w:val="37D268C3"/>
    <w:rsid w:val="37D95464"/>
    <w:rsid w:val="37ED14A6"/>
    <w:rsid w:val="383F16EE"/>
    <w:rsid w:val="384004B6"/>
    <w:rsid w:val="384A0EEA"/>
    <w:rsid w:val="386D59C9"/>
    <w:rsid w:val="38934A8A"/>
    <w:rsid w:val="38BC6B40"/>
    <w:rsid w:val="38BE762D"/>
    <w:rsid w:val="38C4052C"/>
    <w:rsid w:val="38E5105E"/>
    <w:rsid w:val="38EC05E0"/>
    <w:rsid w:val="38FB43DD"/>
    <w:rsid w:val="39240EF9"/>
    <w:rsid w:val="39241B86"/>
    <w:rsid w:val="39514A69"/>
    <w:rsid w:val="395A4CE6"/>
    <w:rsid w:val="396C7089"/>
    <w:rsid w:val="397C551E"/>
    <w:rsid w:val="39A5464D"/>
    <w:rsid w:val="39C742BF"/>
    <w:rsid w:val="39D011BE"/>
    <w:rsid w:val="39F318FC"/>
    <w:rsid w:val="3A033549"/>
    <w:rsid w:val="3A540249"/>
    <w:rsid w:val="3A6D130B"/>
    <w:rsid w:val="3A7E52C6"/>
    <w:rsid w:val="3A814CE7"/>
    <w:rsid w:val="3A8E2FD1"/>
    <w:rsid w:val="3AB0548E"/>
    <w:rsid w:val="3B4A0C97"/>
    <w:rsid w:val="3B7B756F"/>
    <w:rsid w:val="3B8C371F"/>
    <w:rsid w:val="3B9308FD"/>
    <w:rsid w:val="3B932274"/>
    <w:rsid w:val="3BC87466"/>
    <w:rsid w:val="3C047A4D"/>
    <w:rsid w:val="3C330E39"/>
    <w:rsid w:val="3C5F6349"/>
    <w:rsid w:val="3C9C5ED7"/>
    <w:rsid w:val="3CA1529C"/>
    <w:rsid w:val="3CB90837"/>
    <w:rsid w:val="3CC316B6"/>
    <w:rsid w:val="3D186A9A"/>
    <w:rsid w:val="3D2863CE"/>
    <w:rsid w:val="3D361E88"/>
    <w:rsid w:val="3D434B2C"/>
    <w:rsid w:val="3D5545C4"/>
    <w:rsid w:val="3D9B1CEB"/>
    <w:rsid w:val="3DAF7400"/>
    <w:rsid w:val="3DC366D4"/>
    <w:rsid w:val="3DC47494"/>
    <w:rsid w:val="3DD4014F"/>
    <w:rsid w:val="3DE40001"/>
    <w:rsid w:val="3DEB4A20"/>
    <w:rsid w:val="3E421737"/>
    <w:rsid w:val="3E66679D"/>
    <w:rsid w:val="3E801498"/>
    <w:rsid w:val="3EAE0A50"/>
    <w:rsid w:val="3ED4389D"/>
    <w:rsid w:val="3EE37DED"/>
    <w:rsid w:val="3EFB0E15"/>
    <w:rsid w:val="3F106FC1"/>
    <w:rsid w:val="3F1C33C6"/>
    <w:rsid w:val="3F3F5481"/>
    <w:rsid w:val="3F416569"/>
    <w:rsid w:val="3F444DCC"/>
    <w:rsid w:val="3F5900B0"/>
    <w:rsid w:val="3F6A0E3E"/>
    <w:rsid w:val="3F7C37F0"/>
    <w:rsid w:val="3F90288C"/>
    <w:rsid w:val="3FDA5E5F"/>
    <w:rsid w:val="3FE67FE4"/>
    <w:rsid w:val="3FF52B85"/>
    <w:rsid w:val="401235A2"/>
    <w:rsid w:val="402E6E46"/>
    <w:rsid w:val="40305DE9"/>
    <w:rsid w:val="405B25D0"/>
    <w:rsid w:val="405B2F81"/>
    <w:rsid w:val="40677565"/>
    <w:rsid w:val="407E22C6"/>
    <w:rsid w:val="4085006C"/>
    <w:rsid w:val="409018AF"/>
    <w:rsid w:val="40CD3ADB"/>
    <w:rsid w:val="40D907A9"/>
    <w:rsid w:val="40FC6F44"/>
    <w:rsid w:val="41016D9A"/>
    <w:rsid w:val="410C4A5A"/>
    <w:rsid w:val="4125649B"/>
    <w:rsid w:val="41365678"/>
    <w:rsid w:val="414508EB"/>
    <w:rsid w:val="4162149D"/>
    <w:rsid w:val="41692D8E"/>
    <w:rsid w:val="416D399E"/>
    <w:rsid w:val="417325FA"/>
    <w:rsid w:val="41973319"/>
    <w:rsid w:val="41AA4BF2"/>
    <w:rsid w:val="41BE41FA"/>
    <w:rsid w:val="41C55586"/>
    <w:rsid w:val="41D63C39"/>
    <w:rsid w:val="41E424CB"/>
    <w:rsid w:val="41F0088E"/>
    <w:rsid w:val="42060270"/>
    <w:rsid w:val="420C765B"/>
    <w:rsid w:val="42164036"/>
    <w:rsid w:val="42224789"/>
    <w:rsid w:val="422E75D1"/>
    <w:rsid w:val="42336996"/>
    <w:rsid w:val="42745016"/>
    <w:rsid w:val="42815953"/>
    <w:rsid w:val="429A6A15"/>
    <w:rsid w:val="42F04887"/>
    <w:rsid w:val="42F52E10"/>
    <w:rsid w:val="43010842"/>
    <w:rsid w:val="432A2540"/>
    <w:rsid w:val="43302ED5"/>
    <w:rsid w:val="433441F5"/>
    <w:rsid w:val="433C5D1E"/>
    <w:rsid w:val="434A2E43"/>
    <w:rsid w:val="43776D56"/>
    <w:rsid w:val="43A40672"/>
    <w:rsid w:val="43B84D02"/>
    <w:rsid w:val="43C24475"/>
    <w:rsid w:val="441B1DD7"/>
    <w:rsid w:val="4420119C"/>
    <w:rsid w:val="443413B8"/>
    <w:rsid w:val="444E5D09"/>
    <w:rsid w:val="445F1CC4"/>
    <w:rsid w:val="44613C8E"/>
    <w:rsid w:val="44767046"/>
    <w:rsid w:val="4484172B"/>
    <w:rsid w:val="4485565B"/>
    <w:rsid w:val="44D53D34"/>
    <w:rsid w:val="44D65450"/>
    <w:rsid w:val="44D81A76"/>
    <w:rsid w:val="4513605A"/>
    <w:rsid w:val="453A708B"/>
    <w:rsid w:val="454D157F"/>
    <w:rsid w:val="45975B03"/>
    <w:rsid w:val="45B03EB7"/>
    <w:rsid w:val="45B97A0D"/>
    <w:rsid w:val="45BC3925"/>
    <w:rsid w:val="45CA7611"/>
    <w:rsid w:val="45E22BAD"/>
    <w:rsid w:val="45EC1356"/>
    <w:rsid w:val="45FF0D12"/>
    <w:rsid w:val="46024FFD"/>
    <w:rsid w:val="462C3956"/>
    <w:rsid w:val="462D194E"/>
    <w:rsid w:val="4642364B"/>
    <w:rsid w:val="46770DD1"/>
    <w:rsid w:val="468B4FF2"/>
    <w:rsid w:val="46916381"/>
    <w:rsid w:val="4698770F"/>
    <w:rsid w:val="46DD36B0"/>
    <w:rsid w:val="470440CB"/>
    <w:rsid w:val="47262F6D"/>
    <w:rsid w:val="47264F1F"/>
    <w:rsid w:val="472D73FF"/>
    <w:rsid w:val="47443E67"/>
    <w:rsid w:val="47680E90"/>
    <w:rsid w:val="47851633"/>
    <w:rsid w:val="47863A0C"/>
    <w:rsid w:val="479E0D55"/>
    <w:rsid w:val="47C22C96"/>
    <w:rsid w:val="48037958"/>
    <w:rsid w:val="481102EC"/>
    <w:rsid w:val="4844455D"/>
    <w:rsid w:val="48561B05"/>
    <w:rsid w:val="485D2A1D"/>
    <w:rsid w:val="48735DEA"/>
    <w:rsid w:val="487D4E0F"/>
    <w:rsid w:val="48C65BBD"/>
    <w:rsid w:val="48D401DB"/>
    <w:rsid w:val="48E43864"/>
    <w:rsid w:val="48FF4C06"/>
    <w:rsid w:val="49AC1650"/>
    <w:rsid w:val="49D04453"/>
    <w:rsid w:val="4A186047"/>
    <w:rsid w:val="4A233794"/>
    <w:rsid w:val="4A2F37DA"/>
    <w:rsid w:val="4A6022F2"/>
    <w:rsid w:val="4A801B89"/>
    <w:rsid w:val="4A83308A"/>
    <w:rsid w:val="4A8B215B"/>
    <w:rsid w:val="4A8D1475"/>
    <w:rsid w:val="4A965D14"/>
    <w:rsid w:val="4AB31D2A"/>
    <w:rsid w:val="4AC66295"/>
    <w:rsid w:val="4ADD7DE7"/>
    <w:rsid w:val="4AE616BF"/>
    <w:rsid w:val="4B1F21AD"/>
    <w:rsid w:val="4B2F78B4"/>
    <w:rsid w:val="4B6416C5"/>
    <w:rsid w:val="4B6D3D6F"/>
    <w:rsid w:val="4B6F1D2F"/>
    <w:rsid w:val="4BA80997"/>
    <w:rsid w:val="4BEB79AC"/>
    <w:rsid w:val="4BEC6B31"/>
    <w:rsid w:val="4C2A705C"/>
    <w:rsid w:val="4C480FC0"/>
    <w:rsid w:val="4C51283A"/>
    <w:rsid w:val="4C771B75"/>
    <w:rsid w:val="4CAA30EC"/>
    <w:rsid w:val="4CC62D22"/>
    <w:rsid w:val="4CC748AA"/>
    <w:rsid w:val="4CDC4199"/>
    <w:rsid w:val="4CE74F4D"/>
    <w:rsid w:val="4CE76CFB"/>
    <w:rsid w:val="4D0F1E57"/>
    <w:rsid w:val="4D1F6494"/>
    <w:rsid w:val="4D2A4601"/>
    <w:rsid w:val="4D453A21"/>
    <w:rsid w:val="4D6E13CC"/>
    <w:rsid w:val="4D6F2CBC"/>
    <w:rsid w:val="4D7F0662"/>
    <w:rsid w:val="4D8E1BE9"/>
    <w:rsid w:val="4D942922"/>
    <w:rsid w:val="4D962288"/>
    <w:rsid w:val="4E691C13"/>
    <w:rsid w:val="4E775E5C"/>
    <w:rsid w:val="4E7C1E40"/>
    <w:rsid w:val="4E8161A0"/>
    <w:rsid w:val="4EA0023D"/>
    <w:rsid w:val="4EA50661"/>
    <w:rsid w:val="4EC04089"/>
    <w:rsid w:val="4EDD6607"/>
    <w:rsid w:val="4F0E71A9"/>
    <w:rsid w:val="4F443F90"/>
    <w:rsid w:val="4F56149D"/>
    <w:rsid w:val="4F613985"/>
    <w:rsid w:val="4F822D0B"/>
    <w:rsid w:val="4FA17635"/>
    <w:rsid w:val="4FC357FD"/>
    <w:rsid w:val="4FDB73C7"/>
    <w:rsid w:val="4FFD135F"/>
    <w:rsid w:val="500D6A78"/>
    <w:rsid w:val="50102255"/>
    <w:rsid w:val="50562F56"/>
    <w:rsid w:val="505A77E4"/>
    <w:rsid w:val="505F79DB"/>
    <w:rsid w:val="507B4249"/>
    <w:rsid w:val="507D6D29"/>
    <w:rsid w:val="50895C9C"/>
    <w:rsid w:val="50A53155"/>
    <w:rsid w:val="50A55003"/>
    <w:rsid w:val="50AA2368"/>
    <w:rsid w:val="50B4234B"/>
    <w:rsid w:val="50BC7862"/>
    <w:rsid w:val="50C4588F"/>
    <w:rsid w:val="50C8299F"/>
    <w:rsid w:val="50ED0658"/>
    <w:rsid w:val="50EF0631"/>
    <w:rsid w:val="50FD56B8"/>
    <w:rsid w:val="510B1CEC"/>
    <w:rsid w:val="512E46A0"/>
    <w:rsid w:val="514F3B23"/>
    <w:rsid w:val="51752B27"/>
    <w:rsid w:val="51FA74D0"/>
    <w:rsid w:val="521265C8"/>
    <w:rsid w:val="5217598C"/>
    <w:rsid w:val="52181704"/>
    <w:rsid w:val="524E4E27"/>
    <w:rsid w:val="5271432D"/>
    <w:rsid w:val="52895E25"/>
    <w:rsid w:val="52CB49C9"/>
    <w:rsid w:val="52E16E11"/>
    <w:rsid w:val="52E31D12"/>
    <w:rsid w:val="52EB0BC7"/>
    <w:rsid w:val="52ED43B9"/>
    <w:rsid w:val="52F65C9A"/>
    <w:rsid w:val="53526B93"/>
    <w:rsid w:val="535F3A8F"/>
    <w:rsid w:val="53672256"/>
    <w:rsid w:val="537961D3"/>
    <w:rsid w:val="539114A7"/>
    <w:rsid w:val="53966D85"/>
    <w:rsid w:val="53A304DF"/>
    <w:rsid w:val="53AE131D"/>
    <w:rsid w:val="53B607BB"/>
    <w:rsid w:val="53B910B5"/>
    <w:rsid w:val="53D55AFF"/>
    <w:rsid w:val="5402441A"/>
    <w:rsid w:val="540D4963"/>
    <w:rsid w:val="541B38DD"/>
    <w:rsid w:val="542064A7"/>
    <w:rsid w:val="54520EFE"/>
    <w:rsid w:val="547D39E4"/>
    <w:rsid w:val="548D1853"/>
    <w:rsid w:val="548F677C"/>
    <w:rsid w:val="54B03E76"/>
    <w:rsid w:val="54BE2A37"/>
    <w:rsid w:val="54BF230B"/>
    <w:rsid w:val="54CB09CC"/>
    <w:rsid w:val="54D46A7D"/>
    <w:rsid w:val="54D82313"/>
    <w:rsid w:val="54E46D71"/>
    <w:rsid w:val="551663CF"/>
    <w:rsid w:val="55266A8D"/>
    <w:rsid w:val="55333061"/>
    <w:rsid w:val="55383A98"/>
    <w:rsid w:val="554271C4"/>
    <w:rsid w:val="55664CBF"/>
    <w:rsid w:val="55680542"/>
    <w:rsid w:val="556E7FB9"/>
    <w:rsid w:val="55765394"/>
    <w:rsid w:val="55857916"/>
    <w:rsid w:val="559346D9"/>
    <w:rsid w:val="55AD5BDD"/>
    <w:rsid w:val="55AE6607"/>
    <w:rsid w:val="55CD5ACF"/>
    <w:rsid w:val="55D3606E"/>
    <w:rsid w:val="55DE5AA4"/>
    <w:rsid w:val="55E7676A"/>
    <w:rsid w:val="55F2324D"/>
    <w:rsid w:val="56304F01"/>
    <w:rsid w:val="563D4E84"/>
    <w:rsid w:val="56667E72"/>
    <w:rsid w:val="56717635"/>
    <w:rsid w:val="568421D1"/>
    <w:rsid w:val="56A45C5C"/>
    <w:rsid w:val="56BB3A79"/>
    <w:rsid w:val="56E147BB"/>
    <w:rsid w:val="56E44B68"/>
    <w:rsid w:val="56EB388B"/>
    <w:rsid w:val="56F928BE"/>
    <w:rsid w:val="57365C7F"/>
    <w:rsid w:val="57383CAF"/>
    <w:rsid w:val="574E77D1"/>
    <w:rsid w:val="575813E7"/>
    <w:rsid w:val="5760720F"/>
    <w:rsid w:val="576B2D7A"/>
    <w:rsid w:val="57771BE3"/>
    <w:rsid w:val="57923D07"/>
    <w:rsid w:val="57C93927"/>
    <w:rsid w:val="57D06D4F"/>
    <w:rsid w:val="57E75E01"/>
    <w:rsid w:val="580B0EAB"/>
    <w:rsid w:val="5829793B"/>
    <w:rsid w:val="583A29FB"/>
    <w:rsid w:val="584119B5"/>
    <w:rsid w:val="58855104"/>
    <w:rsid w:val="58C10E87"/>
    <w:rsid w:val="58CC166E"/>
    <w:rsid w:val="591E5852"/>
    <w:rsid w:val="5927426C"/>
    <w:rsid w:val="592B4413"/>
    <w:rsid w:val="59352B9C"/>
    <w:rsid w:val="59481412"/>
    <w:rsid w:val="59562C77"/>
    <w:rsid w:val="595C45CC"/>
    <w:rsid w:val="595D7221"/>
    <w:rsid w:val="596D67DA"/>
    <w:rsid w:val="597617D2"/>
    <w:rsid w:val="597948E4"/>
    <w:rsid w:val="597F1F2A"/>
    <w:rsid w:val="59BC4FED"/>
    <w:rsid w:val="59CF2FF0"/>
    <w:rsid w:val="59D40607"/>
    <w:rsid w:val="59D625D1"/>
    <w:rsid w:val="5A1B6236"/>
    <w:rsid w:val="5A2562BC"/>
    <w:rsid w:val="5A291356"/>
    <w:rsid w:val="5A4D7DAF"/>
    <w:rsid w:val="5A70032F"/>
    <w:rsid w:val="5A731BCE"/>
    <w:rsid w:val="5A744D96"/>
    <w:rsid w:val="5AAE070E"/>
    <w:rsid w:val="5AB43A17"/>
    <w:rsid w:val="5ACE5056"/>
    <w:rsid w:val="5AED1980"/>
    <w:rsid w:val="5AF56A87"/>
    <w:rsid w:val="5B222786"/>
    <w:rsid w:val="5B4D2EC1"/>
    <w:rsid w:val="5B501B3A"/>
    <w:rsid w:val="5B571F8E"/>
    <w:rsid w:val="5B99781D"/>
    <w:rsid w:val="5BC00E43"/>
    <w:rsid w:val="5BC50747"/>
    <w:rsid w:val="5BCA10E8"/>
    <w:rsid w:val="5BCB39E8"/>
    <w:rsid w:val="5BDF5215"/>
    <w:rsid w:val="5BF136F2"/>
    <w:rsid w:val="5BF907F8"/>
    <w:rsid w:val="5BFB631F"/>
    <w:rsid w:val="5C871960"/>
    <w:rsid w:val="5C9E149B"/>
    <w:rsid w:val="5CB1567D"/>
    <w:rsid w:val="5CB73713"/>
    <w:rsid w:val="5CBE2543"/>
    <w:rsid w:val="5CC13ECF"/>
    <w:rsid w:val="5D0463D2"/>
    <w:rsid w:val="5D0E5901"/>
    <w:rsid w:val="5D417657"/>
    <w:rsid w:val="5D720CED"/>
    <w:rsid w:val="5D777C27"/>
    <w:rsid w:val="5D7C33B3"/>
    <w:rsid w:val="5DA27EEB"/>
    <w:rsid w:val="5DB43C38"/>
    <w:rsid w:val="5DB53F06"/>
    <w:rsid w:val="5DB8605A"/>
    <w:rsid w:val="5DCC7F73"/>
    <w:rsid w:val="5DE828D3"/>
    <w:rsid w:val="5DFB2CE6"/>
    <w:rsid w:val="5E180BAB"/>
    <w:rsid w:val="5E227B93"/>
    <w:rsid w:val="5E2A537C"/>
    <w:rsid w:val="5E4D1784"/>
    <w:rsid w:val="5E6F08FE"/>
    <w:rsid w:val="5E790DDF"/>
    <w:rsid w:val="5E9129FF"/>
    <w:rsid w:val="5EAA0B3D"/>
    <w:rsid w:val="5EAE1426"/>
    <w:rsid w:val="5EB8561F"/>
    <w:rsid w:val="5EC724E8"/>
    <w:rsid w:val="5ED05841"/>
    <w:rsid w:val="5ED32FCA"/>
    <w:rsid w:val="5EDB47BE"/>
    <w:rsid w:val="5EEE62D3"/>
    <w:rsid w:val="5EF37781"/>
    <w:rsid w:val="5EF7101F"/>
    <w:rsid w:val="5F0B6E44"/>
    <w:rsid w:val="5F426E42"/>
    <w:rsid w:val="5F4F1DBC"/>
    <w:rsid w:val="5FA447DA"/>
    <w:rsid w:val="5FAD4C7C"/>
    <w:rsid w:val="5FB27537"/>
    <w:rsid w:val="5FCA2E7D"/>
    <w:rsid w:val="5FE07D05"/>
    <w:rsid w:val="5FE54626"/>
    <w:rsid w:val="5FEE7A27"/>
    <w:rsid w:val="5FFE40C5"/>
    <w:rsid w:val="600357A2"/>
    <w:rsid w:val="60422732"/>
    <w:rsid w:val="605129B1"/>
    <w:rsid w:val="60536729"/>
    <w:rsid w:val="60755A9B"/>
    <w:rsid w:val="60900422"/>
    <w:rsid w:val="60C05441"/>
    <w:rsid w:val="60D50312"/>
    <w:rsid w:val="60DD2497"/>
    <w:rsid w:val="60E26F9B"/>
    <w:rsid w:val="60F46ADC"/>
    <w:rsid w:val="61040363"/>
    <w:rsid w:val="61065C21"/>
    <w:rsid w:val="61105494"/>
    <w:rsid w:val="611063C8"/>
    <w:rsid w:val="61120889"/>
    <w:rsid w:val="611D0AE5"/>
    <w:rsid w:val="614E5143"/>
    <w:rsid w:val="615D3495"/>
    <w:rsid w:val="615D7134"/>
    <w:rsid w:val="61606F07"/>
    <w:rsid w:val="616927E9"/>
    <w:rsid w:val="61832F32"/>
    <w:rsid w:val="61BC1D0D"/>
    <w:rsid w:val="61BF22B1"/>
    <w:rsid w:val="61E03DC5"/>
    <w:rsid w:val="61E96DB8"/>
    <w:rsid w:val="61FB0E26"/>
    <w:rsid w:val="621041A6"/>
    <w:rsid w:val="62121232"/>
    <w:rsid w:val="623405FC"/>
    <w:rsid w:val="626B6509"/>
    <w:rsid w:val="628232F6"/>
    <w:rsid w:val="62C50B89"/>
    <w:rsid w:val="62D1322E"/>
    <w:rsid w:val="62D653F0"/>
    <w:rsid w:val="62F85366"/>
    <w:rsid w:val="62FD2FBC"/>
    <w:rsid w:val="63116428"/>
    <w:rsid w:val="63133F4E"/>
    <w:rsid w:val="631411D3"/>
    <w:rsid w:val="632E2B36"/>
    <w:rsid w:val="6331783B"/>
    <w:rsid w:val="63367FF0"/>
    <w:rsid w:val="635A5D45"/>
    <w:rsid w:val="636E0BBA"/>
    <w:rsid w:val="639C03D9"/>
    <w:rsid w:val="63EF4F8A"/>
    <w:rsid w:val="63FA25AE"/>
    <w:rsid w:val="64061766"/>
    <w:rsid w:val="642A59F3"/>
    <w:rsid w:val="643248A8"/>
    <w:rsid w:val="64357EF4"/>
    <w:rsid w:val="64422EE1"/>
    <w:rsid w:val="644F0FB6"/>
    <w:rsid w:val="64601415"/>
    <w:rsid w:val="64660DE2"/>
    <w:rsid w:val="64670975"/>
    <w:rsid w:val="64995609"/>
    <w:rsid w:val="64A5151D"/>
    <w:rsid w:val="64AE3D29"/>
    <w:rsid w:val="64BA7ECF"/>
    <w:rsid w:val="64BB2AEF"/>
    <w:rsid w:val="64D05306"/>
    <w:rsid w:val="65051FBC"/>
    <w:rsid w:val="65181BD5"/>
    <w:rsid w:val="656B62C3"/>
    <w:rsid w:val="65804A46"/>
    <w:rsid w:val="65C47781"/>
    <w:rsid w:val="65E648F1"/>
    <w:rsid w:val="660051BA"/>
    <w:rsid w:val="660E1AAD"/>
    <w:rsid w:val="661577FC"/>
    <w:rsid w:val="665054B9"/>
    <w:rsid w:val="66A36C22"/>
    <w:rsid w:val="66D40875"/>
    <w:rsid w:val="66D9725C"/>
    <w:rsid w:val="66ED7B69"/>
    <w:rsid w:val="66FB505F"/>
    <w:rsid w:val="67566AFF"/>
    <w:rsid w:val="676C7569"/>
    <w:rsid w:val="67992784"/>
    <w:rsid w:val="67A8307F"/>
    <w:rsid w:val="67B24074"/>
    <w:rsid w:val="67B33F51"/>
    <w:rsid w:val="67C73611"/>
    <w:rsid w:val="67FA4F92"/>
    <w:rsid w:val="68294213"/>
    <w:rsid w:val="682A7219"/>
    <w:rsid w:val="682E182A"/>
    <w:rsid w:val="688E52F4"/>
    <w:rsid w:val="6897117D"/>
    <w:rsid w:val="6898186F"/>
    <w:rsid w:val="68A5554E"/>
    <w:rsid w:val="68AC32D7"/>
    <w:rsid w:val="68B50CC9"/>
    <w:rsid w:val="68E402E6"/>
    <w:rsid w:val="68F260D2"/>
    <w:rsid w:val="690E39BB"/>
    <w:rsid w:val="693B7D5A"/>
    <w:rsid w:val="693D512A"/>
    <w:rsid w:val="693D7F76"/>
    <w:rsid w:val="695A4FEC"/>
    <w:rsid w:val="69AD360D"/>
    <w:rsid w:val="69FF3DA6"/>
    <w:rsid w:val="6A243740"/>
    <w:rsid w:val="6A366FE5"/>
    <w:rsid w:val="6A5F216E"/>
    <w:rsid w:val="6AA36162"/>
    <w:rsid w:val="6AD44117"/>
    <w:rsid w:val="6AE34B4E"/>
    <w:rsid w:val="6AF40B09"/>
    <w:rsid w:val="6B13267C"/>
    <w:rsid w:val="6B160FA9"/>
    <w:rsid w:val="6B2F4279"/>
    <w:rsid w:val="6B321631"/>
    <w:rsid w:val="6B431148"/>
    <w:rsid w:val="6B5B6CFE"/>
    <w:rsid w:val="6B6C4B43"/>
    <w:rsid w:val="6B945283"/>
    <w:rsid w:val="6B9C3DDF"/>
    <w:rsid w:val="6BBF4BA6"/>
    <w:rsid w:val="6BF07E63"/>
    <w:rsid w:val="6C4050F1"/>
    <w:rsid w:val="6C6E29DA"/>
    <w:rsid w:val="6C9E0DB3"/>
    <w:rsid w:val="6CB54907"/>
    <w:rsid w:val="6D013069"/>
    <w:rsid w:val="6D082649"/>
    <w:rsid w:val="6D504638"/>
    <w:rsid w:val="6D635AD2"/>
    <w:rsid w:val="6D6D4BA2"/>
    <w:rsid w:val="6DA7180D"/>
    <w:rsid w:val="6DB8406F"/>
    <w:rsid w:val="6DC43DA1"/>
    <w:rsid w:val="6DD24A05"/>
    <w:rsid w:val="6DD449ED"/>
    <w:rsid w:val="6DFC778C"/>
    <w:rsid w:val="6E1F620B"/>
    <w:rsid w:val="6E2B2A93"/>
    <w:rsid w:val="6E386F5E"/>
    <w:rsid w:val="6E3B6A4F"/>
    <w:rsid w:val="6E4C714B"/>
    <w:rsid w:val="6E781A51"/>
    <w:rsid w:val="6E7C664C"/>
    <w:rsid w:val="6E9A19C7"/>
    <w:rsid w:val="6ED63281"/>
    <w:rsid w:val="6EE60768"/>
    <w:rsid w:val="6F174245"/>
    <w:rsid w:val="6F240E42"/>
    <w:rsid w:val="6F2431DF"/>
    <w:rsid w:val="6F433E0D"/>
    <w:rsid w:val="6F516A80"/>
    <w:rsid w:val="6F605F58"/>
    <w:rsid w:val="6F7A525E"/>
    <w:rsid w:val="6F8E6C1A"/>
    <w:rsid w:val="6FB71DDC"/>
    <w:rsid w:val="6FD627D5"/>
    <w:rsid w:val="702F4391"/>
    <w:rsid w:val="70412229"/>
    <w:rsid w:val="70713A5C"/>
    <w:rsid w:val="709A4F16"/>
    <w:rsid w:val="70A46938"/>
    <w:rsid w:val="70EF59EB"/>
    <w:rsid w:val="70FE448F"/>
    <w:rsid w:val="710018CC"/>
    <w:rsid w:val="711909E1"/>
    <w:rsid w:val="711C5DC8"/>
    <w:rsid w:val="71284FD1"/>
    <w:rsid w:val="713734FD"/>
    <w:rsid w:val="71813699"/>
    <w:rsid w:val="71834994"/>
    <w:rsid w:val="71940794"/>
    <w:rsid w:val="71BC42C1"/>
    <w:rsid w:val="71E010FD"/>
    <w:rsid w:val="72037883"/>
    <w:rsid w:val="721C6DB2"/>
    <w:rsid w:val="725310CC"/>
    <w:rsid w:val="72541E8D"/>
    <w:rsid w:val="72563E57"/>
    <w:rsid w:val="725F3E95"/>
    <w:rsid w:val="728128F3"/>
    <w:rsid w:val="72827E86"/>
    <w:rsid w:val="72867401"/>
    <w:rsid w:val="72885C0F"/>
    <w:rsid w:val="728F706D"/>
    <w:rsid w:val="72996FB8"/>
    <w:rsid w:val="72A30C7F"/>
    <w:rsid w:val="72A5093A"/>
    <w:rsid w:val="72A51592"/>
    <w:rsid w:val="72BC2E84"/>
    <w:rsid w:val="72C708B1"/>
    <w:rsid w:val="72E13807"/>
    <w:rsid w:val="72F718BE"/>
    <w:rsid w:val="72F961E7"/>
    <w:rsid w:val="730B275B"/>
    <w:rsid w:val="732763F5"/>
    <w:rsid w:val="733F6699"/>
    <w:rsid w:val="73465C7A"/>
    <w:rsid w:val="734E295C"/>
    <w:rsid w:val="73922672"/>
    <w:rsid w:val="739B64E9"/>
    <w:rsid w:val="73AD3F4B"/>
    <w:rsid w:val="73B3673E"/>
    <w:rsid w:val="73C82B32"/>
    <w:rsid w:val="741E1EA8"/>
    <w:rsid w:val="74257F85"/>
    <w:rsid w:val="7443665D"/>
    <w:rsid w:val="744B676F"/>
    <w:rsid w:val="74751701"/>
    <w:rsid w:val="747751A4"/>
    <w:rsid w:val="748A0524"/>
    <w:rsid w:val="748B051E"/>
    <w:rsid w:val="74CD7E40"/>
    <w:rsid w:val="74DC3800"/>
    <w:rsid w:val="74DF6386"/>
    <w:rsid w:val="74F82FA3"/>
    <w:rsid w:val="75510906"/>
    <w:rsid w:val="756923C9"/>
    <w:rsid w:val="756F3792"/>
    <w:rsid w:val="759F78C3"/>
    <w:rsid w:val="75C80BC8"/>
    <w:rsid w:val="75DE488F"/>
    <w:rsid w:val="75E31EA6"/>
    <w:rsid w:val="75E579CC"/>
    <w:rsid w:val="75F01C92"/>
    <w:rsid w:val="76281A9E"/>
    <w:rsid w:val="762A3629"/>
    <w:rsid w:val="764C2CEE"/>
    <w:rsid w:val="76612994"/>
    <w:rsid w:val="76635BA9"/>
    <w:rsid w:val="766521BF"/>
    <w:rsid w:val="76666DE6"/>
    <w:rsid w:val="768A068B"/>
    <w:rsid w:val="76A827A7"/>
    <w:rsid w:val="76A855A8"/>
    <w:rsid w:val="76D421E8"/>
    <w:rsid w:val="76FB321F"/>
    <w:rsid w:val="76FD6F97"/>
    <w:rsid w:val="77145783"/>
    <w:rsid w:val="77170059"/>
    <w:rsid w:val="77250108"/>
    <w:rsid w:val="773E213F"/>
    <w:rsid w:val="773F4EBA"/>
    <w:rsid w:val="774F13C6"/>
    <w:rsid w:val="77985E5E"/>
    <w:rsid w:val="77A77766"/>
    <w:rsid w:val="77BF424C"/>
    <w:rsid w:val="77C3470A"/>
    <w:rsid w:val="77D53A70"/>
    <w:rsid w:val="77EE6DD5"/>
    <w:rsid w:val="78283BA0"/>
    <w:rsid w:val="78620798"/>
    <w:rsid w:val="789467A1"/>
    <w:rsid w:val="78CC4E73"/>
    <w:rsid w:val="78CF789F"/>
    <w:rsid w:val="78E21FA1"/>
    <w:rsid w:val="790B487C"/>
    <w:rsid w:val="79254583"/>
    <w:rsid w:val="797A042B"/>
    <w:rsid w:val="797D5CF8"/>
    <w:rsid w:val="7984574E"/>
    <w:rsid w:val="79D13BE6"/>
    <w:rsid w:val="7A097A01"/>
    <w:rsid w:val="7A0B3779"/>
    <w:rsid w:val="7A1A52C9"/>
    <w:rsid w:val="7A2605B3"/>
    <w:rsid w:val="7A4E3666"/>
    <w:rsid w:val="7A5C53A7"/>
    <w:rsid w:val="7A83405B"/>
    <w:rsid w:val="7A897603"/>
    <w:rsid w:val="7AC05D23"/>
    <w:rsid w:val="7ACB0265"/>
    <w:rsid w:val="7ACF0C29"/>
    <w:rsid w:val="7AF745AA"/>
    <w:rsid w:val="7B1623D5"/>
    <w:rsid w:val="7B1D19B6"/>
    <w:rsid w:val="7B276391"/>
    <w:rsid w:val="7B486307"/>
    <w:rsid w:val="7B4D2C6C"/>
    <w:rsid w:val="7B937ECA"/>
    <w:rsid w:val="7BA61FA1"/>
    <w:rsid w:val="7BB92E7D"/>
    <w:rsid w:val="7BBB62EC"/>
    <w:rsid w:val="7BF81ADB"/>
    <w:rsid w:val="7C433F8A"/>
    <w:rsid w:val="7C5331B5"/>
    <w:rsid w:val="7C63789C"/>
    <w:rsid w:val="7C7B758C"/>
    <w:rsid w:val="7C7D2C09"/>
    <w:rsid w:val="7C811052"/>
    <w:rsid w:val="7D1D3EEF"/>
    <w:rsid w:val="7D1F0C5F"/>
    <w:rsid w:val="7D56683F"/>
    <w:rsid w:val="7D67516A"/>
    <w:rsid w:val="7DA36220"/>
    <w:rsid w:val="7DAC0DCF"/>
    <w:rsid w:val="7DBF0DE0"/>
    <w:rsid w:val="7DDD542C"/>
    <w:rsid w:val="7DE66169"/>
    <w:rsid w:val="7DF5150A"/>
    <w:rsid w:val="7DF6029C"/>
    <w:rsid w:val="7E0B3D48"/>
    <w:rsid w:val="7E47731B"/>
    <w:rsid w:val="7E4F463C"/>
    <w:rsid w:val="7E526CD3"/>
    <w:rsid w:val="7E645B88"/>
    <w:rsid w:val="7E696CC0"/>
    <w:rsid w:val="7E76666C"/>
    <w:rsid w:val="7EA87DD3"/>
    <w:rsid w:val="7EEE3685"/>
    <w:rsid w:val="7F075501"/>
    <w:rsid w:val="7F3B4C8F"/>
    <w:rsid w:val="7F444EDD"/>
    <w:rsid w:val="7F527AE0"/>
    <w:rsid w:val="7F5923A2"/>
    <w:rsid w:val="7F6E05FC"/>
    <w:rsid w:val="7F6E0A32"/>
    <w:rsid w:val="7F9B4D02"/>
    <w:rsid w:val="7FB421BD"/>
    <w:rsid w:val="7FDF723A"/>
    <w:rsid w:val="7FF06E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42"/>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43"/>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44"/>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31">
    <w:name w:val="Default Paragraph Font"/>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5"/>
    </w:pPr>
    <w:rPr>
      <w:rFonts w:ascii="Times New Roman" w:hAnsi="Times New Roman" w:eastAsia="宋体" w:cs="Times New Roman"/>
      <w:szCs w:val="20"/>
    </w:rPr>
  </w:style>
  <w:style w:type="paragraph" w:customStyle="1" w:styleId="7">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8">
    <w:name w:val="caption"/>
    <w:basedOn w:val="1"/>
    <w:next w:val="1"/>
    <w:qFormat/>
    <w:uiPriority w:val="0"/>
    <w:rPr>
      <w:rFonts w:ascii="Arial" w:hAnsi="Arial" w:eastAsia="黑体" w:cs="Arial"/>
      <w:sz w:val="20"/>
      <w:szCs w:val="20"/>
    </w:rPr>
  </w:style>
  <w:style w:type="paragraph" w:styleId="9">
    <w:name w:val="annotation text"/>
    <w:basedOn w:val="1"/>
    <w:link w:val="75"/>
    <w:semiHidden/>
    <w:qFormat/>
    <w:uiPriority w:val="0"/>
    <w:pPr>
      <w:jc w:val="left"/>
    </w:pPr>
    <w:rPr>
      <w:rFonts w:ascii="Times New Roman" w:hAnsi="Times New Roman" w:eastAsia="宋体" w:cs="Times New Roman"/>
      <w:kern w:val="0"/>
      <w:sz w:val="20"/>
      <w:szCs w:val="24"/>
    </w:rPr>
  </w:style>
  <w:style w:type="paragraph" w:styleId="10">
    <w:name w:val="Body Text 3"/>
    <w:basedOn w:val="1"/>
    <w:link w:val="45"/>
    <w:qFormat/>
    <w:uiPriority w:val="0"/>
    <w:rPr>
      <w:rFonts w:ascii="Times New Roman" w:hAnsi="Times New Roman" w:eastAsia="宋体" w:cs="Times New Roman"/>
      <w:color w:val="FF0000"/>
      <w:sz w:val="24"/>
      <w:szCs w:val="24"/>
    </w:rPr>
  </w:style>
  <w:style w:type="paragraph" w:styleId="11">
    <w:name w:val="Body Text"/>
    <w:basedOn w:val="1"/>
    <w:link w:val="46"/>
    <w:unhideWhenUsed/>
    <w:qFormat/>
    <w:uiPriority w:val="1"/>
    <w:pPr>
      <w:spacing w:after="120"/>
    </w:pPr>
  </w:style>
  <w:style w:type="paragraph" w:styleId="12">
    <w:name w:val="Body Text Indent"/>
    <w:basedOn w:val="1"/>
    <w:next w:val="6"/>
    <w:link w:val="48"/>
    <w:qFormat/>
    <w:uiPriority w:val="0"/>
    <w:pPr>
      <w:adjustRightInd w:val="0"/>
      <w:spacing w:after="120" w:line="360" w:lineRule="atLeast"/>
      <w:ind w:left="420" w:leftChars="200"/>
      <w:jc w:val="left"/>
      <w:textAlignment w:val="baseline"/>
    </w:pPr>
    <w:rPr>
      <w:kern w:val="0"/>
      <w:sz w:val="24"/>
      <w:szCs w:val="20"/>
    </w:rPr>
  </w:style>
  <w:style w:type="paragraph" w:styleId="13">
    <w:name w:val="List 2"/>
    <w:basedOn w:val="1"/>
    <w:qFormat/>
    <w:uiPriority w:val="0"/>
    <w:pPr>
      <w:ind w:left="100" w:leftChars="200" w:hanging="200" w:hangingChars="200"/>
      <w:contextualSpacing/>
    </w:pPr>
  </w:style>
  <w:style w:type="paragraph" w:styleId="14">
    <w:name w:val="HTML Address"/>
    <w:basedOn w:val="1"/>
    <w:qFormat/>
    <w:uiPriority w:val="0"/>
    <w:pPr>
      <w:widowControl/>
      <w:spacing w:before="100" w:beforeAutospacing="1" w:after="100" w:afterAutospacing="1"/>
      <w:jc w:val="left"/>
    </w:pPr>
    <w:rPr>
      <w:rFonts w:ascii="宋体" w:hAnsi="宋体" w:cs="宋体"/>
      <w:color w:val="333333"/>
      <w:kern w:val="0"/>
      <w:sz w:val="18"/>
      <w:szCs w:val="18"/>
    </w:rPr>
  </w:style>
  <w:style w:type="paragraph" w:styleId="15">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6">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7">
    <w:name w:val="Plain Text"/>
    <w:basedOn w:val="1"/>
    <w:link w:val="49"/>
    <w:qFormat/>
    <w:uiPriority w:val="99"/>
    <w:rPr>
      <w:rFonts w:eastAsia="宋体"/>
      <w:sz w:val="24"/>
    </w:rPr>
  </w:style>
  <w:style w:type="paragraph" w:styleId="18">
    <w:name w:val="Date"/>
    <w:basedOn w:val="1"/>
    <w:next w:val="1"/>
    <w:link w:val="50"/>
    <w:unhideWhenUsed/>
    <w:qFormat/>
    <w:uiPriority w:val="99"/>
    <w:pPr>
      <w:ind w:left="100" w:leftChars="2500"/>
    </w:pPr>
  </w:style>
  <w:style w:type="paragraph" w:styleId="19">
    <w:name w:val="Balloon Text"/>
    <w:basedOn w:val="1"/>
    <w:link w:val="52"/>
    <w:semiHidden/>
    <w:unhideWhenUsed/>
    <w:qFormat/>
    <w:uiPriority w:val="99"/>
    <w:rPr>
      <w:sz w:val="18"/>
      <w:szCs w:val="18"/>
    </w:rPr>
  </w:style>
  <w:style w:type="paragraph" w:styleId="20">
    <w:name w:val="footer"/>
    <w:basedOn w:val="1"/>
    <w:link w:val="53"/>
    <w:unhideWhenUsed/>
    <w:qFormat/>
    <w:uiPriority w:val="99"/>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pPr>
    <w:rPr>
      <w:rFonts w:ascii="Arial" w:hAnsi="Arial"/>
    </w:rPr>
  </w:style>
  <w:style w:type="paragraph" w:styleId="22">
    <w:name w:val="header"/>
    <w:basedOn w:val="1"/>
    <w:link w:val="54"/>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4">
    <w:name w:val="Body Text 2"/>
    <w:basedOn w:val="1"/>
    <w:qFormat/>
    <w:uiPriority w:val="0"/>
    <w:pPr>
      <w:spacing w:after="120" w:line="480" w:lineRule="auto"/>
    </w:pPr>
  </w:style>
  <w:style w:type="paragraph" w:styleId="25">
    <w:name w:val="HTML Preformatted"/>
    <w:basedOn w:val="1"/>
    <w:link w:val="56"/>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6">
    <w:name w:val="Normal (Web)"/>
    <w:basedOn w:val="1"/>
    <w:qFormat/>
    <w:uiPriority w:val="99"/>
    <w:rPr>
      <w:rFonts w:ascii="Calibri" w:hAnsi="Calibri" w:eastAsia="宋体" w:cs="Times New Roman"/>
      <w:sz w:val="24"/>
      <w:szCs w:val="24"/>
    </w:rPr>
  </w:style>
  <w:style w:type="paragraph" w:styleId="27">
    <w:name w:val="Body Text First Indent"/>
    <w:basedOn w:val="11"/>
    <w:next w:val="28"/>
    <w:link w:val="57"/>
    <w:qFormat/>
    <w:uiPriority w:val="0"/>
    <w:pPr>
      <w:ind w:firstLine="420" w:firstLineChars="100"/>
    </w:pPr>
    <w:rPr>
      <w:rFonts w:ascii="宋体" w:hAnsi="Times New Roman" w:eastAsia="宋体" w:cs="Times New Roman"/>
      <w:kern w:val="0"/>
      <w:sz w:val="34"/>
      <w:szCs w:val="20"/>
    </w:rPr>
  </w:style>
  <w:style w:type="paragraph" w:styleId="28">
    <w:name w:val="Body Text First Indent 2"/>
    <w:basedOn w:val="12"/>
    <w:next w:val="1"/>
    <w:qFormat/>
    <w:uiPriority w:val="99"/>
    <w:pPr>
      <w:tabs>
        <w:tab w:val="left" w:pos="945"/>
        <w:tab w:val="left" w:pos="1155"/>
      </w:tabs>
      <w:ind w:firstLine="420" w:firstLineChars="200"/>
    </w:p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22"/>
    <w:rPr>
      <w:b/>
      <w:bCs/>
    </w:rPr>
  </w:style>
  <w:style w:type="character" w:styleId="33">
    <w:name w:val="FollowedHyperlink"/>
    <w:basedOn w:val="31"/>
    <w:semiHidden/>
    <w:unhideWhenUsed/>
    <w:qFormat/>
    <w:uiPriority w:val="99"/>
    <w:rPr>
      <w:color w:val="000000"/>
      <w:u w:val="none"/>
    </w:rPr>
  </w:style>
  <w:style w:type="character" w:styleId="34">
    <w:name w:val="Emphasis"/>
    <w:basedOn w:val="31"/>
    <w:qFormat/>
    <w:uiPriority w:val="20"/>
    <w:rPr>
      <w:i/>
      <w:iCs/>
    </w:rPr>
  </w:style>
  <w:style w:type="character" w:styleId="35">
    <w:name w:val="Hyperlink"/>
    <w:basedOn w:val="31"/>
    <w:unhideWhenUsed/>
    <w:qFormat/>
    <w:uiPriority w:val="0"/>
    <w:rPr>
      <w:color w:val="000000"/>
      <w:u w:val="none"/>
    </w:rPr>
  </w:style>
  <w:style w:type="character" w:styleId="36">
    <w:name w:val="annotation reference"/>
    <w:qFormat/>
    <w:uiPriority w:val="0"/>
    <w:rPr>
      <w:sz w:val="21"/>
      <w:szCs w:val="21"/>
    </w:rPr>
  </w:style>
  <w:style w:type="paragraph" w:customStyle="1" w:styleId="37">
    <w:name w:val="style4"/>
    <w:basedOn w:val="1"/>
    <w:next w:val="38"/>
    <w:qFormat/>
    <w:uiPriority w:val="0"/>
    <w:pPr>
      <w:widowControl/>
      <w:spacing w:before="280" w:after="280"/>
    </w:pPr>
    <w:rPr>
      <w:rFonts w:ascii="宋体" w:hAnsi="Times New Roman" w:eastAsia="宋体" w:cs="Times New Roman"/>
      <w:sz w:val="18"/>
    </w:rPr>
  </w:style>
  <w:style w:type="paragraph" w:customStyle="1" w:styleId="38">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0">
    <w:name w:val="列出段落1"/>
    <w:basedOn w:val="1"/>
    <w:qFormat/>
    <w:uiPriority w:val="34"/>
    <w:pPr>
      <w:ind w:firstLine="420" w:firstLineChars="200"/>
    </w:pPr>
  </w:style>
  <w:style w:type="character" w:customStyle="1" w:styleId="41">
    <w:name w:val="标题 1 Char"/>
    <w:basedOn w:val="31"/>
    <w:link w:val="2"/>
    <w:qFormat/>
    <w:uiPriority w:val="0"/>
    <w:rPr>
      <w:rFonts w:ascii="Calibri" w:hAnsi="Calibri" w:eastAsia="宋体" w:cs="Times New Roman"/>
      <w:b/>
      <w:bCs/>
      <w:kern w:val="44"/>
      <w:sz w:val="44"/>
      <w:szCs w:val="44"/>
    </w:rPr>
  </w:style>
  <w:style w:type="character" w:customStyle="1" w:styleId="42">
    <w:name w:val="标题 2 Char"/>
    <w:basedOn w:val="31"/>
    <w:link w:val="3"/>
    <w:qFormat/>
    <w:uiPriority w:val="0"/>
    <w:rPr>
      <w:rFonts w:ascii="Arial" w:hAnsi="Arial" w:eastAsia="黑体" w:cs="Times New Roman"/>
      <w:b/>
      <w:bCs/>
      <w:kern w:val="0"/>
      <w:sz w:val="32"/>
      <w:szCs w:val="32"/>
    </w:rPr>
  </w:style>
  <w:style w:type="character" w:customStyle="1" w:styleId="43">
    <w:name w:val="标题 3 Char"/>
    <w:basedOn w:val="31"/>
    <w:link w:val="4"/>
    <w:qFormat/>
    <w:uiPriority w:val="0"/>
    <w:rPr>
      <w:rFonts w:ascii="宋体" w:hAnsi="宋体" w:eastAsia="宋体" w:cs="Times New Roman"/>
      <w:b/>
      <w:color w:val="000000"/>
      <w:kern w:val="0"/>
      <w:sz w:val="24"/>
      <w:szCs w:val="20"/>
      <w:lang w:val="en-GB"/>
    </w:rPr>
  </w:style>
  <w:style w:type="character" w:customStyle="1" w:styleId="44">
    <w:name w:val="标题 4 Char"/>
    <w:basedOn w:val="31"/>
    <w:link w:val="5"/>
    <w:qFormat/>
    <w:uiPriority w:val="0"/>
    <w:rPr>
      <w:rFonts w:ascii="Arial" w:hAnsi="Arial" w:eastAsia="黑体" w:cs="Times New Roman"/>
      <w:b/>
      <w:bCs/>
      <w:kern w:val="0"/>
      <w:sz w:val="28"/>
      <w:szCs w:val="28"/>
    </w:rPr>
  </w:style>
  <w:style w:type="character" w:customStyle="1" w:styleId="45">
    <w:name w:val="正文文本 3 Char"/>
    <w:basedOn w:val="31"/>
    <w:link w:val="10"/>
    <w:qFormat/>
    <w:uiPriority w:val="0"/>
    <w:rPr>
      <w:rFonts w:ascii="Times New Roman" w:hAnsi="Times New Roman" w:eastAsia="宋体" w:cs="Times New Roman"/>
      <w:color w:val="FF0000"/>
      <w:sz w:val="24"/>
      <w:szCs w:val="24"/>
    </w:rPr>
  </w:style>
  <w:style w:type="character" w:customStyle="1" w:styleId="46">
    <w:name w:val="正文文本 Char"/>
    <w:basedOn w:val="31"/>
    <w:link w:val="11"/>
    <w:qFormat/>
    <w:uiPriority w:val="99"/>
  </w:style>
  <w:style w:type="character" w:customStyle="1" w:styleId="47">
    <w:name w:val="正文文本缩进 Char"/>
    <w:basedOn w:val="31"/>
    <w:qFormat/>
    <w:uiPriority w:val="0"/>
  </w:style>
  <w:style w:type="character" w:customStyle="1" w:styleId="48">
    <w:name w:val="正文文本缩进 Char1"/>
    <w:basedOn w:val="31"/>
    <w:link w:val="12"/>
    <w:qFormat/>
    <w:uiPriority w:val="0"/>
    <w:rPr>
      <w:kern w:val="0"/>
      <w:sz w:val="24"/>
      <w:szCs w:val="20"/>
    </w:rPr>
  </w:style>
  <w:style w:type="character" w:customStyle="1" w:styleId="49">
    <w:name w:val="纯文本 Char"/>
    <w:basedOn w:val="31"/>
    <w:link w:val="17"/>
    <w:qFormat/>
    <w:uiPriority w:val="99"/>
    <w:rPr>
      <w:rFonts w:eastAsia="宋体"/>
      <w:sz w:val="24"/>
    </w:rPr>
  </w:style>
  <w:style w:type="character" w:customStyle="1" w:styleId="50">
    <w:name w:val="日期 Char"/>
    <w:basedOn w:val="31"/>
    <w:link w:val="18"/>
    <w:qFormat/>
    <w:uiPriority w:val="99"/>
  </w:style>
  <w:style w:type="character" w:customStyle="1" w:styleId="51">
    <w:name w:val="批注框文本 Char"/>
    <w:basedOn w:val="31"/>
    <w:semiHidden/>
    <w:qFormat/>
    <w:uiPriority w:val="99"/>
    <w:rPr>
      <w:sz w:val="18"/>
      <w:szCs w:val="18"/>
    </w:rPr>
  </w:style>
  <w:style w:type="character" w:customStyle="1" w:styleId="52">
    <w:name w:val="批注框文本 Char1"/>
    <w:basedOn w:val="31"/>
    <w:link w:val="19"/>
    <w:semiHidden/>
    <w:qFormat/>
    <w:uiPriority w:val="99"/>
    <w:rPr>
      <w:sz w:val="18"/>
      <w:szCs w:val="18"/>
    </w:rPr>
  </w:style>
  <w:style w:type="character" w:customStyle="1" w:styleId="53">
    <w:name w:val="页脚 Char"/>
    <w:basedOn w:val="31"/>
    <w:link w:val="20"/>
    <w:qFormat/>
    <w:uiPriority w:val="99"/>
    <w:rPr>
      <w:sz w:val="18"/>
      <w:szCs w:val="18"/>
    </w:rPr>
  </w:style>
  <w:style w:type="character" w:customStyle="1" w:styleId="54">
    <w:name w:val="页眉 Char"/>
    <w:basedOn w:val="31"/>
    <w:link w:val="22"/>
    <w:qFormat/>
    <w:uiPriority w:val="99"/>
    <w:rPr>
      <w:sz w:val="18"/>
      <w:szCs w:val="18"/>
    </w:rPr>
  </w:style>
  <w:style w:type="character" w:customStyle="1" w:styleId="55">
    <w:name w:val="HTML 预设格式 Char"/>
    <w:basedOn w:val="31"/>
    <w:semiHidden/>
    <w:qFormat/>
    <w:uiPriority w:val="99"/>
    <w:rPr>
      <w:rFonts w:ascii="宋体" w:hAnsi="宋体" w:eastAsia="宋体" w:cs="宋体"/>
      <w:kern w:val="0"/>
      <w:sz w:val="24"/>
      <w:szCs w:val="24"/>
    </w:rPr>
  </w:style>
  <w:style w:type="character" w:customStyle="1" w:styleId="56">
    <w:name w:val="HTML 预设格式 Char1"/>
    <w:basedOn w:val="31"/>
    <w:link w:val="25"/>
    <w:semiHidden/>
    <w:qFormat/>
    <w:uiPriority w:val="99"/>
    <w:rPr>
      <w:rFonts w:ascii="Courier New" w:hAnsi="Courier New" w:cs="Courier New"/>
      <w:sz w:val="20"/>
      <w:szCs w:val="20"/>
    </w:rPr>
  </w:style>
  <w:style w:type="character" w:customStyle="1" w:styleId="57">
    <w:name w:val="正文首行缩进 Char"/>
    <w:basedOn w:val="46"/>
    <w:link w:val="27"/>
    <w:qFormat/>
    <w:uiPriority w:val="0"/>
    <w:rPr>
      <w:rFonts w:ascii="宋体" w:hAnsi="Times New Roman" w:eastAsia="宋体" w:cs="Times New Roman"/>
      <w:kern w:val="0"/>
      <w:sz w:val="34"/>
      <w:szCs w:val="20"/>
    </w:rPr>
  </w:style>
  <w:style w:type="character" w:customStyle="1" w:styleId="58">
    <w:name w:val="纯文本 Char1"/>
    <w:qFormat/>
    <w:uiPriority w:val="0"/>
    <w:rPr>
      <w:rFonts w:eastAsia="宋体"/>
      <w:sz w:val="24"/>
    </w:rPr>
  </w:style>
  <w:style w:type="paragraph" w:styleId="59">
    <w:name w:val="List Paragraph"/>
    <w:basedOn w:val="1"/>
    <w:unhideWhenUsed/>
    <w:qFormat/>
    <w:uiPriority w:val="99"/>
    <w:pPr>
      <w:ind w:firstLine="420" w:firstLineChars="200"/>
    </w:pPr>
  </w:style>
  <w:style w:type="character" w:customStyle="1" w:styleId="60">
    <w:name w:val="正文文本缩进 Char Char"/>
    <w:link w:val="61"/>
    <w:qFormat/>
    <w:uiPriority w:val="0"/>
    <w:rPr>
      <w:rFonts w:ascii="宋体"/>
      <w:sz w:val="24"/>
    </w:rPr>
  </w:style>
  <w:style w:type="paragraph" w:customStyle="1" w:styleId="61">
    <w:name w:val="正文文本缩进1"/>
    <w:basedOn w:val="1"/>
    <w:link w:val="60"/>
    <w:qFormat/>
    <w:uiPriority w:val="0"/>
    <w:pPr>
      <w:spacing w:line="360" w:lineRule="auto"/>
      <w:ind w:firstLine="480" w:firstLineChars="200"/>
    </w:pPr>
    <w:rPr>
      <w:rFonts w:ascii="宋体"/>
      <w:sz w:val="24"/>
    </w:rPr>
  </w:style>
  <w:style w:type="character" w:customStyle="1" w:styleId="62">
    <w:name w:val="日期 Char Char"/>
    <w:link w:val="63"/>
    <w:qFormat/>
    <w:uiPriority w:val="0"/>
    <w:rPr>
      <w:sz w:val="24"/>
    </w:rPr>
  </w:style>
  <w:style w:type="paragraph" w:customStyle="1" w:styleId="63">
    <w:name w:val="日期1"/>
    <w:basedOn w:val="1"/>
    <w:next w:val="1"/>
    <w:link w:val="62"/>
    <w:qFormat/>
    <w:uiPriority w:val="0"/>
    <w:rPr>
      <w:sz w:val="24"/>
    </w:rPr>
  </w:style>
  <w:style w:type="paragraph" w:customStyle="1" w:styleId="64">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5">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6">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7">
    <w:name w:val="edittexttarea"/>
    <w:basedOn w:val="31"/>
    <w:qFormat/>
    <w:uiPriority w:val="0"/>
  </w:style>
  <w:style w:type="paragraph" w:customStyle="1" w:styleId="68">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9">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70">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71">
    <w:name w:val="*正文"/>
    <w:basedOn w:val="1"/>
    <w:qFormat/>
    <w:uiPriority w:val="0"/>
    <w:pPr>
      <w:keepNext/>
      <w:keepLines/>
      <w:spacing w:line="360" w:lineRule="auto"/>
      <w:ind w:firstLine="200" w:firstLineChars="200"/>
    </w:pPr>
    <w:rPr>
      <w:rFonts w:ascii="宋体" w:hAnsi="宋体"/>
    </w:rPr>
  </w:style>
  <w:style w:type="paragraph" w:customStyle="1" w:styleId="72">
    <w:name w:val="表格样式"/>
    <w:qFormat/>
    <w:uiPriority w:val="0"/>
    <w:pPr>
      <w:framePr w:hSpace="180" w:wrap="around" w:vAnchor="text" w:hAnchor="page" w:x="1582" w:y="302"/>
      <w:contextualSpacing/>
    </w:pPr>
    <w:rPr>
      <w:rFonts w:ascii="宋体" w:hAnsi="微软雅黑" w:eastAsia="宋体" w:cs="Times New Roman"/>
      <w:kern w:val="2"/>
      <w:sz w:val="24"/>
      <w:szCs w:val="28"/>
      <w:lang w:val="en-US" w:eastAsia="zh-CN" w:bidi="ar-SA"/>
    </w:rPr>
  </w:style>
  <w:style w:type="paragraph" w:styleId="73">
    <w:name w:val="No Spacing"/>
    <w:qFormat/>
    <w:uiPriority w:val="1"/>
    <w:pPr>
      <w:widowControl w:val="0"/>
      <w:spacing w:line="360" w:lineRule="auto"/>
      <w:jc w:val="both"/>
    </w:pPr>
    <w:rPr>
      <w:rFonts w:ascii="宋体" w:eastAsia="宋体" w:hAnsiTheme="minorHAnsi" w:cstheme="minorBidi"/>
      <w:kern w:val="2"/>
      <w:sz w:val="24"/>
      <w:szCs w:val="22"/>
      <w:lang w:val="en-US" w:eastAsia="zh-CN" w:bidi="ar-SA"/>
    </w:rPr>
  </w:style>
  <w:style w:type="paragraph" w:customStyle="1" w:styleId="74">
    <w:name w:val="列表段落1"/>
    <w:basedOn w:val="1"/>
    <w:qFormat/>
    <w:uiPriority w:val="1"/>
    <w:pPr>
      <w:ind w:firstLine="420"/>
    </w:pPr>
  </w:style>
  <w:style w:type="character" w:customStyle="1" w:styleId="75">
    <w:name w:val="批注文字 Char"/>
    <w:link w:val="9"/>
    <w:semiHidden/>
    <w:qFormat/>
    <w:uiPriority w:val="0"/>
    <w:rPr>
      <w:szCs w:val="24"/>
    </w:rPr>
  </w:style>
  <w:style w:type="character" w:customStyle="1" w:styleId="76">
    <w:name w:val="批注文字 字符"/>
    <w:basedOn w:val="31"/>
    <w:semiHidden/>
    <w:qFormat/>
    <w:uiPriority w:val="99"/>
    <w:rPr>
      <w:rFonts w:asciiTheme="minorHAnsi" w:hAnsiTheme="minorHAnsi" w:eastAsiaTheme="minorEastAsia" w:cstheme="minorBidi"/>
      <w:kern w:val="2"/>
      <w:sz w:val="21"/>
      <w:szCs w:val="22"/>
    </w:rPr>
  </w:style>
  <w:style w:type="paragraph" w:customStyle="1" w:styleId="77">
    <w:name w:val="无间隔1"/>
    <w:basedOn w:val="1"/>
    <w:qFormat/>
    <w:uiPriority w:val="0"/>
    <w:pPr>
      <w:spacing w:line="400" w:lineRule="exact"/>
    </w:pPr>
    <w:rPr>
      <w:sz w:val="24"/>
    </w:rPr>
  </w:style>
  <w:style w:type="character" w:customStyle="1" w:styleId="78">
    <w:name w:val="right"/>
    <w:basedOn w:val="31"/>
    <w:qFormat/>
    <w:uiPriority w:val="0"/>
    <w:rPr>
      <w:color w:val="999999"/>
      <w:sz w:val="18"/>
      <w:szCs w:val="18"/>
    </w:rPr>
  </w:style>
  <w:style w:type="character" w:customStyle="1" w:styleId="79">
    <w:name w:val="green"/>
    <w:basedOn w:val="31"/>
    <w:qFormat/>
    <w:uiPriority w:val="0"/>
    <w:rPr>
      <w:color w:val="66AE00"/>
      <w:sz w:val="18"/>
      <w:szCs w:val="18"/>
    </w:rPr>
  </w:style>
  <w:style w:type="character" w:customStyle="1" w:styleId="80">
    <w:name w:val="red"/>
    <w:basedOn w:val="31"/>
    <w:qFormat/>
    <w:uiPriority w:val="0"/>
    <w:rPr>
      <w:color w:val="FF0000"/>
      <w:sz w:val="18"/>
      <w:szCs w:val="18"/>
    </w:rPr>
  </w:style>
  <w:style w:type="character" w:customStyle="1" w:styleId="81">
    <w:name w:val="red1"/>
    <w:basedOn w:val="31"/>
    <w:qFormat/>
    <w:uiPriority w:val="0"/>
    <w:rPr>
      <w:color w:val="66AE00"/>
      <w:sz w:val="18"/>
      <w:szCs w:val="18"/>
    </w:rPr>
  </w:style>
  <w:style w:type="character" w:customStyle="1" w:styleId="82">
    <w:name w:val="red2"/>
    <w:basedOn w:val="31"/>
    <w:qFormat/>
    <w:uiPriority w:val="0"/>
    <w:rPr>
      <w:color w:val="CC0000"/>
    </w:rPr>
  </w:style>
  <w:style w:type="character" w:customStyle="1" w:styleId="83">
    <w:name w:val="red3"/>
    <w:basedOn w:val="31"/>
    <w:qFormat/>
    <w:uiPriority w:val="0"/>
    <w:rPr>
      <w:color w:val="FF0000"/>
    </w:rPr>
  </w:style>
  <w:style w:type="character" w:customStyle="1" w:styleId="84">
    <w:name w:val="hover25"/>
    <w:basedOn w:val="31"/>
    <w:qFormat/>
    <w:uiPriority w:val="0"/>
  </w:style>
  <w:style w:type="character" w:customStyle="1" w:styleId="85">
    <w:name w:val="active4"/>
    <w:basedOn w:val="31"/>
    <w:qFormat/>
    <w:uiPriority w:val="0"/>
    <w:rPr>
      <w:color w:val="FFFFFF"/>
      <w:shd w:val="clear" w:color="auto" w:fill="2B7AFC"/>
    </w:rPr>
  </w:style>
  <w:style w:type="character" w:customStyle="1" w:styleId="86">
    <w:name w:val="blue"/>
    <w:basedOn w:val="31"/>
    <w:qFormat/>
    <w:uiPriority w:val="0"/>
    <w:rPr>
      <w:color w:val="0371C6"/>
      <w:sz w:val="21"/>
      <w:szCs w:val="21"/>
    </w:rPr>
  </w:style>
  <w:style w:type="character" w:customStyle="1" w:styleId="87">
    <w:name w:val="gb-jt"/>
    <w:basedOn w:val="31"/>
    <w:qFormat/>
    <w:uiPriority w:val="0"/>
  </w:style>
  <w:style w:type="character" w:customStyle="1" w:styleId="88">
    <w:name w:val="green1"/>
    <w:basedOn w:val="31"/>
    <w:qFormat/>
    <w:uiPriority w:val="0"/>
    <w:rPr>
      <w:color w:val="66AE00"/>
      <w:sz w:val="18"/>
      <w:szCs w:val="18"/>
    </w:rPr>
  </w:style>
  <w:style w:type="character" w:customStyle="1" w:styleId="89">
    <w:name w:val="NormalCharacter"/>
    <w:qFormat/>
    <w:uiPriority w:val="0"/>
  </w:style>
  <w:style w:type="paragraph" w:customStyle="1" w:styleId="90">
    <w:name w:val="HtmlNormal"/>
    <w:basedOn w:val="1"/>
    <w:qFormat/>
    <w:uiPriority w:val="0"/>
    <w:rPr>
      <w:sz w:val="24"/>
      <w:szCs w:val="24"/>
    </w:rPr>
  </w:style>
  <w:style w:type="character" w:customStyle="1" w:styleId="91">
    <w:name w:val="font61"/>
    <w:basedOn w:val="31"/>
    <w:qFormat/>
    <w:uiPriority w:val="0"/>
    <w:rPr>
      <w:rFonts w:hint="eastAsia" w:ascii="宋体" w:hAnsi="宋体" w:eastAsia="宋体" w:cs="宋体"/>
      <w:color w:val="000000"/>
      <w:sz w:val="21"/>
      <w:szCs w:val="21"/>
      <w:u w:val="none"/>
    </w:rPr>
  </w:style>
  <w:style w:type="paragraph" w:customStyle="1" w:styleId="92">
    <w:name w:val="Table Text"/>
    <w:basedOn w:val="1"/>
    <w:semiHidden/>
    <w:qFormat/>
    <w:uiPriority w:val="0"/>
    <w:rPr>
      <w:rFonts w:ascii="宋体" w:hAnsi="宋体" w:eastAsia="宋体" w:cs="宋体"/>
      <w:sz w:val="21"/>
      <w:szCs w:val="21"/>
      <w:lang w:val="en-US" w:eastAsia="en-US" w:bidi="ar-SA"/>
    </w:rPr>
  </w:style>
  <w:style w:type="table" w:customStyle="1" w:styleId="9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A82389-487D-4A66-8A5B-8B01B0FC0065}">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69</Pages>
  <Words>6156</Words>
  <Characters>6516</Characters>
  <Lines>297</Lines>
  <Paragraphs>83</Paragraphs>
  <TotalTime>53</TotalTime>
  <ScaleCrop>false</ScaleCrop>
  <LinksUpToDate>false</LinksUpToDate>
  <CharactersWithSpaces>6584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2020-03-11T09:07:00Z</dcterms:created>
  <dc:creator>许昌市公共资源交易中心:孟莉</dc:creator>
  <cp:lastModifiedBy>利剑</cp:lastModifiedBy>
  <cp:lastPrinted>2022-08-01T07:03:00Z</cp:lastPrinted>
  <dcterms:modified xsi:type="dcterms:W3CDTF">2025-10-24T03:36:05Z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897F74B02DCA4E3FBAE578236F410243_13</vt:lpwstr>
  </property>
  <property fmtid="{D5CDD505-2E9C-101B-9397-08002B2CF9AE}" pid="4" name="KSOTemplateDocerSaveRecord">
    <vt:lpwstr>eyJoZGlkIjoiNGE3ZjliMjI0MTgzMThhM2Y2N2NlNjI2ODI3MjQ2NTAiLCJ1c2VySWQiOiIzODIyNjM5MTUifQ==</vt:lpwstr>
  </property>
</Properties>
</file>