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C4E40">
      <w:pPr>
        <w:snapToGrid w:val="0"/>
        <w:spacing w:after="120" w:line="480" w:lineRule="auto"/>
        <w:jc w:val="center"/>
        <w:textAlignment w:val="baseline"/>
        <w:rPr>
          <w:rFonts w:hint="eastAsia" w:ascii="宋体" w:hAnsi="宋体" w:eastAsia="宋体" w:cs="黑体"/>
          <w:b/>
          <w:color w:val="auto"/>
          <w:sz w:val="22"/>
          <w:szCs w:val="22"/>
          <w:highlight w:val="none"/>
          <w:lang w:eastAsia="zh-CN"/>
        </w:rPr>
      </w:pPr>
      <w:bookmarkStart w:id="217" w:name="_GoBack"/>
      <w:bookmarkEnd w:id="217"/>
      <w:r>
        <w:rPr>
          <w:rFonts w:hint="eastAsia" w:ascii="宋体" w:hAnsi="宋体" w:cs="黑体"/>
          <w:b/>
          <w:color w:val="auto"/>
          <w:sz w:val="48"/>
          <w:szCs w:val="48"/>
          <w:highlight w:val="none"/>
          <w:lang w:eastAsia="zh-CN"/>
        </w:rPr>
        <w:t>卢氏优质地理产品生境保护与可持续发展案例研发项目</w:t>
      </w:r>
    </w:p>
    <w:p w14:paraId="7D588093">
      <w:pPr>
        <w:snapToGrid w:val="0"/>
        <w:spacing w:after="120" w:line="700" w:lineRule="exact"/>
        <w:jc w:val="center"/>
        <w:textAlignment w:val="baseline"/>
        <w:rPr>
          <w:rFonts w:hint="eastAsia" w:ascii="宋体" w:hAnsi="宋体" w:eastAsia="宋体" w:cs="黑体"/>
          <w:b/>
          <w:color w:val="auto"/>
          <w:sz w:val="52"/>
          <w:szCs w:val="52"/>
          <w:highlight w:val="none"/>
        </w:rPr>
      </w:pPr>
    </w:p>
    <w:p w14:paraId="37187925">
      <w:pPr>
        <w:snapToGrid w:val="0"/>
        <w:spacing w:after="120" w:line="700" w:lineRule="exact"/>
        <w:jc w:val="center"/>
        <w:textAlignment w:val="baseline"/>
        <w:rPr>
          <w:rFonts w:hint="eastAsia" w:ascii="宋体" w:hAnsi="宋体" w:eastAsia="宋体" w:cs="黑体"/>
          <w:b/>
          <w:color w:val="auto"/>
          <w:sz w:val="52"/>
          <w:szCs w:val="52"/>
          <w:highlight w:val="none"/>
        </w:rPr>
      </w:pPr>
      <w:r>
        <w:rPr>
          <w:rFonts w:hint="eastAsia" w:ascii="宋体" w:hAnsi="宋体" w:eastAsia="宋体" w:cs="黑体"/>
          <w:b/>
          <w:color w:val="auto"/>
          <w:sz w:val="52"/>
          <w:szCs w:val="52"/>
          <w:highlight w:val="none"/>
        </w:rPr>
        <w:t>竞争性磋商文件</w:t>
      </w:r>
    </w:p>
    <w:p w14:paraId="0CACC5F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eastAsia" w:ascii="宋体" w:hAnsi="宋体" w:eastAsia="宋体" w:cs="宋体"/>
          <w:color w:val="auto"/>
          <w:sz w:val="32"/>
          <w:szCs w:val="32"/>
          <w:lang w:eastAsia="zh-CN"/>
        </w:rPr>
      </w:pPr>
    </w:p>
    <w:p w14:paraId="6C3D167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default" w:ascii="宋体" w:hAnsi="宋体" w:eastAsia="宋体" w:cs="宋体"/>
          <w:color w:val="auto"/>
          <w:sz w:val="32"/>
          <w:szCs w:val="32"/>
          <w:highlight w:val="yellow"/>
          <w:lang w:val="en-US" w:eastAsia="zh-CN"/>
        </w:rPr>
      </w:pPr>
      <w:r>
        <w:rPr>
          <w:rFonts w:hint="eastAsia" w:ascii="宋体" w:hAnsi="宋体" w:eastAsia="宋体" w:cs="宋体"/>
          <w:color w:val="auto"/>
          <w:sz w:val="32"/>
          <w:szCs w:val="32"/>
          <w:lang w:eastAsia="zh-CN"/>
        </w:rPr>
        <w:t>项目编号：</w:t>
      </w:r>
      <w:r>
        <w:rPr>
          <w:rFonts w:hint="eastAsia" w:ascii="宋体" w:hAnsi="宋体" w:cs="宋体"/>
          <w:color w:val="auto"/>
          <w:sz w:val="32"/>
          <w:szCs w:val="32"/>
          <w:lang w:val="en-US" w:eastAsia="zh-CN"/>
        </w:rPr>
        <w:t>三卢竞磋采购-2025-116、LSGZ[2025]308-ZC175</w:t>
      </w:r>
    </w:p>
    <w:p w14:paraId="2971F49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eastAsia" w:ascii="宋体" w:hAnsi="宋体" w:eastAsia="宋体" w:cs="宋体"/>
          <w:color w:val="auto"/>
          <w:sz w:val="32"/>
          <w:szCs w:val="32"/>
          <w:lang w:eastAsia="zh-CN"/>
        </w:rPr>
      </w:pPr>
    </w:p>
    <w:p w14:paraId="7209F2D8">
      <w:pPr>
        <w:snapToGrid w:val="0"/>
        <w:spacing w:line="500" w:lineRule="exact"/>
        <w:jc w:val="center"/>
        <w:textAlignment w:val="baseline"/>
        <w:rPr>
          <w:rFonts w:ascii="仿宋_GB2312" w:eastAsia="仿宋_GB2312"/>
          <w:color w:val="auto"/>
          <w:sz w:val="18"/>
          <w:highlight w:val="none"/>
        </w:rPr>
      </w:pPr>
    </w:p>
    <w:p w14:paraId="6A09A499">
      <w:pPr>
        <w:snapToGrid w:val="0"/>
        <w:spacing w:line="500" w:lineRule="exact"/>
        <w:jc w:val="center"/>
        <w:textAlignment w:val="baseline"/>
        <w:rPr>
          <w:rFonts w:ascii="仿宋_GB2312" w:eastAsia="仿宋_GB2312"/>
          <w:color w:val="auto"/>
          <w:sz w:val="18"/>
          <w:highlight w:val="none"/>
        </w:rPr>
      </w:pPr>
    </w:p>
    <w:p w14:paraId="31243AD1">
      <w:pPr>
        <w:snapToGrid w:val="0"/>
        <w:spacing w:line="500" w:lineRule="exact"/>
        <w:jc w:val="center"/>
        <w:textAlignment w:val="baseline"/>
        <w:rPr>
          <w:rFonts w:ascii="宋体" w:hAnsi="宋体" w:cs="黑体"/>
          <w:color w:val="auto"/>
          <w:sz w:val="28"/>
          <w:szCs w:val="28"/>
          <w:highlight w:val="none"/>
        </w:rPr>
      </w:pPr>
    </w:p>
    <w:p w14:paraId="4AA03F72">
      <w:pPr>
        <w:snapToGrid w:val="0"/>
        <w:spacing w:line="500" w:lineRule="exact"/>
        <w:jc w:val="center"/>
        <w:textAlignment w:val="baseline"/>
        <w:rPr>
          <w:rFonts w:cs="黑体"/>
          <w:b/>
          <w:bCs/>
          <w:color w:val="auto"/>
          <w:sz w:val="36"/>
          <w:szCs w:val="36"/>
          <w:highlight w:val="none"/>
        </w:rPr>
      </w:pPr>
    </w:p>
    <w:p w14:paraId="3CCBACBC">
      <w:pPr>
        <w:snapToGrid w:val="0"/>
        <w:spacing w:line="500" w:lineRule="exact"/>
        <w:ind w:firstLine="2570" w:firstLineChars="800"/>
        <w:jc w:val="both"/>
        <w:textAlignment w:val="baseline"/>
        <w:rPr>
          <w:rFonts w:cs="黑体"/>
          <w:b/>
          <w:bCs/>
          <w:color w:val="auto"/>
          <w:sz w:val="32"/>
          <w:szCs w:val="32"/>
          <w:highlight w:val="none"/>
        </w:rPr>
      </w:pPr>
    </w:p>
    <w:p w14:paraId="1E18AF9A">
      <w:pPr>
        <w:snapToGrid w:val="0"/>
        <w:spacing w:line="500" w:lineRule="exact"/>
        <w:ind w:firstLine="2570" w:firstLineChars="800"/>
        <w:jc w:val="both"/>
        <w:textAlignment w:val="baseline"/>
        <w:rPr>
          <w:rFonts w:cs="黑体"/>
          <w:b/>
          <w:bCs/>
          <w:color w:val="auto"/>
          <w:sz w:val="32"/>
          <w:szCs w:val="32"/>
          <w:highlight w:val="none"/>
        </w:rPr>
      </w:pPr>
    </w:p>
    <w:p w14:paraId="5068F6E8">
      <w:pPr>
        <w:snapToGrid w:val="0"/>
        <w:spacing w:line="500" w:lineRule="exact"/>
        <w:ind w:firstLine="2570" w:firstLineChars="800"/>
        <w:jc w:val="both"/>
        <w:textAlignment w:val="baseline"/>
        <w:rPr>
          <w:rFonts w:cs="黑体"/>
          <w:b/>
          <w:bCs/>
          <w:color w:val="auto"/>
          <w:sz w:val="32"/>
          <w:szCs w:val="32"/>
          <w:highlight w:val="none"/>
        </w:rPr>
      </w:pPr>
    </w:p>
    <w:p w14:paraId="0B85906D">
      <w:pPr>
        <w:snapToGrid w:val="0"/>
        <w:spacing w:line="500" w:lineRule="exact"/>
        <w:ind w:firstLine="2570" w:firstLineChars="800"/>
        <w:jc w:val="both"/>
        <w:textAlignment w:val="baseline"/>
        <w:rPr>
          <w:rFonts w:cs="黑体"/>
          <w:b/>
          <w:bCs/>
          <w:color w:val="auto"/>
          <w:sz w:val="32"/>
          <w:szCs w:val="32"/>
          <w:highlight w:val="none"/>
        </w:rPr>
      </w:pPr>
    </w:p>
    <w:p w14:paraId="4D8F6C75">
      <w:pPr>
        <w:snapToGrid w:val="0"/>
        <w:spacing w:line="500" w:lineRule="exact"/>
        <w:ind w:firstLine="2570" w:firstLineChars="800"/>
        <w:jc w:val="both"/>
        <w:textAlignment w:val="baseline"/>
        <w:rPr>
          <w:rFonts w:cs="黑体"/>
          <w:b/>
          <w:bCs/>
          <w:color w:val="auto"/>
          <w:sz w:val="32"/>
          <w:szCs w:val="32"/>
          <w:highlight w:val="none"/>
        </w:rPr>
      </w:pPr>
    </w:p>
    <w:p w14:paraId="595164FB">
      <w:pPr>
        <w:snapToGrid w:val="0"/>
        <w:spacing w:line="500" w:lineRule="exact"/>
        <w:ind w:firstLine="2570" w:firstLineChars="800"/>
        <w:jc w:val="both"/>
        <w:textAlignment w:val="baseline"/>
        <w:rPr>
          <w:rFonts w:cs="黑体"/>
          <w:b/>
          <w:bCs/>
          <w:color w:val="auto"/>
          <w:sz w:val="32"/>
          <w:szCs w:val="32"/>
          <w:highlight w:val="none"/>
        </w:rPr>
      </w:pPr>
    </w:p>
    <w:p w14:paraId="33F79A79">
      <w:pPr>
        <w:snapToGrid w:val="0"/>
        <w:spacing w:line="800" w:lineRule="exact"/>
        <w:jc w:val="center"/>
        <w:textAlignment w:val="baseline"/>
        <w:outlineLvl w:val="0"/>
        <w:rPr>
          <w:rFonts w:hint="eastAsia" w:cs="黑体"/>
          <w:b/>
          <w:bCs/>
          <w:color w:val="auto"/>
          <w:sz w:val="32"/>
          <w:szCs w:val="32"/>
          <w:highlight w:val="none"/>
          <w:lang w:eastAsia="zh-CN"/>
        </w:rPr>
      </w:pPr>
      <w:bookmarkStart w:id="0" w:name="_Toc1794"/>
      <w:bookmarkStart w:id="1" w:name="_Toc2192"/>
      <w:r>
        <w:rPr>
          <w:rFonts w:hint="eastAsia" w:cs="黑体"/>
          <w:b/>
          <w:bCs/>
          <w:color w:val="auto"/>
          <w:sz w:val="32"/>
          <w:szCs w:val="32"/>
          <w:highlight w:val="none"/>
        </w:rPr>
        <w:t>采购人：</w:t>
      </w:r>
      <w:bookmarkEnd w:id="0"/>
      <w:bookmarkEnd w:id="1"/>
      <w:bookmarkStart w:id="2" w:name="_Toc23140"/>
      <w:bookmarkStart w:id="3" w:name="_Toc14198"/>
      <w:r>
        <w:rPr>
          <w:rFonts w:hint="eastAsia" w:cs="黑体"/>
          <w:b/>
          <w:bCs/>
          <w:color w:val="auto"/>
          <w:sz w:val="32"/>
          <w:szCs w:val="32"/>
          <w:highlight w:val="none"/>
          <w:lang w:eastAsia="zh-CN"/>
        </w:rPr>
        <w:t>卢氏县农业农村局</w:t>
      </w:r>
    </w:p>
    <w:p w14:paraId="6F60ECE5">
      <w:pPr>
        <w:snapToGrid w:val="0"/>
        <w:spacing w:line="800" w:lineRule="exact"/>
        <w:jc w:val="center"/>
        <w:textAlignment w:val="baseline"/>
        <w:rPr>
          <w:rFonts w:hint="eastAsia" w:ascii="宋体" w:hAnsi="宋体"/>
          <w:b/>
          <w:color w:val="auto"/>
          <w:sz w:val="32"/>
          <w:highlight w:val="none"/>
          <w:lang w:eastAsia="zh-CN"/>
        </w:rPr>
      </w:pPr>
      <w:r>
        <w:rPr>
          <w:rFonts w:hint="eastAsia" w:cs="黑体"/>
          <w:b/>
          <w:bCs/>
          <w:color w:val="auto"/>
          <w:sz w:val="32"/>
          <w:szCs w:val="32"/>
          <w:highlight w:val="none"/>
        </w:rPr>
        <w:t>代理机构：</w:t>
      </w:r>
      <w:bookmarkEnd w:id="2"/>
      <w:bookmarkEnd w:id="3"/>
      <w:r>
        <w:rPr>
          <w:rFonts w:hint="eastAsia" w:ascii="宋体" w:hAnsi="宋体"/>
          <w:b/>
          <w:color w:val="auto"/>
          <w:sz w:val="32"/>
          <w:highlight w:val="none"/>
          <w:lang w:eastAsia="zh-CN"/>
        </w:rPr>
        <w:t xml:space="preserve">大业信息技术（河南）有限公司  </w:t>
      </w:r>
    </w:p>
    <w:p w14:paraId="74F30C11">
      <w:pPr>
        <w:snapToGrid w:val="0"/>
        <w:spacing w:line="800" w:lineRule="exact"/>
        <w:jc w:val="center"/>
        <w:textAlignment w:val="baseline"/>
        <w:rPr>
          <w:rFonts w:cs="黑体"/>
          <w:b/>
          <w:bCs/>
          <w:color w:val="auto"/>
          <w:sz w:val="32"/>
          <w:szCs w:val="32"/>
          <w:highlight w:val="none"/>
        </w:rPr>
      </w:pPr>
      <w:r>
        <w:rPr>
          <w:rFonts w:hint="eastAsia" w:cs="黑体"/>
          <w:b/>
          <w:bCs/>
          <w:color w:val="auto"/>
          <w:sz w:val="32"/>
          <w:szCs w:val="32"/>
          <w:highlight w:val="none"/>
        </w:rPr>
        <w:t>日期：二零二</w:t>
      </w:r>
      <w:r>
        <w:rPr>
          <w:rFonts w:hint="eastAsia" w:cs="黑体"/>
          <w:b/>
          <w:bCs/>
          <w:color w:val="auto"/>
          <w:sz w:val="32"/>
          <w:szCs w:val="32"/>
          <w:highlight w:val="none"/>
          <w:lang w:eastAsia="zh-CN"/>
        </w:rPr>
        <w:t>五</w:t>
      </w:r>
      <w:r>
        <w:rPr>
          <w:rFonts w:hint="eastAsia" w:cs="黑体"/>
          <w:b/>
          <w:bCs/>
          <w:color w:val="auto"/>
          <w:sz w:val="32"/>
          <w:szCs w:val="32"/>
          <w:highlight w:val="none"/>
        </w:rPr>
        <w:t>年</w:t>
      </w:r>
      <w:r>
        <w:rPr>
          <w:rFonts w:hint="eastAsia" w:cs="黑体"/>
          <w:b/>
          <w:bCs/>
          <w:color w:val="auto"/>
          <w:sz w:val="32"/>
          <w:szCs w:val="32"/>
          <w:highlight w:val="none"/>
          <w:lang w:val="en-US" w:eastAsia="zh-CN"/>
        </w:rPr>
        <w:t>十一</w:t>
      </w:r>
      <w:r>
        <w:rPr>
          <w:rFonts w:hint="eastAsia" w:cs="黑体"/>
          <w:b/>
          <w:bCs/>
          <w:color w:val="auto"/>
          <w:sz w:val="32"/>
          <w:szCs w:val="32"/>
          <w:highlight w:val="none"/>
        </w:rPr>
        <w:t>月</w:t>
      </w:r>
    </w:p>
    <w:p w14:paraId="34B7A381">
      <w:pPr>
        <w:spacing w:beforeAutospacing="0" w:afterAutospacing="0" w:line="360" w:lineRule="auto"/>
        <w:ind w:firstLine="1606" w:firstLineChars="500"/>
        <w:jc w:val="left"/>
        <w:rPr>
          <w:rFonts w:hint="eastAsia" w:ascii="宋体" w:hAnsi="宋体" w:eastAsia="宋体"/>
          <w:b/>
          <w:bCs/>
          <w:color w:val="auto"/>
          <w:sz w:val="32"/>
          <w:szCs w:val="28"/>
          <w:highlight w:val="none"/>
        </w:rPr>
        <w:sectPr>
          <w:headerReference r:id="rId5" w:type="first"/>
          <w:headerReference r:id="rId3" w:type="default"/>
          <w:footerReference r:id="rId6" w:type="default"/>
          <w:headerReference r:id="rId4" w:type="even"/>
          <w:footerReference r:id="rId7" w:type="even"/>
          <w:pgSz w:w="11906" w:h="16838"/>
          <w:pgMar w:top="1463" w:right="1026" w:bottom="1157" w:left="1080" w:header="1361" w:footer="1134" w:gutter="0"/>
          <w:pgNumType w:fmt="decimal" w:start="1"/>
          <w:cols w:space="720" w:num="1"/>
          <w:docGrid w:type="lines" w:linePitch="312" w:charSpace="0"/>
        </w:sectPr>
      </w:pPr>
    </w:p>
    <w:p w14:paraId="683481F8">
      <w:pPr>
        <w:snapToGrid w:val="0"/>
        <w:spacing w:beforeAutospacing="0" w:afterAutospacing="0" w:line="360" w:lineRule="auto"/>
        <w:jc w:val="center"/>
        <w:rPr>
          <w:rFonts w:hint="eastAsia" w:ascii="宋体" w:hAnsi="宋体" w:eastAsia="宋体"/>
          <w:b/>
          <w:color w:val="auto"/>
          <w:sz w:val="44"/>
          <w:szCs w:val="44"/>
          <w:highlight w:val="none"/>
        </w:rPr>
      </w:pPr>
      <w:r>
        <w:rPr>
          <w:rFonts w:hint="eastAsia" w:ascii="宋体" w:hAnsi="宋体" w:eastAsia="宋体"/>
          <w:b/>
          <w:color w:val="auto"/>
          <w:sz w:val="44"/>
          <w:szCs w:val="44"/>
          <w:highlight w:val="none"/>
        </w:rPr>
        <w:t>目   录</w:t>
      </w:r>
    </w:p>
    <w:p w14:paraId="5F7B8715">
      <w:pPr>
        <w:pStyle w:val="11"/>
        <w:tabs>
          <w:tab w:val="right" w:leader="dot" w:pos="9752"/>
        </w:tabs>
        <w:spacing w:line="480" w:lineRule="auto"/>
        <w:rPr>
          <w:color w:val="auto"/>
          <w:sz w:val="28"/>
          <w:szCs w:val="28"/>
          <w:highlight w:val="none"/>
        </w:rPr>
      </w:pPr>
      <w:bookmarkStart w:id="4" w:name="_Toc300834927"/>
      <w:r>
        <w:rPr>
          <w:rFonts w:ascii="宋体" w:hAnsi="宋体" w:eastAsia="宋体"/>
          <w:b/>
          <w:caps/>
          <w:color w:val="auto"/>
          <w:sz w:val="28"/>
          <w:szCs w:val="28"/>
          <w:highlight w:val="none"/>
        </w:rPr>
        <w:fldChar w:fldCharType="begin"/>
      </w:r>
      <w:r>
        <w:rPr>
          <w:rFonts w:hint="eastAsia" w:ascii="宋体" w:hAnsi="宋体" w:eastAsia="宋体"/>
          <w:b/>
          <w:caps/>
          <w:color w:val="auto"/>
          <w:sz w:val="28"/>
          <w:szCs w:val="28"/>
          <w:highlight w:val="none"/>
        </w:rPr>
        <w:instrText xml:space="preserve">TOC \o "1-3" \h \z \u</w:instrText>
      </w:r>
      <w:r>
        <w:rPr>
          <w:rFonts w:ascii="宋体" w:hAnsi="宋体" w:eastAsia="宋体"/>
          <w:b/>
          <w:caps/>
          <w:color w:val="auto"/>
          <w:sz w:val="28"/>
          <w:szCs w:val="28"/>
          <w:highlight w:val="none"/>
        </w:rPr>
        <w:fldChar w:fldCharType="separate"/>
      </w:r>
      <w:bookmarkEnd w:id="4"/>
      <w:bookmarkStart w:id="5" w:name="_Toc529947706"/>
      <w:bookmarkStart w:id="6" w:name="_Toc300834928"/>
      <w:bookmarkStart w:id="7" w:name="_Toc247527534"/>
      <w:bookmarkStart w:id="8" w:name="_Toc20826"/>
      <w:bookmarkStart w:id="9" w:name="_Toc247513933"/>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_Toc25128 </w:instrText>
      </w:r>
      <w:r>
        <w:rPr>
          <w:rFonts w:ascii="宋体" w:hAnsi="宋体" w:eastAsia="宋体"/>
          <w:caps/>
          <w:color w:val="auto"/>
          <w:sz w:val="28"/>
          <w:szCs w:val="28"/>
          <w:highlight w:val="none"/>
        </w:rPr>
        <w:fldChar w:fldCharType="separate"/>
      </w:r>
      <w:r>
        <w:rPr>
          <w:rFonts w:hint="eastAsia" w:ascii="宋体" w:hAnsi="宋体" w:eastAsia="宋体"/>
          <w:bCs/>
          <w:color w:val="auto"/>
          <w:sz w:val="28"/>
          <w:szCs w:val="28"/>
          <w:highlight w:val="none"/>
        </w:rPr>
        <w:t xml:space="preserve">第一章 </w:t>
      </w:r>
      <w:r>
        <w:rPr>
          <w:rFonts w:hint="eastAsia" w:ascii="宋体" w:hAnsi="宋体"/>
          <w:bCs/>
          <w:color w:val="auto"/>
          <w:sz w:val="28"/>
          <w:szCs w:val="28"/>
          <w:highlight w:val="none"/>
          <w:lang w:val="en-US" w:eastAsia="zh-CN"/>
        </w:rPr>
        <w:t xml:space="preserve"> </w:t>
      </w:r>
      <w:r>
        <w:rPr>
          <w:rFonts w:hint="eastAsia" w:ascii="宋体" w:hAnsi="宋体" w:eastAsia="宋体"/>
          <w:bCs/>
          <w:color w:val="auto"/>
          <w:sz w:val="28"/>
          <w:szCs w:val="28"/>
          <w:highlight w:val="none"/>
        </w:rPr>
        <w:t>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_Toc25128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ascii="宋体" w:hAnsi="宋体" w:eastAsia="宋体"/>
          <w:caps/>
          <w:color w:val="auto"/>
          <w:sz w:val="28"/>
          <w:szCs w:val="28"/>
          <w:highlight w:val="none"/>
        </w:rPr>
        <w:fldChar w:fldCharType="end"/>
      </w:r>
    </w:p>
    <w:p w14:paraId="54C8EE92">
      <w:pPr>
        <w:pStyle w:val="11"/>
        <w:tabs>
          <w:tab w:val="right" w:leader="dot" w:pos="9752"/>
        </w:tabs>
        <w:spacing w:line="480" w:lineRule="auto"/>
        <w:rPr>
          <w:color w:val="auto"/>
          <w:sz w:val="28"/>
          <w:szCs w:val="28"/>
          <w:highlight w:val="none"/>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_Toc29675 </w:instrText>
      </w:r>
      <w:r>
        <w:rPr>
          <w:rFonts w:ascii="宋体" w:hAnsi="宋体" w:eastAsia="宋体"/>
          <w:caps/>
          <w:color w:val="auto"/>
          <w:sz w:val="28"/>
          <w:szCs w:val="28"/>
          <w:highlight w:val="none"/>
        </w:rPr>
        <w:fldChar w:fldCharType="separate"/>
      </w:r>
      <w:r>
        <w:rPr>
          <w:rFonts w:hint="eastAsia" w:ascii="宋体" w:hAnsi="宋体" w:eastAsia="宋体"/>
          <w:bCs/>
          <w:color w:val="auto"/>
          <w:kern w:val="0"/>
          <w:sz w:val="28"/>
          <w:szCs w:val="28"/>
          <w:highlight w:val="none"/>
        </w:rPr>
        <w:t>第二章</w:t>
      </w:r>
      <w:r>
        <w:rPr>
          <w:rFonts w:hint="eastAsia" w:ascii="宋体" w:hAnsi="宋体"/>
          <w:bCs/>
          <w:color w:val="auto"/>
          <w:kern w:val="0"/>
          <w:sz w:val="28"/>
          <w:szCs w:val="28"/>
          <w:highlight w:val="none"/>
          <w:lang w:val="en-US" w:eastAsia="zh-CN"/>
        </w:rPr>
        <w:t xml:space="preserve">  </w:t>
      </w:r>
      <w:r>
        <w:rPr>
          <w:rFonts w:hint="eastAsia" w:ascii="宋体" w:hAnsi="宋体" w:eastAsia="宋体"/>
          <w:bCs/>
          <w:color w:val="auto"/>
          <w:sz w:val="28"/>
          <w:szCs w:val="28"/>
          <w:highlight w:val="none"/>
        </w:rPr>
        <w:t>供应商须知前附表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_Toc29675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ascii="宋体" w:hAnsi="宋体" w:eastAsia="宋体"/>
          <w:caps/>
          <w:color w:val="auto"/>
          <w:sz w:val="28"/>
          <w:szCs w:val="28"/>
          <w:highlight w:val="none"/>
        </w:rPr>
        <w:fldChar w:fldCharType="end"/>
      </w:r>
    </w:p>
    <w:p w14:paraId="7F11B6ED">
      <w:pPr>
        <w:pStyle w:val="11"/>
        <w:tabs>
          <w:tab w:val="right" w:leader="dot" w:pos="9752"/>
        </w:tabs>
        <w:spacing w:line="480" w:lineRule="auto"/>
        <w:rPr>
          <w:rFonts w:hint="eastAsia" w:eastAsia="宋体"/>
          <w:color w:val="auto"/>
          <w:sz w:val="28"/>
          <w:szCs w:val="28"/>
          <w:highlight w:val="none"/>
          <w:lang w:val="en-US" w:eastAsia="zh-CN"/>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_Toc18333 </w:instrText>
      </w:r>
      <w:r>
        <w:rPr>
          <w:rFonts w:ascii="宋体" w:hAnsi="宋体" w:eastAsia="宋体"/>
          <w:caps/>
          <w:color w:val="auto"/>
          <w:sz w:val="28"/>
          <w:szCs w:val="28"/>
          <w:highlight w:val="none"/>
        </w:rPr>
        <w:fldChar w:fldCharType="separate"/>
      </w:r>
      <w:r>
        <w:rPr>
          <w:rFonts w:hint="eastAsia" w:ascii="宋体" w:hAnsi="宋体"/>
          <w:bCs/>
          <w:color w:val="auto"/>
          <w:kern w:val="0"/>
          <w:sz w:val="28"/>
          <w:szCs w:val="28"/>
          <w:highlight w:val="none"/>
          <w:lang w:eastAsia="zh-CN"/>
        </w:rPr>
        <w:t>第三章</w:t>
      </w:r>
      <w:r>
        <w:rPr>
          <w:rFonts w:hint="eastAsia" w:ascii="宋体" w:hAnsi="宋体"/>
          <w:bCs/>
          <w:color w:val="auto"/>
          <w:kern w:val="0"/>
          <w:sz w:val="28"/>
          <w:szCs w:val="28"/>
          <w:highlight w:val="none"/>
          <w:lang w:val="en-US" w:eastAsia="zh-CN"/>
        </w:rPr>
        <w:t xml:space="preserve">  </w:t>
      </w:r>
      <w:r>
        <w:rPr>
          <w:rFonts w:hint="eastAsia" w:ascii="宋体" w:hAnsi="宋体" w:eastAsia="宋体"/>
          <w:bCs/>
          <w:color w:val="auto"/>
          <w:kern w:val="0"/>
          <w:sz w:val="28"/>
          <w:szCs w:val="28"/>
          <w:highlight w:val="none"/>
        </w:rPr>
        <w:t>服务需求及技术要求</w:t>
      </w:r>
      <w:r>
        <w:rPr>
          <w:color w:val="auto"/>
          <w:sz w:val="28"/>
          <w:szCs w:val="28"/>
          <w:highlight w:val="none"/>
        </w:rPr>
        <w:tab/>
      </w:r>
      <w:r>
        <w:rPr>
          <w:rFonts w:hint="eastAsia"/>
          <w:color w:val="auto"/>
          <w:sz w:val="28"/>
          <w:szCs w:val="28"/>
          <w:highlight w:val="none"/>
          <w:lang w:val="en-US" w:eastAsia="zh-CN"/>
        </w:rPr>
        <w:t>2</w:t>
      </w:r>
      <w:r>
        <w:rPr>
          <w:rFonts w:ascii="宋体" w:hAnsi="宋体" w:eastAsia="宋体"/>
          <w:caps/>
          <w:color w:val="auto"/>
          <w:sz w:val="28"/>
          <w:szCs w:val="28"/>
          <w:highlight w:val="none"/>
        </w:rPr>
        <w:fldChar w:fldCharType="end"/>
      </w:r>
      <w:r>
        <w:rPr>
          <w:rFonts w:hint="eastAsia" w:ascii="宋体" w:hAnsi="宋体"/>
          <w:caps/>
          <w:color w:val="auto"/>
          <w:sz w:val="28"/>
          <w:szCs w:val="28"/>
          <w:highlight w:val="none"/>
          <w:lang w:val="en-US" w:eastAsia="zh-CN"/>
        </w:rPr>
        <w:t>3</w:t>
      </w:r>
    </w:p>
    <w:p w14:paraId="355C5A80">
      <w:pPr>
        <w:pStyle w:val="11"/>
        <w:tabs>
          <w:tab w:val="right" w:leader="dot" w:pos="9752"/>
        </w:tabs>
        <w:spacing w:line="480" w:lineRule="auto"/>
        <w:rPr>
          <w:rFonts w:hint="eastAsia" w:eastAsia="宋体"/>
          <w:color w:val="auto"/>
          <w:sz w:val="28"/>
          <w:szCs w:val="28"/>
          <w:highlight w:val="none"/>
          <w:lang w:val="en-US" w:eastAsia="zh-CN"/>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_Toc19915 </w:instrText>
      </w:r>
      <w:r>
        <w:rPr>
          <w:rFonts w:ascii="宋体" w:hAnsi="宋体" w:eastAsia="宋体"/>
          <w:caps/>
          <w:color w:val="auto"/>
          <w:sz w:val="28"/>
          <w:szCs w:val="28"/>
          <w:highlight w:val="none"/>
        </w:rPr>
        <w:fldChar w:fldCharType="separate"/>
      </w:r>
      <w:r>
        <w:rPr>
          <w:rFonts w:hint="eastAsia" w:ascii="宋体" w:hAnsi="宋体" w:eastAsia="宋体"/>
          <w:bCs/>
          <w:color w:val="auto"/>
          <w:sz w:val="28"/>
          <w:szCs w:val="28"/>
          <w:highlight w:val="none"/>
        </w:rPr>
        <w:t>第</w:t>
      </w:r>
      <w:r>
        <w:rPr>
          <w:rFonts w:hint="eastAsia" w:ascii="宋体" w:hAnsi="宋体"/>
          <w:bCs/>
          <w:color w:val="auto"/>
          <w:sz w:val="28"/>
          <w:szCs w:val="28"/>
          <w:highlight w:val="none"/>
          <w:lang w:eastAsia="zh-CN"/>
        </w:rPr>
        <w:t>四</w:t>
      </w:r>
      <w:r>
        <w:rPr>
          <w:rFonts w:hint="eastAsia" w:ascii="宋体" w:hAnsi="宋体" w:eastAsia="宋体"/>
          <w:bCs/>
          <w:color w:val="auto"/>
          <w:sz w:val="28"/>
          <w:szCs w:val="28"/>
          <w:highlight w:val="none"/>
        </w:rPr>
        <w:t>章  评审标准</w:t>
      </w:r>
      <w:r>
        <w:rPr>
          <w:color w:val="auto"/>
          <w:sz w:val="28"/>
          <w:szCs w:val="28"/>
          <w:highlight w:val="none"/>
        </w:rPr>
        <w:tab/>
      </w:r>
      <w:r>
        <w:rPr>
          <w:rFonts w:hint="eastAsia"/>
          <w:color w:val="auto"/>
          <w:sz w:val="28"/>
          <w:szCs w:val="28"/>
          <w:highlight w:val="none"/>
          <w:lang w:val="en-US" w:eastAsia="zh-CN"/>
        </w:rPr>
        <w:t>3</w:t>
      </w:r>
      <w:r>
        <w:rPr>
          <w:rFonts w:ascii="宋体" w:hAnsi="宋体" w:eastAsia="宋体"/>
          <w:caps/>
          <w:color w:val="auto"/>
          <w:sz w:val="28"/>
          <w:szCs w:val="28"/>
          <w:highlight w:val="none"/>
        </w:rPr>
        <w:fldChar w:fldCharType="end"/>
      </w:r>
      <w:r>
        <w:rPr>
          <w:rFonts w:hint="eastAsia" w:ascii="宋体" w:hAnsi="宋体"/>
          <w:caps/>
          <w:color w:val="auto"/>
          <w:sz w:val="28"/>
          <w:szCs w:val="28"/>
          <w:highlight w:val="none"/>
          <w:lang w:val="en-US" w:eastAsia="zh-CN"/>
        </w:rPr>
        <w:t>6</w:t>
      </w:r>
    </w:p>
    <w:p w14:paraId="11768A18">
      <w:pPr>
        <w:pStyle w:val="11"/>
        <w:tabs>
          <w:tab w:val="right" w:leader="dot" w:pos="9752"/>
        </w:tabs>
        <w:spacing w:line="480" w:lineRule="auto"/>
        <w:rPr>
          <w:rFonts w:hint="eastAsia" w:eastAsia="宋体"/>
          <w:color w:val="auto"/>
          <w:sz w:val="28"/>
          <w:szCs w:val="28"/>
          <w:highlight w:val="none"/>
          <w:lang w:val="en-US" w:eastAsia="zh-CN"/>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_Toc8932 </w:instrText>
      </w:r>
      <w:r>
        <w:rPr>
          <w:rFonts w:ascii="宋体" w:hAnsi="宋体" w:eastAsia="宋体"/>
          <w:caps/>
          <w:color w:val="auto"/>
          <w:sz w:val="28"/>
          <w:szCs w:val="28"/>
          <w:highlight w:val="none"/>
        </w:rPr>
        <w:fldChar w:fldCharType="separate"/>
      </w:r>
      <w:r>
        <w:rPr>
          <w:rFonts w:hint="eastAsia" w:ascii="宋体" w:hAnsi="宋体" w:eastAsia="宋体"/>
          <w:bCs/>
          <w:color w:val="auto"/>
          <w:kern w:val="44"/>
          <w:sz w:val="28"/>
          <w:szCs w:val="28"/>
          <w:highlight w:val="none"/>
        </w:rPr>
        <w:t>第</w:t>
      </w:r>
      <w:r>
        <w:rPr>
          <w:rFonts w:hint="eastAsia" w:ascii="宋体" w:hAnsi="宋体"/>
          <w:bCs/>
          <w:color w:val="auto"/>
          <w:kern w:val="44"/>
          <w:sz w:val="28"/>
          <w:szCs w:val="28"/>
          <w:highlight w:val="none"/>
          <w:lang w:eastAsia="zh-CN"/>
        </w:rPr>
        <w:t>五</w:t>
      </w:r>
      <w:r>
        <w:rPr>
          <w:rFonts w:hint="eastAsia" w:ascii="宋体" w:hAnsi="宋体" w:eastAsia="宋体"/>
          <w:bCs/>
          <w:color w:val="auto"/>
          <w:kern w:val="44"/>
          <w:sz w:val="28"/>
          <w:szCs w:val="28"/>
          <w:highlight w:val="none"/>
        </w:rPr>
        <w:t xml:space="preserve">章 </w:t>
      </w:r>
      <w:r>
        <w:rPr>
          <w:rFonts w:hint="eastAsia" w:ascii="宋体" w:hAnsi="宋体"/>
          <w:bCs/>
          <w:color w:val="auto"/>
          <w:kern w:val="44"/>
          <w:sz w:val="28"/>
          <w:szCs w:val="28"/>
          <w:highlight w:val="none"/>
          <w:lang w:val="en-US" w:eastAsia="zh-CN"/>
        </w:rPr>
        <w:t xml:space="preserve"> </w:t>
      </w:r>
      <w:r>
        <w:rPr>
          <w:rFonts w:hint="eastAsia" w:ascii="宋体" w:hAnsi="宋体" w:eastAsia="宋体"/>
          <w:bCs/>
          <w:color w:val="auto"/>
          <w:kern w:val="44"/>
          <w:sz w:val="28"/>
          <w:szCs w:val="28"/>
          <w:highlight w:val="none"/>
        </w:rPr>
        <w:t>合同条款及格式</w:t>
      </w:r>
      <w:r>
        <w:rPr>
          <w:color w:val="auto"/>
          <w:sz w:val="28"/>
          <w:szCs w:val="28"/>
          <w:highlight w:val="none"/>
        </w:rPr>
        <w:tab/>
      </w:r>
      <w:r>
        <w:rPr>
          <w:rFonts w:hint="eastAsia"/>
          <w:color w:val="auto"/>
          <w:sz w:val="28"/>
          <w:szCs w:val="28"/>
          <w:highlight w:val="none"/>
          <w:lang w:val="en-US" w:eastAsia="zh-CN"/>
        </w:rPr>
        <w:t>43</w:t>
      </w:r>
      <w:r>
        <w:rPr>
          <w:rFonts w:ascii="宋体" w:hAnsi="宋体" w:eastAsia="宋体"/>
          <w:caps/>
          <w:color w:val="auto"/>
          <w:sz w:val="28"/>
          <w:szCs w:val="28"/>
          <w:highlight w:val="none"/>
        </w:rPr>
        <w:fldChar w:fldCharType="end"/>
      </w:r>
    </w:p>
    <w:p w14:paraId="3FDA9F87">
      <w:pPr>
        <w:pStyle w:val="11"/>
        <w:tabs>
          <w:tab w:val="right" w:leader="dot" w:pos="9752"/>
        </w:tabs>
        <w:spacing w:line="480" w:lineRule="auto"/>
        <w:rPr>
          <w:rFonts w:hint="eastAsia" w:eastAsia="宋体"/>
          <w:color w:val="auto"/>
          <w:sz w:val="28"/>
          <w:szCs w:val="28"/>
          <w:highlight w:val="none"/>
          <w:lang w:val="en-US" w:eastAsia="zh-CN"/>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_Toc1678 </w:instrText>
      </w:r>
      <w:r>
        <w:rPr>
          <w:rFonts w:ascii="宋体" w:hAnsi="宋体" w:eastAsia="宋体"/>
          <w:caps/>
          <w:color w:val="auto"/>
          <w:sz w:val="28"/>
          <w:szCs w:val="28"/>
          <w:highlight w:val="none"/>
        </w:rPr>
        <w:fldChar w:fldCharType="separate"/>
      </w:r>
      <w:r>
        <w:rPr>
          <w:rFonts w:hint="eastAsia" w:ascii="宋体" w:hAnsi="宋体" w:eastAsia="宋体"/>
          <w:color w:val="auto"/>
          <w:kern w:val="44"/>
          <w:sz w:val="28"/>
          <w:szCs w:val="28"/>
          <w:highlight w:val="none"/>
        </w:rPr>
        <w:t>第</w:t>
      </w:r>
      <w:r>
        <w:rPr>
          <w:rFonts w:hint="eastAsia" w:ascii="宋体" w:hAnsi="宋体"/>
          <w:color w:val="auto"/>
          <w:kern w:val="44"/>
          <w:sz w:val="28"/>
          <w:szCs w:val="28"/>
          <w:highlight w:val="none"/>
          <w:lang w:eastAsia="zh-CN"/>
        </w:rPr>
        <w:t>六</w:t>
      </w:r>
      <w:r>
        <w:rPr>
          <w:rFonts w:hint="eastAsia" w:ascii="宋体" w:hAnsi="宋体" w:eastAsia="宋体"/>
          <w:color w:val="auto"/>
          <w:kern w:val="44"/>
          <w:sz w:val="28"/>
          <w:szCs w:val="28"/>
          <w:highlight w:val="none"/>
        </w:rPr>
        <w:t>章  磋商响应文件格式</w:t>
      </w:r>
      <w:r>
        <w:rPr>
          <w:color w:val="auto"/>
          <w:sz w:val="28"/>
          <w:szCs w:val="28"/>
          <w:highlight w:val="none"/>
        </w:rPr>
        <w:tab/>
      </w:r>
      <w:r>
        <w:rPr>
          <w:rFonts w:hint="eastAsia"/>
          <w:color w:val="auto"/>
          <w:sz w:val="28"/>
          <w:szCs w:val="28"/>
          <w:highlight w:val="none"/>
          <w:lang w:val="en-US" w:eastAsia="zh-CN"/>
        </w:rPr>
        <w:t>4</w:t>
      </w:r>
      <w:r>
        <w:rPr>
          <w:rFonts w:ascii="宋体" w:hAnsi="宋体" w:eastAsia="宋体"/>
          <w:caps/>
          <w:color w:val="auto"/>
          <w:sz w:val="28"/>
          <w:szCs w:val="28"/>
          <w:highlight w:val="none"/>
        </w:rPr>
        <w:fldChar w:fldCharType="end"/>
      </w:r>
      <w:r>
        <w:rPr>
          <w:rFonts w:hint="eastAsia" w:ascii="宋体" w:hAnsi="宋体"/>
          <w:caps/>
          <w:color w:val="auto"/>
          <w:sz w:val="28"/>
          <w:szCs w:val="28"/>
          <w:highlight w:val="none"/>
          <w:lang w:val="en-US" w:eastAsia="zh-CN"/>
        </w:rPr>
        <w:t>6</w:t>
      </w:r>
    </w:p>
    <w:p w14:paraId="7A06CBC3">
      <w:pPr>
        <w:snapToGrid w:val="0"/>
        <w:spacing w:beforeAutospacing="0" w:afterAutospacing="0" w:line="480" w:lineRule="auto"/>
        <w:jc w:val="center"/>
        <w:rPr>
          <w:rFonts w:ascii="宋体" w:hAnsi="宋体" w:eastAsia="宋体"/>
          <w:b/>
          <w:caps/>
          <w:color w:val="auto"/>
          <w:sz w:val="36"/>
          <w:szCs w:val="36"/>
          <w:highlight w:val="none"/>
        </w:rPr>
      </w:pPr>
      <w:r>
        <w:rPr>
          <w:rFonts w:ascii="宋体" w:hAnsi="宋体" w:eastAsia="宋体"/>
          <w:caps/>
          <w:color w:val="auto"/>
          <w:sz w:val="28"/>
          <w:szCs w:val="28"/>
          <w:highlight w:val="none"/>
        </w:rPr>
        <w:fldChar w:fldCharType="end"/>
      </w:r>
    </w:p>
    <w:p w14:paraId="0CE26FA4">
      <w:pPr>
        <w:snapToGrid w:val="0"/>
        <w:spacing w:beforeAutospacing="0" w:afterAutospacing="0" w:line="360" w:lineRule="auto"/>
        <w:jc w:val="center"/>
        <w:rPr>
          <w:rFonts w:hint="eastAsia" w:ascii="宋体" w:hAnsi="宋体" w:eastAsia="宋体"/>
          <w:b/>
          <w:caps/>
          <w:color w:val="auto"/>
          <w:sz w:val="36"/>
          <w:szCs w:val="36"/>
          <w:highlight w:val="none"/>
          <w:lang w:eastAsia="zh-CN"/>
        </w:rPr>
      </w:pPr>
    </w:p>
    <w:p w14:paraId="4D625DF9">
      <w:pPr>
        <w:snapToGrid w:val="0"/>
        <w:spacing w:beforeAutospacing="0" w:afterAutospacing="0" w:line="360" w:lineRule="auto"/>
        <w:jc w:val="center"/>
        <w:rPr>
          <w:rFonts w:ascii="宋体" w:hAnsi="宋体" w:eastAsia="宋体"/>
          <w:b/>
          <w:caps/>
          <w:color w:val="auto"/>
          <w:sz w:val="36"/>
          <w:szCs w:val="36"/>
          <w:highlight w:val="none"/>
        </w:rPr>
      </w:pPr>
    </w:p>
    <w:p w14:paraId="52AAFC44">
      <w:pPr>
        <w:snapToGrid w:val="0"/>
        <w:spacing w:beforeAutospacing="0" w:afterAutospacing="0" w:line="360" w:lineRule="auto"/>
        <w:jc w:val="center"/>
        <w:rPr>
          <w:rFonts w:ascii="宋体" w:hAnsi="宋体" w:eastAsia="宋体"/>
          <w:b/>
          <w:caps/>
          <w:color w:val="auto"/>
          <w:sz w:val="36"/>
          <w:szCs w:val="36"/>
          <w:highlight w:val="none"/>
        </w:rPr>
      </w:pPr>
    </w:p>
    <w:p w14:paraId="37AE8678">
      <w:pPr>
        <w:snapToGrid w:val="0"/>
        <w:spacing w:beforeAutospacing="0" w:afterAutospacing="0" w:line="360" w:lineRule="auto"/>
        <w:jc w:val="center"/>
        <w:rPr>
          <w:rFonts w:ascii="宋体" w:hAnsi="宋体" w:eastAsia="宋体"/>
          <w:b/>
          <w:caps/>
          <w:color w:val="auto"/>
          <w:sz w:val="36"/>
          <w:szCs w:val="36"/>
          <w:highlight w:val="none"/>
        </w:rPr>
      </w:pPr>
    </w:p>
    <w:p w14:paraId="4C190DAF">
      <w:pPr>
        <w:snapToGrid w:val="0"/>
        <w:spacing w:beforeAutospacing="0" w:afterAutospacing="0" w:line="360" w:lineRule="auto"/>
        <w:jc w:val="center"/>
        <w:rPr>
          <w:rFonts w:ascii="宋体" w:hAnsi="宋体" w:eastAsia="宋体"/>
          <w:b/>
          <w:caps/>
          <w:color w:val="auto"/>
          <w:sz w:val="36"/>
          <w:szCs w:val="36"/>
          <w:highlight w:val="none"/>
        </w:rPr>
      </w:pPr>
    </w:p>
    <w:p w14:paraId="04396B9B">
      <w:pPr>
        <w:snapToGrid w:val="0"/>
        <w:spacing w:beforeAutospacing="0" w:afterAutospacing="0" w:line="360" w:lineRule="auto"/>
        <w:jc w:val="center"/>
        <w:rPr>
          <w:rFonts w:ascii="宋体" w:hAnsi="宋体" w:eastAsia="宋体"/>
          <w:b/>
          <w:caps/>
          <w:color w:val="auto"/>
          <w:sz w:val="36"/>
          <w:szCs w:val="36"/>
          <w:highlight w:val="none"/>
        </w:rPr>
      </w:pPr>
    </w:p>
    <w:p w14:paraId="22004ADF">
      <w:pPr>
        <w:rPr>
          <w:rFonts w:ascii="Calibri" w:hAnsi="Calibri" w:eastAsia="宋体"/>
          <w:color w:val="auto"/>
          <w:szCs w:val="24"/>
          <w:highlight w:val="none"/>
        </w:rPr>
      </w:pPr>
    </w:p>
    <w:p w14:paraId="5EE96AEA">
      <w:pPr>
        <w:snapToGrid w:val="0"/>
        <w:spacing w:beforeAutospacing="0" w:afterAutospacing="0" w:line="360" w:lineRule="auto"/>
        <w:jc w:val="center"/>
        <w:rPr>
          <w:rFonts w:ascii="宋体" w:hAnsi="宋体" w:eastAsia="宋体"/>
          <w:b/>
          <w:bCs/>
          <w:color w:val="auto"/>
          <w:sz w:val="36"/>
          <w:szCs w:val="36"/>
          <w:highlight w:val="none"/>
        </w:rPr>
        <w:sectPr>
          <w:headerReference r:id="rId9" w:type="first"/>
          <w:footerReference r:id="rId11" w:type="first"/>
          <w:headerReference r:id="rId8" w:type="default"/>
          <w:footerReference r:id="rId10" w:type="default"/>
          <w:pgSz w:w="11906" w:h="16838"/>
          <w:pgMar w:top="1361" w:right="1077" w:bottom="1361" w:left="1077" w:header="851" w:footer="964" w:gutter="0"/>
          <w:pgNumType w:fmt="decimal" w:start="1"/>
          <w:cols w:space="720" w:num="1"/>
          <w:docGrid w:type="lines" w:linePitch="312" w:charSpace="0"/>
        </w:sectPr>
      </w:pPr>
    </w:p>
    <w:p w14:paraId="6C19BE7D">
      <w:pPr>
        <w:snapToGrid w:val="0"/>
        <w:spacing w:beforeAutospacing="0" w:afterAutospacing="0" w:line="360" w:lineRule="auto"/>
        <w:jc w:val="center"/>
        <w:outlineLvl w:val="0"/>
        <w:rPr>
          <w:rFonts w:hint="eastAsia" w:ascii="宋体" w:hAnsi="宋体" w:eastAsia="宋体"/>
          <w:b/>
          <w:bCs/>
          <w:color w:val="auto"/>
          <w:sz w:val="36"/>
          <w:szCs w:val="36"/>
          <w:highlight w:val="none"/>
        </w:rPr>
      </w:pPr>
      <w:bookmarkStart w:id="10" w:name="_Toc25128"/>
      <w:r>
        <w:rPr>
          <w:rFonts w:hint="eastAsia" w:ascii="宋体" w:hAnsi="宋体" w:eastAsia="宋体"/>
          <w:b/>
          <w:bCs/>
          <w:color w:val="auto"/>
          <w:sz w:val="36"/>
          <w:szCs w:val="36"/>
          <w:highlight w:val="none"/>
        </w:rPr>
        <w:t>第一章 竞争性磋商公告</w:t>
      </w:r>
      <w:bookmarkEnd w:id="10"/>
    </w:p>
    <w:bookmarkEnd w:id="5"/>
    <w:bookmarkEnd w:id="6"/>
    <w:bookmarkEnd w:id="7"/>
    <w:bookmarkEnd w:id="8"/>
    <w:bookmarkEnd w:id="9"/>
    <w:p w14:paraId="1446648E">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1"/>
          <w:highlight w:val="none"/>
          <w:lang w:eastAsia="zh-CN"/>
        </w:rPr>
      </w:pPr>
      <w:bookmarkStart w:id="11" w:name="_Toc247527551"/>
      <w:bookmarkStart w:id="12" w:name="_Toc300834947"/>
      <w:bookmarkStart w:id="13" w:name="_Toc152045527"/>
      <w:bookmarkStart w:id="14" w:name="_Toc247513950"/>
      <w:bookmarkStart w:id="15" w:name="_Toc152042303"/>
      <w:bookmarkStart w:id="16" w:name="_Toc144974495"/>
      <w:bookmarkStart w:id="17" w:name="_Toc2243"/>
      <w:bookmarkStart w:id="18" w:name="_Toc136676025"/>
      <w:r>
        <w:rPr>
          <w:rFonts w:hint="eastAsia" w:ascii="宋体" w:hAnsi="宋体"/>
          <w:bCs/>
          <w:color w:val="auto"/>
          <w:kern w:val="0"/>
          <w:sz w:val="24"/>
          <w:szCs w:val="21"/>
          <w:highlight w:val="none"/>
          <w:lang w:eastAsia="zh-CN"/>
        </w:rPr>
        <w:t>大业信息技术（河南）有限公司</w:t>
      </w:r>
      <w:r>
        <w:rPr>
          <w:rFonts w:hint="eastAsia" w:ascii="宋体" w:hAnsi="宋体" w:eastAsia="宋体"/>
          <w:bCs/>
          <w:color w:val="auto"/>
          <w:kern w:val="0"/>
          <w:sz w:val="24"/>
          <w:szCs w:val="21"/>
          <w:highlight w:val="none"/>
        </w:rPr>
        <w:t>受</w:t>
      </w:r>
      <w:r>
        <w:rPr>
          <w:rFonts w:hint="eastAsia" w:ascii="宋体" w:hAnsi="宋体"/>
          <w:bCs/>
          <w:color w:val="auto"/>
          <w:kern w:val="0"/>
          <w:sz w:val="24"/>
          <w:szCs w:val="21"/>
          <w:highlight w:val="none"/>
          <w:lang w:eastAsia="zh-CN"/>
        </w:rPr>
        <w:t>卢氏县农业农村局</w:t>
      </w:r>
      <w:r>
        <w:rPr>
          <w:rFonts w:hint="eastAsia" w:ascii="宋体" w:hAnsi="宋体" w:eastAsia="宋体"/>
          <w:bCs/>
          <w:color w:val="auto"/>
          <w:kern w:val="0"/>
          <w:sz w:val="24"/>
          <w:szCs w:val="21"/>
          <w:highlight w:val="none"/>
        </w:rPr>
        <w:t>的委托</w:t>
      </w:r>
      <w:r>
        <w:rPr>
          <w:rFonts w:hint="eastAsia" w:ascii="宋体" w:hAnsi="宋体"/>
          <w:bCs/>
          <w:color w:val="auto"/>
          <w:kern w:val="0"/>
          <w:sz w:val="24"/>
          <w:szCs w:val="21"/>
          <w:highlight w:val="none"/>
          <w:lang w:eastAsia="zh-CN"/>
        </w:rPr>
        <w:t>，就卢氏优质地理产品生境保护与可持续发展案例研发项目进行竞争性磋商</w:t>
      </w:r>
      <w:r>
        <w:rPr>
          <w:rFonts w:hint="eastAsia" w:ascii="宋体" w:hAnsi="宋体" w:eastAsia="宋体"/>
          <w:bCs/>
          <w:color w:val="auto"/>
          <w:kern w:val="0"/>
          <w:sz w:val="24"/>
          <w:szCs w:val="21"/>
          <w:highlight w:val="none"/>
        </w:rPr>
        <w:t>，该项目已具备磋商条件,欢迎符合资格条件的供应商参加。</w:t>
      </w:r>
    </w:p>
    <w:p w14:paraId="4C6E52BC">
      <w:pPr>
        <w:keepNext w:val="0"/>
        <w:keepLines w:val="0"/>
        <w:pageBreakBefore w:val="0"/>
        <w:widowControl w:val="0"/>
        <w:numPr>
          <w:ilvl w:val="0"/>
          <w:numId w:val="1"/>
        </w:numPr>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rPr>
      </w:pPr>
      <w:r>
        <w:rPr>
          <w:rFonts w:hint="eastAsia" w:ascii="宋体" w:hAnsi="宋体" w:eastAsia="宋体"/>
          <w:bCs/>
          <w:color w:val="auto"/>
          <w:sz w:val="24"/>
          <w:szCs w:val="21"/>
          <w:highlight w:val="none"/>
        </w:rPr>
        <w:t>项目概括及磋商范围：</w:t>
      </w:r>
    </w:p>
    <w:p w14:paraId="52BF4682">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bCs/>
          <w:color w:val="auto"/>
          <w:sz w:val="24"/>
          <w:szCs w:val="21"/>
          <w:highlight w:val="none"/>
          <w:lang w:val="en-US" w:eastAsia="zh-CN"/>
        </w:rPr>
        <w:t>1、</w:t>
      </w:r>
      <w:r>
        <w:rPr>
          <w:rFonts w:hint="eastAsia" w:ascii="宋体" w:hAnsi="宋体" w:eastAsia="宋体"/>
          <w:bCs/>
          <w:color w:val="auto"/>
          <w:sz w:val="24"/>
          <w:szCs w:val="21"/>
          <w:highlight w:val="none"/>
          <w:lang w:val="en-US" w:eastAsia="zh-CN"/>
        </w:rPr>
        <w:t>采购人：卢氏县农业农村局</w:t>
      </w:r>
    </w:p>
    <w:p w14:paraId="707EB0C2">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2、项目名称：卢氏优质地理产品生境保护与可持续发展案例研发项目</w:t>
      </w:r>
    </w:p>
    <w:p w14:paraId="504039BC">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yellow"/>
          <w:lang w:val="en-US" w:eastAsia="zh-CN"/>
        </w:rPr>
      </w:pPr>
      <w:r>
        <w:rPr>
          <w:rFonts w:hint="eastAsia" w:ascii="宋体" w:hAnsi="宋体" w:eastAsia="宋体"/>
          <w:bCs/>
          <w:color w:val="auto"/>
          <w:sz w:val="24"/>
          <w:szCs w:val="21"/>
          <w:highlight w:val="none"/>
          <w:lang w:val="en-US" w:eastAsia="zh-CN"/>
        </w:rPr>
        <w:t>3</w:t>
      </w:r>
      <w:r>
        <w:rPr>
          <w:rFonts w:hint="eastAsia" w:ascii="宋体" w:hAnsi="宋体" w:eastAsia="宋体"/>
          <w:bCs/>
          <w:color w:val="auto"/>
          <w:sz w:val="24"/>
          <w:szCs w:val="21"/>
          <w:highlight w:val="none"/>
        </w:rPr>
        <w:t>、项目编号：三卢竞磋采购-2025-116、LSGZ[2025]308-ZC175</w:t>
      </w:r>
    </w:p>
    <w:p w14:paraId="16908C8D">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4</w:t>
      </w:r>
      <w:r>
        <w:rPr>
          <w:rFonts w:hint="eastAsia" w:ascii="宋体" w:hAnsi="宋体" w:eastAsia="宋体"/>
          <w:bCs/>
          <w:color w:val="auto"/>
          <w:sz w:val="24"/>
          <w:szCs w:val="21"/>
          <w:highlight w:val="none"/>
        </w:rPr>
        <w:t>、服务内容：</w:t>
      </w:r>
      <w:r>
        <w:rPr>
          <w:rFonts w:hint="eastAsia" w:ascii="宋体" w:hAnsi="宋体"/>
          <w:bCs/>
          <w:color w:val="auto"/>
          <w:sz w:val="24"/>
          <w:szCs w:val="21"/>
          <w:highlight w:val="none"/>
          <w:lang w:eastAsia="zh-CN"/>
        </w:rPr>
        <w:t>开展卢氏蜂蜜生境相关的气候、土壤等现状调查，制定卢氏生境保护与可持续发展案例标准，设置地标生境主要指标实时开放信息地面站，溯源系统与品牌建设。</w:t>
      </w:r>
      <w:r>
        <w:rPr>
          <w:rFonts w:hint="eastAsia" w:ascii="宋体" w:hAnsi="宋体"/>
          <w:bCs/>
          <w:color w:val="auto"/>
          <w:sz w:val="24"/>
          <w:szCs w:val="21"/>
          <w:highlight w:val="none"/>
          <w:lang w:val="en-US" w:eastAsia="zh-CN"/>
        </w:rPr>
        <w:t>(具体内容详见第三章)</w:t>
      </w:r>
    </w:p>
    <w:p w14:paraId="05D78823">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1"/>
          <w:highlight w:val="none"/>
          <w:lang w:val="en-US" w:eastAsia="zh-CN"/>
        </w:rPr>
      </w:pPr>
      <w:r>
        <w:rPr>
          <w:rFonts w:hint="eastAsia" w:ascii="宋体" w:hAnsi="宋体" w:eastAsia="宋体"/>
          <w:bCs/>
          <w:color w:val="auto"/>
          <w:kern w:val="0"/>
          <w:sz w:val="24"/>
          <w:szCs w:val="21"/>
          <w:highlight w:val="none"/>
          <w:lang w:val="en-US" w:eastAsia="zh-CN"/>
        </w:rPr>
        <w:t>5</w:t>
      </w:r>
      <w:r>
        <w:rPr>
          <w:rFonts w:hint="eastAsia" w:ascii="宋体" w:hAnsi="宋体" w:eastAsia="宋体"/>
          <w:bCs/>
          <w:color w:val="auto"/>
          <w:kern w:val="0"/>
          <w:sz w:val="24"/>
          <w:szCs w:val="21"/>
          <w:highlight w:val="none"/>
        </w:rPr>
        <w:t>、</w:t>
      </w:r>
      <w:r>
        <w:rPr>
          <w:rFonts w:hint="eastAsia" w:ascii="宋体" w:hAnsi="宋体" w:eastAsia="宋体"/>
          <w:bCs/>
          <w:color w:val="auto"/>
          <w:kern w:val="0"/>
          <w:sz w:val="24"/>
          <w:szCs w:val="21"/>
          <w:highlight w:val="none"/>
          <w:lang w:val="en-US" w:eastAsia="zh-CN"/>
        </w:rPr>
        <w:t>采购预算</w:t>
      </w:r>
      <w:r>
        <w:rPr>
          <w:rFonts w:hint="eastAsia" w:ascii="宋体" w:hAnsi="宋体" w:eastAsia="宋体"/>
          <w:bCs/>
          <w:color w:val="auto"/>
          <w:kern w:val="0"/>
          <w:sz w:val="24"/>
          <w:szCs w:val="24"/>
          <w:highlight w:val="none"/>
          <w:lang w:val="en-US" w:eastAsia="zh-CN"/>
        </w:rPr>
        <w:t>：600000.00元</w:t>
      </w:r>
    </w:p>
    <w:p w14:paraId="7CA2EE8A">
      <w:pPr>
        <w:keepNext w:val="0"/>
        <w:keepLines w:val="0"/>
        <w:pageBreakBefore w:val="0"/>
        <w:widowControl w:val="0"/>
        <w:tabs>
          <w:tab w:val="center" w:pos="5255"/>
        </w:tabs>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6</w:t>
      </w:r>
      <w:r>
        <w:rPr>
          <w:rFonts w:hint="eastAsia" w:ascii="宋体" w:hAnsi="宋体" w:eastAsia="宋体"/>
          <w:bCs/>
          <w:color w:val="auto"/>
          <w:sz w:val="24"/>
          <w:szCs w:val="21"/>
          <w:highlight w:val="none"/>
        </w:rPr>
        <w:t>、资金来源：财政资金，已落实</w:t>
      </w:r>
    </w:p>
    <w:p w14:paraId="4B7C0B0F">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7</w:t>
      </w:r>
      <w:r>
        <w:rPr>
          <w:rFonts w:hint="eastAsia" w:ascii="宋体" w:hAnsi="宋体" w:eastAsia="宋体"/>
          <w:bCs/>
          <w:color w:val="auto"/>
          <w:sz w:val="24"/>
          <w:szCs w:val="21"/>
          <w:highlight w:val="none"/>
        </w:rPr>
        <w:t>、标段划分：一个标段</w:t>
      </w:r>
    </w:p>
    <w:p w14:paraId="430E3402">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8</w:t>
      </w:r>
      <w:r>
        <w:rPr>
          <w:rFonts w:hint="eastAsia" w:ascii="宋体" w:hAnsi="宋体" w:eastAsia="宋体"/>
          <w:bCs/>
          <w:color w:val="auto"/>
          <w:sz w:val="24"/>
          <w:szCs w:val="21"/>
          <w:highlight w:val="none"/>
        </w:rPr>
        <w:t>、质量要求：</w:t>
      </w:r>
      <w:r>
        <w:rPr>
          <w:rFonts w:hint="eastAsia" w:ascii="宋体" w:hAnsi="宋体" w:eastAsia="宋体"/>
          <w:bCs/>
          <w:color w:val="auto"/>
          <w:sz w:val="24"/>
          <w:szCs w:val="21"/>
          <w:highlight w:val="none"/>
          <w:lang w:eastAsia="zh-CN"/>
        </w:rPr>
        <w:t>符合国家相关技术规范和质控要求</w:t>
      </w:r>
      <w:r>
        <w:rPr>
          <w:rFonts w:hint="eastAsia" w:ascii="宋体" w:hAnsi="宋体"/>
          <w:bCs/>
          <w:color w:val="auto"/>
          <w:sz w:val="24"/>
          <w:szCs w:val="21"/>
          <w:highlight w:val="none"/>
          <w:lang w:eastAsia="zh-CN"/>
        </w:rPr>
        <w:t>；</w:t>
      </w:r>
      <w:r>
        <w:rPr>
          <w:rFonts w:hint="eastAsia" w:ascii="宋体" w:hAnsi="宋体"/>
          <w:bCs/>
          <w:color w:val="auto"/>
          <w:sz w:val="24"/>
          <w:szCs w:val="21"/>
          <w:highlight w:val="none"/>
          <w:lang w:val="en-US" w:eastAsia="zh-CN"/>
        </w:rPr>
        <w:t>满足采购人需求</w:t>
      </w:r>
    </w:p>
    <w:p w14:paraId="54C3FF24">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bCs/>
          <w:color w:val="auto"/>
          <w:sz w:val="24"/>
          <w:szCs w:val="21"/>
          <w:highlight w:val="none"/>
          <w:lang w:val="en-US" w:eastAsia="zh-CN"/>
        </w:rPr>
      </w:pPr>
      <w:r>
        <w:rPr>
          <w:rFonts w:hint="eastAsia" w:ascii="宋体" w:hAnsi="宋体"/>
          <w:bCs/>
          <w:color w:val="auto"/>
          <w:sz w:val="24"/>
          <w:szCs w:val="21"/>
          <w:highlight w:val="none"/>
          <w:lang w:val="en-US" w:eastAsia="zh-CN"/>
        </w:rPr>
        <w:t>9</w:t>
      </w:r>
      <w:r>
        <w:rPr>
          <w:rFonts w:hint="eastAsia" w:ascii="宋体" w:hAnsi="宋体"/>
          <w:bCs/>
          <w:color w:val="auto"/>
          <w:sz w:val="24"/>
          <w:szCs w:val="21"/>
          <w:highlight w:val="none"/>
        </w:rPr>
        <w:t>、服务周期：</w:t>
      </w:r>
      <w:r>
        <w:rPr>
          <w:rFonts w:hint="eastAsia" w:ascii="宋体" w:hAnsi="宋体"/>
          <w:bCs/>
          <w:color w:val="auto"/>
          <w:sz w:val="24"/>
          <w:szCs w:val="21"/>
          <w:highlight w:val="none"/>
          <w:lang w:val="en-US" w:eastAsia="zh-CN"/>
        </w:rPr>
        <w:t>合同签订后至2026年6月底</w:t>
      </w:r>
    </w:p>
    <w:p w14:paraId="7451748B">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10、项目地点：卢氏县境内</w:t>
      </w:r>
    </w:p>
    <w:p w14:paraId="7C9B1969">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zh-CN" w:eastAsia="zh-CN"/>
        </w:rPr>
        <w:t>11、</w:t>
      </w:r>
      <w:r>
        <w:rPr>
          <w:rFonts w:hint="eastAsia" w:ascii="宋体" w:hAnsi="宋体" w:eastAsia="宋体"/>
          <w:bCs/>
          <w:color w:val="auto"/>
          <w:sz w:val="24"/>
          <w:szCs w:val="21"/>
          <w:highlight w:val="none"/>
          <w:lang w:val="en-US" w:eastAsia="zh-CN"/>
        </w:rPr>
        <w:t>是否接受进口产品：否</w:t>
      </w:r>
    </w:p>
    <w:p w14:paraId="0A8DC0B6">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12、本项目非专门面向中小企业、监狱企业及残疾人福利性单位采购项目</w:t>
      </w:r>
    </w:p>
    <w:p w14:paraId="058B52DA">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rPr>
      </w:pPr>
      <w:r>
        <w:rPr>
          <w:rFonts w:hint="eastAsia" w:ascii="宋体" w:hAnsi="宋体" w:eastAsia="宋体"/>
          <w:bCs/>
          <w:color w:val="auto"/>
          <w:sz w:val="24"/>
          <w:szCs w:val="21"/>
          <w:highlight w:val="none"/>
        </w:rPr>
        <w:t>二、供应商资格要求：</w:t>
      </w:r>
    </w:p>
    <w:p w14:paraId="100EAD63">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color w:val="auto"/>
          <w:sz w:val="24"/>
          <w:szCs w:val="24"/>
          <w:highlight w:val="none"/>
        </w:rPr>
      </w:pPr>
      <w:r>
        <w:rPr>
          <w:rFonts w:hint="eastAsia"/>
          <w:color w:val="auto"/>
          <w:sz w:val="24"/>
          <w:szCs w:val="24"/>
          <w:highlight w:val="none"/>
          <w:lang w:eastAsia="zh-CN"/>
        </w:rPr>
        <w:t>（一）</w:t>
      </w:r>
      <w:r>
        <w:rPr>
          <w:rFonts w:hint="eastAsia"/>
          <w:color w:val="auto"/>
          <w:sz w:val="24"/>
          <w:szCs w:val="24"/>
          <w:highlight w:val="none"/>
          <w:lang w:val="en-US" w:eastAsia="zh-CN"/>
        </w:rPr>
        <w:t>落实政府采购政策满足的资格要求：本项目执行促进中小型企业发展政策（残疾人福利性企业、监狱企业视同小微企业）、优先采购节能环保产品等政府采购政策。</w:t>
      </w:r>
    </w:p>
    <w:p w14:paraId="2D7CB192">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（二）</w:t>
      </w:r>
      <w:r>
        <w:rPr>
          <w:rFonts w:hint="eastAsia" w:ascii="宋体" w:hAnsi="宋体" w:eastAsia="宋体"/>
          <w:bCs/>
          <w:color w:val="auto"/>
          <w:sz w:val="24"/>
          <w:szCs w:val="21"/>
          <w:highlight w:val="none"/>
        </w:rPr>
        <w:t>供应商参加本次政府采购活动必须符合《中华人民共和国政府采购法》第二十二条</w:t>
      </w:r>
      <w:r>
        <w:rPr>
          <w:rFonts w:hint="eastAsia"/>
          <w:color w:val="auto"/>
          <w:sz w:val="24"/>
          <w:szCs w:val="24"/>
          <w:highlight w:val="none"/>
          <w:lang w:val="en-US" w:eastAsia="zh-CN"/>
        </w:rPr>
        <w:t>的规定并同时具备下列条件：</w:t>
      </w:r>
    </w:p>
    <w:p w14:paraId="79AF2E04">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1、供应商须具有合法有效的营业执照或事业单位法人证书；</w:t>
      </w:r>
    </w:p>
    <w:p w14:paraId="198C3EEF">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2、具有履行合同所必需的设备和专业技术能力（提供承诺书，格式自拟）；</w:t>
      </w:r>
    </w:p>
    <w:p w14:paraId="7F8FB2E4">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3、</w:t>
      </w:r>
      <w:r>
        <w:rPr>
          <w:rFonts w:hint="eastAsia" w:ascii="宋体" w:hAnsi="宋体" w:eastAsia="宋体"/>
          <w:bCs/>
          <w:color w:val="auto"/>
          <w:sz w:val="24"/>
          <w:szCs w:val="21"/>
          <w:highlight w:val="none"/>
        </w:rPr>
        <w:t>参加政府采购活动前3年内无行贿犯罪记录商业贿赂、不正当竞争行为、骗取中标、严重违约</w:t>
      </w:r>
      <w:r>
        <w:rPr>
          <w:rFonts w:hint="eastAsia" w:ascii="宋体" w:hAnsi="宋体" w:eastAsia="宋体"/>
          <w:bCs/>
          <w:color w:val="auto"/>
          <w:sz w:val="24"/>
          <w:szCs w:val="21"/>
          <w:highlight w:val="none"/>
          <w:lang w:val="en-US" w:eastAsia="zh-CN"/>
        </w:rPr>
        <w:t>等</w:t>
      </w:r>
      <w:r>
        <w:rPr>
          <w:rFonts w:hint="eastAsia" w:ascii="宋体" w:hAnsi="宋体" w:eastAsia="宋体"/>
          <w:bCs/>
          <w:color w:val="auto"/>
          <w:sz w:val="24"/>
          <w:szCs w:val="21"/>
          <w:highlight w:val="none"/>
        </w:rPr>
        <w:t>问题；开标时提供投标企业出具无行贿犯罪记录在中国裁判文书网自行查询或自行承诺（查询对象为企业、法定代表人）及企业注册地工商管理部门出具的无商业贿赂和不</w:t>
      </w:r>
      <w:r>
        <w:rPr>
          <w:rFonts w:hint="eastAsia" w:ascii="宋体" w:hAnsi="宋体" w:eastAsia="宋体"/>
          <w:bCs/>
          <w:color w:val="auto"/>
          <w:sz w:val="24"/>
          <w:szCs w:val="21"/>
          <w:highlight w:val="none"/>
          <w:lang w:val="en-US" w:eastAsia="zh-CN"/>
        </w:rPr>
        <w:t>正当竞争证明（开具时间在有效期内），若当地工商管理部门不办理此项业务，供应商须自行出具本企业无商业贿赂和不正当竞争行为承诺书；</w:t>
      </w:r>
    </w:p>
    <w:p w14:paraId="759A8525">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4、企业没有被列入“信用中国”网站的“失信被执行人”、“重大税收违法失信主体”及“中国政府采购网”网站的“政府采购严重违法失信行为记录名单”的投标人（查询渠道：“信用中国”网站（www.creditchina.gov.cn）、中国政府采购网（www.ccgp.gov.cn）。(注：査询时间必须是磋商公告发布以后开标时间以前，并提供网站查询网页截图，查询结果清晰可见)</w:t>
      </w:r>
    </w:p>
    <w:p w14:paraId="00A914E4">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ascii="宋体" w:hAnsi="宋体" w:eastAsia="宋体"/>
          <w:bCs/>
          <w:color w:val="auto"/>
          <w:sz w:val="24"/>
          <w:szCs w:val="21"/>
          <w:highlight w:val="none"/>
          <w:lang w:val="zh-CN" w:eastAsia="zh-CN"/>
        </w:rPr>
      </w:pPr>
      <w:r>
        <w:rPr>
          <w:rFonts w:hint="eastAsia" w:ascii="宋体" w:hAnsi="宋体" w:eastAsia="宋体"/>
          <w:bCs/>
          <w:color w:val="auto"/>
          <w:sz w:val="24"/>
          <w:szCs w:val="21"/>
          <w:highlight w:val="none"/>
          <w:lang w:val="en-US" w:eastAsia="zh-CN"/>
        </w:rPr>
        <w:t>5、本次磋商</w:t>
      </w:r>
      <w:r>
        <w:rPr>
          <w:rFonts w:hint="eastAsia" w:ascii="宋体" w:hAnsi="宋体" w:eastAsia="宋体"/>
          <w:bCs/>
          <w:color w:val="auto"/>
          <w:sz w:val="24"/>
          <w:szCs w:val="21"/>
          <w:highlight w:val="none"/>
          <w:lang w:val="zh-CN" w:eastAsia="zh-CN"/>
        </w:rPr>
        <w:t>接受联合体投标，联合体投标，应满足以下要求：</w:t>
      </w:r>
    </w:p>
    <w:p w14:paraId="107AFFD8">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ascii="宋体" w:hAnsi="宋体" w:eastAsia="宋体"/>
          <w:bCs/>
          <w:color w:val="auto"/>
          <w:sz w:val="24"/>
          <w:szCs w:val="21"/>
          <w:highlight w:val="none"/>
          <w:lang w:val="zh-CN" w:eastAsia="zh-CN"/>
        </w:rPr>
      </w:pPr>
      <w:r>
        <w:rPr>
          <w:rFonts w:hint="eastAsia" w:ascii="宋体" w:hAnsi="宋体" w:eastAsia="宋体"/>
          <w:bCs/>
          <w:color w:val="auto"/>
          <w:sz w:val="24"/>
          <w:szCs w:val="21"/>
          <w:highlight w:val="none"/>
          <w:lang w:val="en-US" w:eastAsia="zh-CN"/>
        </w:rPr>
        <w:t>1）</w:t>
      </w:r>
      <w:r>
        <w:rPr>
          <w:rFonts w:hint="eastAsia" w:ascii="宋体" w:hAnsi="宋体" w:eastAsia="宋体"/>
          <w:bCs/>
          <w:color w:val="auto"/>
          <w:sz w:val="24"/>
          <w:szCs w:val="21"/>
          <w:highlight w:val="none"/>
          <w:lang w:val="zh-CN" w:eastAsia="zh-CN"/>
        </w:rPr>
        <w:t>联合体成员不超过2家（含联合体牵头人）；</w:t>
      </w:r>
    </w:p>
    <w:p w14:paraId="7E93A814">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2）</w:t>
      </w:r>
      <w:r>
        <w:rPr>
          <w:rFonts w:hint="eastAsia" w:ascii="宋体" w:hAnsi="宋体" w:eastAsia="宋体"/>
          <w:bCs/>
          <w:color w:val="auto"/>
          <w:sz w:val="24"/>
          <w:szCs w:val="21"/>
          <w:highlight w:val="none"/>
          <w:lang w:val="zh-CN" w:eastAsia="zh-CN"/>
        </w:rPr>
        <w:t>若联合体投标成员同时承担</w:t>
      </w:r>
      <w:r>
        <w:rPr>
          <w:rFonts w:hint="eastAsia" w:ascii="宋体" w:hAnsi="宋体" w:eastAsia="宋体"/>
          <w:bCs/>
          <w:color w:val="auto"/>
          <w:sz w:val="24"/>
          <w:szCs w:val="21"/>
          <w:highlight w:val="none"/>
          <w:lang w:val="en-US" w:eastAsia="zh-CN"/>
        </w:rPr>
        <w:t>编制</w:t>
      </w:r>
      <w:r>
        <w:rPr>
          <w:rFonts w:hint="eastAsia" w:ascii="宋体" w:hAnsi="宋体" w:eastAsia="宋体"/>
          <w:bCs/>
          <w:color w:val="auto"/>
          <w:sz w:val="24"/>
          <w:szCs w:val="21"/>
          <w:highlight w:val="none"/>
          <w:lang w:val="zh-CN" w:eastAsia="zh-CN"/>
        </w:rPr>
        <w:t>任务的，</w:t>
      </w:r>
      <w:r>
        <w:rPr>
          <w:rFonts w:hint="eastAsia" w:ascii="宋体" w:hAnsi="宋体" w:eastAsia="宋体"/>
          <w:bCs/>
          <w:color w:val="auto"/>
          <w:sz w:val="24"/>
          <w:szCs w:val="21"/>
          <w:highlight w:val="none"/>
          <w:lang w:val="en-US" w:eastAsia="zh-CN"/>
        </w:rPr>
        <w:t>联合体各方均须满足上述供应商资格要求；</w:t>
      </w:r>
    </w:p>
    <w:p w14:paraId="5C36D1DA">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ascii="宋体" w:hAnsi="宋体" w:eastAsia="宋体"/>
          <w:bCs/>
          <w:color w:val="auto"/>
          <w:sz w:val="24"/>
          <w:szCs w:val="21"/>
          <w:highlight w:val="none"/>
          <w:lang w:val="zh-CN" w:eastAsia="zh-CN"/>
        </w:rPr>
      </w:pPr>
      <w:r>
        <w:rPr>
          <w:rFonts w:hint="eastAsia" w:ascii="宋体" w:hAnsi="宋体" w:eastAsia="宋体"/>
          <w:bCs/>
          <w:color w:val="auto"/>
          <w:sz w:val="24"/>
          <w:szCs w:val="21"/>
          <w:highlight w:val="none"/>
          <w:lang w:val="zh-CN" w:eastAsia="zh-CN"/>
        </w:rPr>
        <w:t>3）联合体各方应签订联合体协议书明确各方权利义务；</w:t>
      </w:r>
    </w:p>
    <w:p w14:paraId="5F7E13F5">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ascii="宋体" w:hAnsi="宋体" w:eastAsia="宋体"/>
          <w:bCs/>
          <w:color w:val="auto"/>
          <w:sz w:val="24"/>
          <w:szCs w:val="21"/>
          <w:highlight w:val="none"/>
          <w:lang w:val="zh-CN" w:eastAsia="zh-CN"/>
        </w:rPr>
      </w:pPr>
      <w:r>
        <w:rPr>
          <w:rFonts w:hint="eastAsia" w:ascii="宋体" w:hAnsi="宋体" w:eastAsia="宋体"/>
          <w:bCs/>
          <w:color w:val="auto"/>
          <w:sz w:val="24"/>
          <w:szCs w:val="21"/>
          <w:highlight w:val="none"/>
          <w:lang w:val="zh-CN" w:eastAsia="zh-CN"/>
        </w:rPr>
        <w:t>4）联合体各方签订共同投标协议后，联合体各方不得再以自己名义单独（或与其他单位组成新的联合体）参与同一标段下的投标；</w:t>
      </w:r>
    </w:p>
    <w:p w14:paraId="2B9DE4C8">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ascii="宋体" w:hAnsi="宋体" w:eastAsia="宋体"/>
          <w:bCs/>
          <w:color w:val="auto"/>
          <w:sz w:val="24"/>
          <w:szCs w:val="21"/>
          <w:highlight w:val="none"/>
          <w:lang w:val="zh-CN" w:eastAsia="zh-CN"/>
        </w:rPr>
      </w:pPr>
      <w:r>
        <w:rPr>
          <w:rFonts w:hint="eastAsia" w:ascii="宋体" w:hAnsi="宋体" w:eastAsia="宋体"/>
          <w:bCs/>
          <w:color w:val="auto"/>
          <w:sz w:val="24"/>
          <w:szCs w:val="21"/>
          <w:highlight w:val="none"/>
          <w:lang w:val="en-US" w:eastAsia="zh-CN"/>
        </w:rPr>
        <w:t>5</w:t>
      </w:r>
      <w:r>
        <w:rPr>
          <w:rFonts w:hint="eastAsia" w:ascii="宋体" w:hAnsi="宋体" w:eastAsia="宋体"/>
          <w:bCs/>
          <w:color w:val="auto"/>
          <w:sz w:val="24"/>
          <w:szCs w:val="21"/>
          <w:highlight w:val="none"/>
          <w:lang w:val="zh-CN" w:eastAsia="zh-CN"/>
        </w:rPr>
        <w:t>）联合体中标后联合体各方应当共同与采购人签订合同，为履行合同向招标人承担连带责任；</w:t>
      </w:r>
    </w:p>
    <w:p w14:paraId="30793FDC">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ascii="宋体" w:hAnsi="宋体" w:eastAsia="宋体"/>
          <w:bCs/>
          <w:color w:val="auto"/>
          <w:sz w:val="24"/>
          <w:szCs w:val="21"/>
          <w:highlight w:val="none"/>
          <w:lang w:val="zh-CN" w:eastAsia="zh-CN"/>
        </w:rPr>
      </w:pPr>
      <w:r>
        <w:rPr>
          <w:rFonts w:hint="eastAsia" w:ascii="宋体" w:hAnsi="宋体" w:eastAsia="宋体"/>
          <w:bCs/>
          <w:color w:val="auto"/>
          <w:sz w:val="24"/>
          <w:szCs w:val="21"/>
          <w:highlight w:val="none"/>
          <w:lang w:val="en-US" w:eastAsia="zh-CN"/>
        </w:rPr>
        <w:t>6</w:t>
      </w:r>
      <w:r>
        <w:rPr>
          <w:rFonts w:hint="eastAsia" w:ascii="宋体" w:hAnsi="宋体" w:eastAsia="宋体"/>
          <w:bCs/>
          <w:color w:val="auto"/>
          <w:sz w:val="24"/>
          <w:szCs w:val="21"/>
          <w:highlight w:val="none"/>
          <w:lang w:val="zh-CN" w:eastAsia="zh-CN"/>
        </w:rPr>
        <w:t>）联合体的牵头人应被授权作为联合体各方的代表，承担责任和接受指令；</w:t>
      </w:r>
    </w:p>
    <w:p w14:paraId="01CED55B">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7</w:t>
      </w:r>
      <w:r>
        <w:rPr>
          <w:rFonts w:hint="eastAsia" w:ascii="宋体" w:hAnsi="宋体" w:eastAsia="宋体"/>
          <w:bCs/>
          <w:color w:val="auto"/>
          <w:sz w:val="24"/>
          <w:szCs w:val="21"/>
          <w:highlight w:val="none"/>
          <w:lang w:val="zh-CN" w:eastAsia="zh-CN"/>
        </w:rPr>
        <w:t>）获取磋商文件时，应以联合体牵头人的名义获取，并以联合体牵头人的名义递交</w:t>
      </w:r>
      <w:r>
        <w:rPr>
          <w:rFonts w:hint="eastAsia" w:ascii="宋体" w:hAnsi="宋体" w:eastAsia="宋体"/>
          <w:bCs/>
          <w:color w:val="auto"/>
          <w:sz w:val="24"/>
          <w:szCs w:val="21"/>
          <w:highlight w:val="none"/>
          <w:lang w:val="en-US" w:eastAsia="zh-CN"/>
        </w:rPr>
        <w:t>响应</w:t>
      </w:r>
      <w:r>
        <w:rPr>
          <w:rFonts w:hint="eastAsia" w:ascii="宋体" w:hAnsi="宋体" w:eastAsia="宋体"/>
          <w:bCs/>
          <w:color w:val="auto"/>
          <w:sz w:val="24"/>
          <w:szCs w:val="21"/>
          <w:highlight w:val="none"/>
          <w:lang w:val="zh-CN" w:eastAsia="zh-CN"/>
        </w:rPr>
        <w:t>文件；联合体牵头人法定代表人或其授权代表负责签署本次投标相关资料，其他联合体成员必须予以认可。</w:t>
      </w:r>
    </w:p>
    <w:p w14:paraId="2D7EB923">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6、本次磋商实行资格后审。</w:t>
      </w:r>
    </w:p>
    <w:p w14:paraId="290C3ABD">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注：被列入失信被执行人及重大税收违法失信主体的企业做无效标处理。采购人或采购代理机构有权对供应商信用记录进行甄别和复查。</w:t>
      </w:r>
    </w:p>
    <w:p w14:paraId="1DBBBB2A">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三、报名及磋商文件的获取方式：</w:t>
      </w:r>
    </w:p>
    <w:p w14:paraId="152909A9">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1、本项目没有报名环节，投标人凭CA数字证书通过三门峡市公共资源交易中心网（网址：http://www.smxgzjy.org），点击交易平台选择“交易主体登录”，在所参与项目右侧点击参与投标，即可直接下载本项目</w:t>
      </w:r>
      <w:r>
        <w:rPr>
          <w:rFonts w:hint="eastAsia" w:ascii="宋体" w:hAnsi="宋体" w:cstheme="minorBidi"/>
          <w:bCs/>
          <w:color w:val="auto"/>
          <w:sz w:val="24"/>
          <w:szCs w:val="21"/>
          <w:highlight w:val="none"/>
          <w:lang w:val="en-US" w:eastAsia="zh-CN"/>
        </w:rPr>
        <w:t>竞争性磋商</w:t>
      </w:r>
      <w:r>
        <w:rPr>
          <w:rFonts w:hint="eastAsia" w:ascii="宋体" w:hAnsi="宋体" w:eastAsia="宋体" w:cstheme="minorBidi"/>
          <w:bCs/>
          <w:color w:val="auto"/>
          <w:sz w:val="24"/>
          <w:szCs w:val="21"/>
          <w:highlight w:val="none"/>
        </w:rPr>
        <w:t>文件（竞争性磋商文件中包含投标所需一切内容）。</w:t>
      </w:r>
    </w:p>
    <w:p w14:paraId="4975C2E2">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yellow"/>
        </w:rPr>
      </w:pPr>
      <w:r>
        <w:rPr>
          <w:rFonts w:hint="eastAsia" w:ascii="宋体" w:hAnsi="宋体" w:eastAsia="宋体" w:cstheme="minorBidi"/>
          <w:bCs/>
          <w:color w:val="auto"/>
          <w:sz w:val="24"/>
          <w:szCs w:val="21"/>
          <w:highlight w:val="none"/>
        </w:rPr>
        <w:t>2、文件下载时间：</w:t>
      </w:r>
      <w:r>
        <w:rPr>
          <w:rFonts w:hint="eastAsia" w:ascii="宋体" w:hAnsi="宋体" w:eastAsia="宋体" w:cstheme="minorBidi"/>
          <w:bCs/>
          <w:color w:val="auto"/>
          <w:kern w:val="2"/>
          <w:sz w:val="24"/>
          <w:szCs w:val="21"/>
          <w:highlight w:val="none"/>
          <w:lang w:val="en-US" w:eastAsia="zh-CN" w:bidi="ar-SA"/>
        </w:rPr>
        <w:t>2025年11月04日08时00分至2025年11月25日08时40分；</w:t>
      </w:r>
    </w:p>
    <w:p w14:paraId="551BDE30">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3、本</w:t>
      </w:r>
      <w:r>
        <w:rPr>
          <w:rFonts w:hint="eastAsia" w:ascii="宋体" w:hAnsi="宋体" w:eastAsia="宋体" w:cstheme="minorBidi"/>
          <w:bCs/>
          <w:color w:val="auto"/>
          <w:kern w:val="2"/>
          <w:sz w:val="24"/>
          <w:szCs w:val="21"/>
          <w:highlight w:val="none"/>
          <w:lang w:val="en-US" w:eastAsia="zh-CN" w:bidi="ar-SA"/>
        </w:rPr>
        <w:t>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FFF09B1">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4、本项目为全电子招标，不再收取磋商文件费用。</w:t>
      </w:r>
    </w:p>
    <w:p w14:paraId="7890CF01">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四、供应商资料的提交</w:t>
      </w:r>
    </w:p>
    <w:p w14:paraId="2B296D22">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lang w:val="en-US" w:eastAsia="en-US"/>
        </w:rPr>
      </w:pPr>
      <w:r>
        <w:rPr>
          <w:rFonts w:hint="eastAsia" w:ascii="宋体" w:hAnsi="宋体" w:eastAsia="宋体"/>
          <w:b w:val="0"/>
          <w:bCs w:val="0"/>
          <w:color w:val="auto"/>
          <w:sz w:val="24"/>
          <w:szCs w:val="24"/>
          <w:highlight w:val="none"/>
          <w:lang w:val="en-US" w:eastAsia="en-US"/>
        </w:rPr>
        <w:t>本项目实行资格后审，审查内容以投标截止时间前在三门峡市公共资源交易</w:t>
      </w:r>
      <w:r>
        <w:rPr>
          <w:rFonts w:hint="eastAsia" w:ascii="宋体" w:hAnsi="宋体" w:eastAsia="宋体"/>
          <w:b w:val="0"/>
          <w:bCs w:val="0"/>
          <w:color w:val="auto"/>
          <w:sz w:val="24"/>
          <w:szCs w:val="24"/>
          <w:highlight w:val="none"/>
          <w:lang w:val="en-US" w:eastAsia="zh-CN"/>
        </w:rPr>
        <w:t>中心网提交投标文件</w:t>
      </w:r>
      <w:r>
        <w:rPr>
          <w:rFonts w:hint="eastAsia" w:ascii="宋体" w:hAnsi="宋体" w:eastAsia="宋体"/>
          <w:b w:val="0"/>
          <w:bCs w:val="0"/>
          <w:color w:val="auto"/>
          <w:sz w:val="24"/>
          <w:szCs w:val="24"/>
          <w:highlight w:val="none"/>
          <w:lang w:val="en-US" w:eastAsia="en-US"/>
        </w:rPr>
        <w:t>的信息为准。其上传资料真实性由投标人自行承担</w:t>
      </w:r>
      <w:r>
        <w:rPr>
          <w:rFonts w:hint="eastAsia" w:ascii="宋体" w:hAnsi="宋体" w:eastAsia="宋体"/>
          <w:b w:val="0"/>
          <w:bCs w:val="0"/>
          <w:color w:val="auto"/>
          <w:sz w:val="24"/>
          <w:szCs w:val="24"/>
          <w:highlight w:val="none"/>
          <w:lang w:val="en-US" w:eastAsia="zh-CN"/>
        </w:rPr>
        <w:t>，同时，投标人要完善主体库</w:t>
      </w:r>
      <w:r>
        <w:rPr>
          <w:rFonts w:hint="eastAsia" w:ascii="宋体" w:hAnsi="宋体" w:eastAsia="宋体"/>
          <w:b w:val="0"/>
          <w:bCs w:val="0"/>
          <w:color w:val="auto"/>
          <w:sz w:val="24"/>
          <w:szCs w:val="24"/>
          <w:highlight w:val="none"/>
          <w:lang w:val="en-US" w:eastAsia="en-US"/>
        </w:rPr>
        <w:t>。原件扫描件清晰可辨。否则，由此造成应得分而未得分或资格审查不合格等情况的，由投标人承担责任。</w:t>
      </w:r>
    </w:p>
    <w:p w14:paraId="56F4A426">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lang w:val="en-US" w:eastAsia="en-US"/>
        </w:rPr>
      </w:pPr>
      <w:r>
        <w:rPr>
          <w:rFonts w:hint="eastAsia" w:ascii="宋体" w:hAnsi="宋体" w:eastAsia="宋体"/>
          <w:b w:val="0"/>
          <w:bCs w:val="0"/>
          <w:color w:val="auto"/>
          <w:sz w:val="24"/>
          <w:szCs w:val="24"/>
          <w:highlight w:val="none"/>
          <w:lang w:val="en-US" w:eastAsia="en-US"/>
        </w:rPr>
        <w:t>温馨提示：本项目为电子化、无纸化交易项目，开标时不再接受任何纸质资料，为保证您能开标成功，请需仔细阅读</w:t>
      </w:r>
      <w:r>
        <w:rPr>
          <w:rFonts w:hint="eastAsia" w:ascii="宋体" w:hAnsi="宋体" w:eastAsia="宋体"/>
          <w:b w:val="0"/>
          <w:bCs w:val="0"/>
          <w:color w:val="auto"/>
          <w:sz w:val="24"/>
          <w:szCs w:val="24"/>
          <w:highlight w:val="none"/>
          <w:lang w:val="en-US" w:eastAsia="zh-CN"/>
        </w:rPr>
        <w:t>招标文件</w:t>
      </w:r>
      <w:r>
        <w:rPr>
          <w:rFonts w:hint="eastAsia" w:ascii="宋体" w:hAnsi="宋体" w:eastAsia="宋体"/>
          <w:b w:val="0"/>
          <w:bCs w:val="0"/>
          <w:color w:val="auto"/>
          <w:sz w:val="24"/>
          <w:szCs w:val="24"/>
          <w:highlight w:val="none"/>
          <w:lang w:val="en-US" w:eastAsia="en-US"/>
        </w:rPr>
        <w:t>和三门峡市公共资源交易中心官网业务办理指南。</w:t>
      </w:r>
    </w:p>
    <w:p w14:paraId="5EE7B4B4">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五、投标保证金</w:t>
      </w:r>
    </w:p>
    <w:p w14:paraId="1E6C1E87">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按照《河南省财政厅关于优化政府采购营商环境有关问题的通知》（豫财购[2019]4号文）的要求本项目不再收取投标保证金。</w:t>
      </w:r>
    </w:p>
    <w:p w14:paraId="2A89B5D7">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六、磋商文件的递交</w:t>
      </w:r>
    </w:p>
    <w:p w14:paraId="6533F4B9">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1、磋商文件递交的截止时间（开标时间）为202</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11</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25</w:t>
      </w:r>
      <w:r>
        <w:rPr>
          <w:rFonts w:hint="eastAsia" w:ascii="宋体" w:hAnsi="宋体" w:eastAsia="宋体"/>
          <w:color w:val="auto"/>
          <w:sz w:val="24"/>
          <w:szCs w:val="24"/>
          <w:highlight w:val="none"/>
        </w:rPr>
        <w:t>日08时</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0分；</w:t>
      </w:r>
    </w:p>
    <w:p w14:paraId="4483313F">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、开标地点：卢氏县公共资源交易中心</w:t>
      </w:r>
      <w:r>
        <w:rPr>
          <w:rFonts w:hint="eastAsia" w:ascii="宋体" w:hAnsi="宋体" w:eastAsia="宋体"/>
          <w:color w:val="auto"/>
          <w:sz w:val="24"/>
          <w:szCs w:val="24"/>
          <w:highlight w:val="none"/>
          <w:lang w:eastAsia="zh-CN"/>
        </w:rPr>
        <w:t>四</w:t>
      </w:r>
      <w:r>
        <w:rPr>
          <w:rFonts w:hint="eastAsia" w:ascii="宋体" w:hAnsi="宋体" w:eastAsia="宋体"/>
          <w:color w:val="auto"/>
          <w:sz w:val="24"/>
          <w:szCs w:val="24"/>
          <w:highlight w:val="none"/>
        </w:rPr>
        <w:t>楼第</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rPr>
        <w:t>开标室。</w:t>
      </w:r>
    </w:p>
    <w:p w14:paraId="6B95BF92">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、评标地点：卢氏县公共资源交易中心二楼第</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评标室。</w:t>
      </w:r>
    </w:p>
    <w:p w14:paraId="574B41BD">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七、其他事项</w:t>
      </w:r>
    </w:p>
    <w:p w14:paraId="4925260A">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供应商应仔细阅读操作手册，在本公告中要求的截止时间前完成网上报名等工作。并充分考虑人为操作和银行异地跨行转账到账的时间等因素，因供应商操作不当或银行到账时间等问题造成的无法下载磋商文件、无法投标等一切后果，由供应商自行承担。</w:t>
      </w:r>
    </w:p>
    <w:p w14:paraId="0BA8AF49">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2、招标人不组织供应商踏勘现场。</w:t>
      </w:r>
    </w:p>
    <w:p w14:paraId="636368DF">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 xml:space="preserve">    3、响应人递交的响应文件不论中标与否均不予退还。</w:t>
      </w:r>
    </w:p>
    <w:p w14:paraId="37CADABD">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温馨提示：本项目为电子化、无纸化交易项目，开标时不再接受任何纸质资料，为保证您能投标成功，请需仔细阅读磋商文件和三门峡市公共资源交易中心官网业务办理指南。</w:t>
      </w:r>
    </w:p>
    <w:p w14:paraId="39F12F8C">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八、发布公告的媒介</w:t>
      </w:r>
    </w:p>
    <w:p w14:paraId="5BA3C045">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本次磋商公告同时在</w:t>
      </w:r>
      <w:r>
        <w:rPr>
          <w:rFonts w:hint="eastAsia" w:ascii="宋体" w:hAnsi="宋体"/>
          <w:bCs/>
          <w:color w:val="auto"/>
          <w:kern w:val="0"/>
          <w:sz w:val="24"/>
          <w:szCs w:val="24"/>
          <w:highlight w:val="none"/>
          <w:lang w:val="en-US" w:eastAsia="zh-CN"/>
        </w:rPr>
        <w:t>《中国招标投标公共服务平台》、《河南省政府采购网》、《三门峡市公共资源交易平台》</w:t>
      </w:r>
      <w:r>
        <w:rPr>
          <w:rFonts w:hint="eastAsia" w:ascii="宋体" w:hAnsi="宋体" w:eastAsia="宋体"/>
          <w:bCs/>
          <w:color w:val="auto"/>
          <w:kern w:val="0"/>
          <w:sz w:val="24"/>
          <w:szCs w:val="24"/>
          <w:highlight w:val="none"/>
          <w:lang w:val="en-US" w:eastAsia="zh-CN"/>
        </w:rPr>
        <w:t>上发布。</w:t>
      </w:r>
    </w:p>
    <w:p w14:paraId="1FD17270">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color w:val="auto"/>
          <w:sz w:val="24"/>
          <w:szCs w:val="21"/>
          <w:highlight w:val="none"/>
        </w:rPr>
      </w:pPr>
      <w:r>
        <w:rPr>
          <w:rFonts w:hint="eastAsia" w:ascii="宋体" w:hAnsi="宋体" w:eastAsia="宋体"/>
          <w:b w:val="0"/>
          <w:bCs/>
          <w:color w:val="auto"/>
          <w:sz w:val="24"/>
          <w:szCs w:val="21"/>
          <w:highlight w:val="none"/>
        </w:rPr>
        <w:t>九、联系方式</w:t>
      </w:r>
    </w:p>
    <w:bookmarkEnd w:id="11"/>
    <w:bookmarkEnd w:id="12"/>
    <w:bookmarkEnd w:id="13"/>
    <w:bookmarkEnd w:id="14"/>
    <w:bookmarkEnd w:id="15"/>
    <w:bookmarkEnd w:id="16"/>
    <w:bookmarkEnd w:id="17"/>
    <w:p w14:paraId="7295512A">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监督单位：卢氏县政府采购办公室</w:t>
      </w:r>
    </w:p>
    <w:p w14:paraId="3EBA760C">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联系人：郭伟静</w:t>
      </w:r>
    </w:p>
    <w:p w14:paraId="6FC1B124">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电话：0398-7863556</w:t>
      </w:r>
    </w:p>
    <w:p w14:paraId="08609086">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地址：卢氏县城关镇解放路中段</w:t>
      </w:r>
    </w:p>
    <w:p w14:paraId="4E4E4312">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监督单位：卢氏县农业农村局</w:t>
      </w:r>
    </w:p>
    <w:p w14:paraId="761A581C">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联系人：董雷鹏</w:t>
      </w:r>
    </w:p>
    <w:p w14:paraId="43CED085">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电话：7872655、18239883962</w:t>
      </w:r>
    </w:p>
    <w:p w14:paraId="587B3527">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地址：卢氏县城关镇新建路</w:t>
      </w:r>
    </w:p>
    <w:p w14:paraId="40A1D47C">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采购人：卢氏县农业农村局</w:t>
      </w:r>
    </w:p>
    <w:p w14:paraId="7B51C382">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联系人：王卢平</w:t>
      </w:r>
    </w:p>
    <w:p w14:paraId="1C999127">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电话：7183699、15238933331</w:t>
      </w:r>
    </w:p>
    <w:p w14:paraId="1EAB12E3">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地址：卢氏县城关镇新建路</w:t>
      </w:r>
    </w:p>
    <w:p w14:paraId="2E3B9740">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 xml:space="preserve">代理机构：大业信息技术（河南）有限公司  </w:t>
      </w:r>
    </w:p>
    <w:bookmarkEnd w:id="18"/>
    <w:p w14:paraId="7DD979CE">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bookmarkStart w:id="19" w:name="磋商供应商须知"/>
      <w:bookmarkEnd w:id="19"/>
      <w:bookmarkStart w:id="20" w:name="_Toc29675"/>
      <w:r>
        <w:rPr>
          <w:rFonts w:hint="eastAsia" w:ascii="宋体" w:hAnsi="宋体" w:eastAsia="宋体"/>
          <w:bCs/>
          <w:color w:val="auto"/>
          <w:kern w:val="0"/>
          <w:sz w:val="24"/>
          <w:szCs w:val="24"/>
          <w:highlight w:val="none"/>
          <w:lang w:val="en-US" w:eastAsia="en-US"/>
        </w:rPr>
        <w:t>联系人：</w:t>
      </w:r>
      <w:r>
        <w:rPr>
          <w:rFonts w:hint="eastAsia" w:ascii="宋体" w:hAnsi="宋体" w:eastAsia="宋体"/>
          <w:bCs/>
          <w:color w:val="auto"/>
          <w:kern w:val="0"/>
          <w:sz w:val="24"/>
          <w:szCs w:val="24"/>
          <w:highlight w:val="none"/>
          <w:lang w:val="en-US" w:eastAsia="zh-CN"/>
        </w:rPr>
        <w:t>杨丽</w:t>
      </w:r>
    </w:p>
    <w:p w14:paraId="52DF5559">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en-US"/>
        </w:rPr>
      </w:pPr>
      <w:r>
        <w:rPr>
          <w:rFonts w:hint="eastAsia" w:ascii="宋体" w:hAnsi="宋体" w:eastAsia="宋体"/>
          <w:bCs/>
          <w:color w:val="auto"/>
          <w:kern w:val="0"/>
          <w:sz w:val="24"/>
          <w:szCs w:val="24"/>
          <w:highlight w:val="none"/>
          <w:lang w:val="en-US" w:eastAsia="en-US"/>
        </w:rPr>
        <w:t xml:space="preserve">电话：17838130919、13820980398 </w:t>
      </w:r>
    </w:p>
    <w:p w14:paraId="0E18BD72">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en-US"/>
        </w:rPr>
      </w:pPr>
      <w:r>
        <w:rPr>
          <w:rFonts w:hint="eastAsia" w:ascii="宋体" w:hAnsi="宋体" w:eastAsia="宋体"/>
          <w:bCs/>
          <w:color w:val="auto"/>
          <w:kern w:val="0"/>
          <w:sz w:val="24"/>
          <w:szCs w:val="24"/>
          <w:highlight w:val="none"/>
          <w:lang w:val="en-US" w:eastAsia="en-US"/>
        </w:rPr>
        <w:t>地址：河南省郑州市管城回族区紫荆山路63号9层911号</w:t>
      </w:r>
    </w:p>
    <w:p w14:paraId="25896A9D">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en-US"/>
        </w:rPr>
      </w:pPr>
      <w:r>
        <w:rPr>
          <w:rFonts w:hint="eastAsia" w:ascii="宋体" w:hAnsi="宋体" w:eastAsia="宋体"/>
          <w:bCs/>
          <w:color w:val="auto"/>
          <w:kern w:val="0"/>
          <w:sz w:val="24"/>
          <w:szCs w:val="24"/>
          <w:highlight w:val="none"/>
          <w:lang w:val="en-US" w:eastAsia="en-US"/>
        </w:rPr>
        <w:br w:type="page"/>
      </w:r>
    </w:p>
    <w:p w14:paraId="65CEEF9B">
      <w:pPr>
        <w:keepNext w:val="0"/>
        <w:keepLines w:val="0"/>
        <w:pageBreakBefore w:val="0"/>
        <w:widowControl w:val="0"/>
        <w:kinsoku/>
        <w:overflowPunct/>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lang w:eastAsia="en-US"/>
        </w:rPr>
      </w:pPr>
    </w:p>
    <w:p w14:paraId="5E448413">
      <w:pPr>
        <w:numPr>
          <w:ilvl w:val="0"/>
          <w:numId w:val="2"/>
        </w:numPr>
        <w:snapToGrid w:val="0"/>
        <w:spacing w:beforeAutospacing="0" w:afterAutospacing="0" w:line="360" w:lineRule="auto"/>
        <w:jc w:val="center"/>
        <w:outlineLvl w:val="0"/>
        <w:rPr>
          <w:rFonts w:hint="eastAsia" w:ascii="宋体" w:hAnsi="宋体" w:eastAsia="宋体"/>
          <w:b/>
          <w:bCs/>
          <w:color w:val="auto"/>
          <w:kern w:val="0"/>
          <w:sz w:val="44"/>
          <w:szCs w:val="44"/>
          <w:highlight w:val="none"/>
        </w:rPr>
      </w:pPr>
      <w:r>
        <w:rPr>
          <w:rFonts w:hint="eastAsia" w:ascii="宋体" w:hAnsi="宋体" w:eastAsia="宋体"/>
          <w:b/>
          <w:bCs/>
          <w:color w:val="auto"/>
          <w:kern w:val="0"/>
          <w:sz w:val="44"/>
          <w:szCs w:val="44"/>
          <w:highlight w:val="none"/>
        </w:rPr>
        <w:t>供应商须知</w:t>
      </w:r>
      <w:bookmarkEnd w:id="20"/>
      <w:r>
        <w:rPr>
          <w:rFonts w:hint="eastAsia" w:ascii="宋体" w:hAnsi="宋体" w:eastAsia="宋体"/>
          <w:b/>
          <w:bCs/>
          <w:color w:val="auto"/>
          <w:kern w:val="0"/>
          <w:sz w:val="44"/>
          <w:szCs w:val="44"/>
          <w:highlight w:val="none"/>
        </w:rPr>
        <w:t>前附表</w:t>
      </w:r>
    </w:p>
    <w:p w14:paraId="23ED4352">
      <w:pPr>
        <w:pStyle w:val="4"/>
        <w:spacing w:before="244"/>
        <w:ind w:left="3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w:t>
      </w:r>
    </w:p>
    <w:tbl>
      <w:tblPr>
        <w:tblStyle w:val="16"/>
        <w:tblW w:w="0" w:type="auto"/>
        <w:jc w:val="center"/>
        <w:tblLayout w:type="fixed"/>
        <w:tblCellMar>
          <w:top w:w="0" w:type="dxa"/>
          <w:left w:w="108" w:type="dxa"/>
          <w:bottom w:w="0" w:type="dxa"/>
          <w:right w:w="108" w:type="dxa"/>
        </w:tblCellMar>
      </w:tblPr>
      <w:tblGrid>
        <w:gridCol w:w="978"/>
        <w:gridCol w:w="1712"/>
        <w:gridCol w:w="6626"/>
      </w:tblGrid>
      <w:tr w14:paraId="1EE8458F">
        <w:tblPrEx>
          <w:tblCellMar>
            <w:top w:w="0" w:type="dxa"/>
            <w:left w:w="108" w:type="dxa"/>
            <w:bottom w:w="0" w:type="dxa"/>
            <w:right w:w="108" w:type="dxa"/>
          </w:tblCellMar>
        </w:tblPrEx>
        <w:trPr>
          <w:trHeight w:val="682"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17FE5D62">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条款号</w:t>
            </w:r>
          </w:p>
        </w:tc>
        <w:tc>
          <w:tcPr>
            <w:tcW w:w="1712" w:type="dxa"/>
            <w:tcBorders>
              <w:top w:val="single" w:color="000000" w:sz="4" w:space="0"/>
              <w:left w:val="nil"/>
              <w:bottom w:val="single" w:color="000000" w:sz="4" w:space="0"/>
              <w:right w:val="single" w:color="000000" w:sz="4" w:space="0"/>
            </w:tcBorders>
            <w:vAlign w:val="center"/>
          </w:tcPr>
          <w:p w14:paraId="3AEA69C9">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条款名称</w:t>
            </w:r>
          </w:p>
        </w:tc>
        <w:tc>
          <w:tcPr>
            <w:tcW w:w="6626" w:type="dxa"/>
            <w:tcBorders>
              <w:top w:val="single" w:color="000000" w:sz="4" w:space="0"/>
              <w:left w:val="nil"/>
              <w:bottom w:val="single" w:color="000000" w:sz="4" w:space="0"/>
              <w:right w:val="single" w:color="000000" w:sz="4" w:space="0"/>
            </w:tcBorders>
            <w:vAlign w:val="center"/>
          </w:tcPr>
          <w:p w14:paraId="2E57242F">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编列内容</w:t>
            </w:r>
          </w:p>
        </w:tc>
      </w:tr>
      <w:tr w14:paraId="2BC45D0B">
        <w:tblPrEx>
          <w:tblCellMar>
            <w:top w:w="0" w:type="dxa"/>
            <w:left w:w="108" w:type="dxa"/>
            <w:bottom w:w="0" w:type="dxa"/>
            <w:right w:w="108" w:type="dxa"/>
          </w:tblCellMar>
        </w:tblPrEx>
        <w:trPr>
          <w:trHeight w:val="453" w:hRule="atLeast"/>
          <w:jc w:val="center"/>
        </w:trPr>
        <w:tc>
          <w:tcPr>
            <w:tcW w:w="978" w:type="dxa"/>
            <w:tcBorders>
              <w:top w:val="nil"/>
              <w:left w:val="single" w:color="000000" w:sz="4" w:space="0"/>
              <w:bottom w:val="single" w:color="000000" w:sz="4" w:space="0"/>
              <w:right w:val="single" w:color="000000" w:sz="4" w:space="0"/>
            </w:tcBorders>
            <w:vAlign w:val="center"/>
          </w:tcPr>
          <w:p w14:paraId="0EB83212">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w:t>
            </w:r>
          </w:p>
        </w:tc>
        <w:tc>
          <w:tcPr>
            <w:tcW w:w="1712" w:type="dxa"/>
            <w:tcBorders>
              <w:top w:val="nil"/>
              <w:left w:val="nil"/>
              <w:bottom w:val="single" w:color="000000" w:sz="4" w:space="0"/>
              <w:right w:val="single" w:color="000000" w:sz="4" w:space="0"/>
            </w:tcBorders>
            <w:vAlign w:val="center"/>
          </w:tcPr>
          <w:p w14:paraId="144BE909">
            <w:pPr>
              <w:spacing w:beforeAutospacing="0" w:afterAutospacing="0"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采购人</w:t>
            </w:r>
          </w:p>
        </w:tc>
        <w:tc>
          <w:tcPr>
            <w:tcW w:w="6626" w:type="dxa"/>
            <w:tcBorders>
              <w:top w:val="single" w:color="000000" w:sz="4" w:space="0"/>
              <w:left w:val="nil"/>
              <w:bottom w:val="single" w:color="000000" w:sz="6" w:space="0"/>
              <w:right w:val="single" w:color="000000" w:sz="4" w:space="0"/>
            </w:tcBorders>
            <w:vAlign w:val="center"/>
          </w:tcPr>
          <w:p w14:paraId="0E819937">
            <w:pPr>
              <w:spacing w:beforeAutospacing="0" w:afterAutospacing="0" w:line="36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采购人：卢氏县农业农村局</w:t>
            </w:r>
          </w:p>
          <w:p w14:paraId="7F3C9D64">
            <w:pPr>
              <w:spacing w:beforeAutospacing="0" w:afterAutospacing="0" w:line="36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联系人：王卢平</w:t>
            </w:r>
          </w:p>
          <w:p w14:paraId="2C96791B">
            <w:pPr>
              <w:spacing w:beforeAutospacing="0" w:afterAutospacing="0" w:line="36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电话：7183699、15238933331</w:t>
            </w:r>
          </w:p>
          <w:p w14:paraId="4AAC34E3">
            <w:pPr>
              <w:spacing w:beforeAutospacing="0" w:afterAutospacing="0" w:line="36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地址：卢氏县城关镇新建路</w:t>
            </w:r>
          </w:p>
        </w:tc>
      </w:tr>
      <w:tr w14:paraId="0916AA99">
        <w:tblPrEx>
          <w:tblCellMar>
            <w:top w:w="0" w:type="dxa"/>
            <w:left w:w="108" w:type="dxa"/>
            <w:bottom w:w="0" w:type="dxa"/>
            <w:right w:w="108" w:type="dxa"/>
          </w:tblCellMar>
        </w:tblPrEx>
        <w:trPr>
          <w:trHeight w:val="1418"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3068AE19">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w:t>
            </w:r>
          </w:p>
        </w:tc>
        <w:tc>
          <w:tcPr>
            <w:tcW w:w="1712" w:type="dxa"/>
            <w:tcBorders>
              <w:top w:val="single" w:color="000000" w:sz="4" w:space="0"/>
              <w:left w:val="nil"/>
              <w:bottom w:val="single" w:color="000000" w:sz="4" w:space="0"/>
              <w:right w:val="single" w:color="000000" w:sz="4" w:space="0"/>
            </w:tcBorders>
            <w:vAlign w:val="center"/>
          </w:tcPr>
          <w:p w14:paraId="260A6A90">
            <w:pPr>
              <w:spacing w:beforeAutospacing="0" w:afterAutospacing="0" w:line="36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招标代理机构</w:t>
            </w:r>
          </w:p>
        </w:tc>
        <w:tc>
          <w:tcPr>
            <w:tcW w:w="6626" w:type="dxa"/>
            <w:tcBorders>
              <w:top w:val="single" w:color="000000" w:sz="4" w:space="0"/>
              <w:left w:val="nil"/>
              <w:bottom w:val="single" w:color="000000" w:sz="4" w:space="0"/>
              <w:right w:val="single" w:color="000000" w:sz="4" w:space="0"/>
            </w:tcBorders>
            <w:vAlign w:val="center"/>
          </w:tcPr>
          <w:p w14:paraId="0E1A0856">
            <w:pPr>
              <w:snapToGrid w:val="0"/>
              <w:spacing w:line="500" w:lineRule="exact"/>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代理机构：大业信息技术（河南）有限公司  </w:t>
            </w:r>
          </w:p>
          <w:p w14:paraId="6E41988E">
            <w:pPr>
              <w:snapToGrid w:val="0"/>
              <w:spacing w:line="500" w:lineRule="exact"/>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联系人：杨丽</w:t>
            </w:r>
          </w:p>
          <w:p w14:paraId="214BD955">
            <w:pPr>
              <w:snapToGrid w:val="0"/>
              <w:spacing w:line="500" w:lineRule="exact"/>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电话：17838130919、13820980398 </w:t>
            </w:r>
          </w:p>
          <w:p w14:paraId="0BB299F7">
            <w:pPr>
              <w:snapToGrid w:val="0"/>
              <w:spacing w:line="500" w:lineRule="exact"/>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地址：河南省郑州市管城回族区紫荆山路63号9层911号</w:t>
            </w:r>
          </w:p>
        </w:tc>
      </w:tr>
      <w:tr w14:paraId="43AFE2F3">
        <w:tblPrEx>
          <w:tblCellMar>
            <w:top w:w="0" w:type="dxa"/>
            <w:left w:w="108" w:type="dxa"/>
            <w:bottom w:w="0" w:type="dxa"/>
            <w:right w:w="108" w:type="dxa"/>
          </w:tblCellMar>
        </w:tblPrEx>
        <w:trPr>
          <w:trHeight w:val="391"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2A43EE32">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w:t>
            </w:r>
          </w:p>
        </w:tc>
        <w:tc>
          <w:tcPr>
            <w:tcW w:w="1712" w:type="dxa"/>
            <w:tcBorders>
              <w:top w:val="single" w:color="000000" w:sz="4" w:space="0"/>
              <w:left w:val="nil"/>
              <w:bottom w:val="single" w:color="000000" w:sz="4" w:space="0"/>
              <w:right w:val="single" w:color="000000" w:sz="4" w:space="0"/>
            </w:tcBorders>
            <w:vAlign w:val="center"/>
          </w:tcPr>
          <w:p w14:paraId="2AC38167">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项目名称</w:t>
            </w:r>
          </w:p>
        </w:tc>
        <w:tc>
          <w:tcPr>
            <w:tcW w:w="6626" w:type="dxa"/>
            <w:tcBorders>
              <w:top w:val="nil"/>
              <w:left w:val="nil"/>
              <w:bottom w:val="single" w:color="000000" w:sz="4" w:space="0"/>
              <w:right w:val="single" w:color="000000" w:sz="4" w:space="0"/>
            </w:tcBorders>
            <w:vAlign w:val="center"/>
          </w:tcPr>
          <w:p w14:paraId="317EB211">
            <w:pPr>
              <w:spacing w:beforeAutospacing="0" w:afterAutospacing="0" w:line="360" w:lineRule="auto"/>
              <w:ind w:left="-283" w:leftChars="-135" w:right="-483" w:rightChars="-230" w:firstLine="240" w:firstLineChars="100"/>
              <w:jc w:val="left"/>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lang w:eastAsia="zh-CN"/>
              </w:rPr>
              <w:t>卢卢氏优质地理产品生境保护与可持续发展案例研发项目</w:t>
            </w:r>
          </w:p>
        </w:tc>
      </w:tr>
      <w:tr w14:paraId="11E0D2D6">
        <w:tblPrEx>
          <w:tblCellMar>
            <w:top w:w="0" w:type="dxa"/>
            <w:left w:w="108" w:type="dxa"/>
            <w:bottom w:w="0" w:type="dxa"/>
            <w:right w:w="108" w:type="dxa"/>
          </w:tblCellMar>
        </w:tblPrEx>
        <w:trPr>
          <w:trHeight w:val="785"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2460B2B0">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4</w:t>
            </w:r>
          </w:p>
        </w:tc>
        <w:tc>
          <w:tcPr>
            <w:tcW w:w="1712" w:type="dxa"/>
            <w:tcBorders>
              <w:top w:val="single" w:color="000000" w:sz="4" w:space="0"/>
              <w:left w:val="nil"/>
              <w:bottom w:val="single" w:color="000000" w:sz="4" w:space="0"/>
              <w:right w:val="single" w:color="000000" w:sz="4" w:space="0"/>
            </w:tcBorders>
            <w:vAlign w:val="center"/>
          </w:tcPr>
          <w:p w14:paraId="370CC84F">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项目编号</w:t>
            </w:r>
          </w:p>
        </w:tc>
        <w:tc>
          <w:tcPr>
            <w:tcW w:w="6626" w:type="dxa"/>
            <w:tcBorders>
              <w:top w:val="nil"/>
              <w:left w:val="nil"/>
              <w:bottom w:val="single" w:color="000000" w:sz="4" w:space="0"/>
              <w:right w:val="single" w:color="000000" w:sz="4" w:space="0"/>
            </w:tcBorders>
            <w:vAlign w:val="center"/>
          </w:tcPr>
          <w:p w14:paraId="23BFB1BC">
            <w:pPr>
              <w:spacing w:beforeAutospacing="0" w:afterAutospacing="0" w:line="360" w:lineRule="auto"/>
              <w:ind w:left="-283" w:leftChars="-135" w:right="-483" w:rightChars="-230" w:firstLine="240" w:firstLineChars="100"/>
              <w:jc w:val="left"/>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三卢竞磋采购-2025-116、LSGZ[2025]308-ZC175</w:t>
            </w:r>
          </w:p>
        </w:tc>
      </w:tr>
      <w:tr w14:paraId="4FABAC79">
        <w:tblPrEx>
          <w:tblCellMar>
            <w:top w:w="0" w:type="dxa"/>
            <w:left w:w="108" w:type="dxa"/>
            <w:bottom w:w="0" w:type="dxa"/>
            <w:right w:w="108" w:type="dxa"/>
          </w:tblCellMar>
        </w:tblPrEx>
        <w:trPr>
          <w:trHeight w:val="450" w:hRule="atLeast"/>
          <w:jc w:val="center"/>
        </w:trPr>
        <w:tc>
          <w:tcPr>
            <w:tcW w:w="978" w:type="dxa"/>
            <w:tcBorders>
              <w:top w:val="nil"/>
              <w:left w:val="single" w:color="000000" w:sz="4" w:space="0"/>
              <w:bottom w:val="single" w:color="000000" w:sz="4" w:space="0"/>
              <w:right w:val="single" w:color="000000" w:sz="4" w:space="0"/>
            </w:tcBorders>
            <w:vAlign w:val="center"/>
          </w:tcPr>
          <w:p w14:paraId="1DA1F50F">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5</w:t>
            </w:r>
          </w:p>
        </w:tc>
        <w:tc>
          <w:tcPr>
            <w:tcW w:w="1712" w:type="dxa"/>
            <w:tcBorders>
              <w:top w:val="nil"/>
              <w:left w:val="nil"/>
              <w:bottom w:val="single" w:color="000000" w:sz="4" w:space="0"/>
              <w:right w:val="single" w:color="000000" w:sz="4" w:space="0"/>
            </w:tcBorders>
            <w:vAlign w:val="center"/>
          </w:tcPr>
          <w:p w14:paraId="1D04982B">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服务周期</w:t>
            </w:r>
          </w:p>
        </w:tc>
        <w:tc>
          <w:tcPr>
            <w:tcW w:w="6626" w:type="dxa"/>
            <w:tcBorders>
              <w:top w:val="nil"/>
              <w:left w:val="nil"/>
              <w:bottom w:val="single" w:color="000000" w:sz="4" w:space="0"/>
              <w:right w:val="single" w:color="000000" w:sz="4" w:space="0"/>
            </w:tcBorders>
            <w:vAlign w:val="center"/>
          </w:tcPr>
          <w:p w14:paraId="361F1540">
            <w:pPr>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合同签订后至2026年6月底</w:t>
            </w:r>
          </w:p>
        </w:tc>
      </w:tr>
      <w:tr w14:paraId="1F1F303A">
        <w:tblPrEx>
          <w:tblCellMar>
            <w:top w:w="0" w:type="dxa"/>
            <w:left w:w="108" w:type="dxa"/>
            <w:bottom w:w="0" w:type="dxa"/>
            <w:right w:w="108" w:type="dxa"/>
          </w:tblCellMar>
        </w:tblPrEx>
        <w:trPr>
          <w:trHeight w:val="445" w:hRule="atLeast"/>
          <w:jc w:val="center"/>
        </w:trPr>
        <w:tc>
          <w:tcPr>
            <w:tcW w:w="978" w:type="dxa"/>
            <w:tcBorders>
              <w:top w:val="nil"/>
              <w:left w:val="single" w:color="000000" w:sz="4" w:space="0"/>
              <w:bottom w:val="single" w:color="000000" w:sz="4" w:space="0"/>
              <w:right w:val="single" w:color="000000" w:sz="4" w:space="0"/>
            </w:tcBorders>
            <w:vAlign w:val="center"/>
          </w:tcPr>
          <w:p w14:paraId="0FAD6576">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6</w:t>
            </w:r>
          </w:p>
        </w:tc>
        <w:tc>
          <w:tcPr>
            <w:tcW w:w="1712" w:type="dxa"/>
            <w:tcBorders>
              <w:top w:val="nil"/>
              <w:left w:val="nil"/>
              <w:bottom w:val="single" w:color="000000" w:sz="4" w:space="0"/>
              <w:right w:val="single" w:color="000000" w:sz="4" w:space="0"/>
            </w:tcBorders>
            <w:vAlign w:val="center"/>
          </w:tcPr>
          <w:p w14:paraId="6D83A3AB">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资金来源</w:t>
            </w:r>
          </w:p>
        </w:tc>
        <w:tc>
          <w:tcPr>
            <w:tcW w:w="6626" w:type="dxa"/>
            <w:tcBorders>
              <w:top w:val="nil"/>
              <w:left w:val="nil"/>
              <w:bottom w:val="single" w:color="000000" w:sz="4" w:space="0"/>
              <w:right w:val="single" w:color="000000" w:sz="4" w:space="0"/>
            </w:tcBorders>
            <w:vAlign w:val="center"/>
          </w:tcPr>
          <w:p w14:paraId="5C800149">
            <w:pPr>
              <w:spacing w:beforeAutospacing="0" w:afterAutospacing="0" w:line="360" w:lineRule="auto"/>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财政资金</w:t>
            </w:r>
            <w:r>
              <w:rPr>
                <w:rFonts w:hint="eastAsia" w:ascii="宋体" w:hAnsi="宋体"/>
                <w:color w:val="auto"/>
                <w:sz w:val="24"/>
                <w:szCs w:val="24"/>
                <w:highlight w:val="none"/>
                <w:lang w:eastAsia="zh-CN"/>
              </w:rPr>
              <w:t>，已落实。</w:t>
            </w:r>
          </w:p>
        </w:tc>
      </w:tr>
      <w:tr w14:paraId="1D0843DD">
        <w:tblPrEx>
          <w:tblCellMar>
            <w:top w:w="0" w:type="dxa"/>
            <w:left w:w="108" w:type="dxa"/>
            <w:bottom w:w="0" w:type="dxa"/>
            <w:right w:w="108" w:type="dxa"/>
          </w:tblCellMar>
        </w:tblPrEx>
        <w:trPr>
          <w:trHeight w:val="791"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1152A4F1">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7</w:t>
            </w:r>
          </w:p>
        </w:tc>
        <w:tc>
          <w:tcPr>
            <w:tcW w:w="1712" w:type="dxa"/>
            <w:tcBorders>
              <w:top w:val="single" w:color="000000" w:sz="4" w:space="0"/>
              <w:left w:val="nil"/>
              <w:bottom w:val="single" w:color="000000" w:sz="4" w:space="0"/>
              <w:right w:val="single" w:color="000000" w:sz="4" w:space="0"/>
            </w:tcBorders>
            <w:vAlign w:val="center"/>
          </w:tcPr>
          <w:p w14:paraId="1215D99E">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服务内容</w:t>
            </w:r>
          </w:p>
        </w:tc>
        <w:tc>
          <w:tcPr>
            <w:tcW w:w="6626" w:type="dxa"/>
            <w:tcBorders>
              <w:top w:val="single" w:color="000000" w:sz="4" w:space="0"/>
              <w:left w:val="nil"/>
              <w:bottom w:val="single" w:color="000000" w:sz="4" w:space="0"/>
              <w:right w:val="single" w:color="000000" w:sz="4" w:space="0"/>
            </w:tcBorders>
            <w:vAlign w:val="center"/>
          </w:tcPr>
          <w:p w14:paraId="374FAD5F">
            <w:pPr>
              <w:spacing w:beforeAutospacing="0" w:after="100" w:afterAutospacing="0" w:line="360" w:lineRule="auto"/>
              <w:jc w:val="both"/>
              <w:rPr>
                <w:rFonts w:hint="eastAsia" w:ascii="宋体" w:hAnsi="宋体" w:eastAsia="宋体"/>
                <w:color w:val="auto"/>
                <w:sz w:val="24"/>
                <w:szCs w:val="24"/>
                <w:highlight w:val="none"/>
                <w:lang w:eastAsia="zh-CN"/>
              </w:rPr>
            </w:pPr>
            <w:r>
              <w:rPr>
                <w:rFonts w:hint="eastAsia" w:ascii="宋体" w:hAnsi="宋体" w:eastAsia="宋体"/>
                <w:color w:val="auto"/>
                <w:kern w:val="0"/>
                <w:sz w:val="24"/>
                <w:szCs w:val="24"/>
                <w:highlight w:val="none"/>
                <w:lang w:eastAsia="zh-CN"/>
              </w:rPr>
              <w:t>开展卢氏蜂蜜生境相关的气候、土壤等现状调查，制定卢氏生境保护与可持续发展案例标准，设置地标生境主要指标实时开放信息地面站，溯源系统与品牌建设。(具体内容详见第三章)</w:t>
            </w:r>
          </w:p>
        </w:tc>
      </w:tr>
      <w:tr w14:paraId="22F212A3">
        <w:tblPrEx>
          <w:tblCellMar>
            <w:top w:w="0" w:type="dxa"/>
            <w:left w:w="108" w:type="dxa"/>
            <w:bottom w:w="0" w:type="dxa"/>
            <w:right w:w="108" w:type="dxa"/>
          </w:tblCellMar>
        </w:tblPrEx>
        <w:trPr>
          <w:trHeight w:val="791"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328BFE06">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8</w:t>
            </w:r>
          </w:p>
        </w:tc>
        <w:tc>
          <w:tcPr>
            <w:tcW w:w="1712" w:type="dxa"/>
            <w:tcBorders>
              <w:top w:val="single" w:color="000000" w:sz="4" w:space="0"/>
              <w:left w:val="nil"/>
              <w:bottom w:val="single" w:color="000000" w:sz="4" w:space="0"/>
              <w:right w:val="single" w:color="000000" w:sz="4" w:space="0"/>
            </w:tcBorders>
            <w:vAlign w:val="center"/>
          </w:tcPr>
          <w:p w14:paraId="022B4A83">
            <w:pPr>
              <w:spacing w:beforeAutospacing="0" w:after="100" w:afterAutospacing="0" w:line="360" w:lineRule="auto"/>
              <w:jc w:val="center"/>
              <w:rPr>
                <w:rFonts w:ascii="宋体" w:hAnsi="宋体" w:eastAsia="宋体"/>
                <w:color w:val="auto"/>
                <w:kern w:val="0"/>
                <w:sz w:val="24"/>
                <w:szCs w:val="24"/>
                <w:highlight w:val="none"/>
              </w:rPr>
            </w:pPr>
            <w:r>
              <w:rPr>
                <w:rFonts w:hint="eastAsia" w:ascii="宋体" w:hAnsi="宋体" w:eastAsia="宋体"/>
                <w:bCs/>
                <w:color w:val="auto"/>
                <w:sz w:val="24"/>
                <w:szCs w:val="21"/>
                <w:highlight w:val="none"/>
              </w:rPr>
              <w:t>质量要求</w:t>
            </w:r>
          </w:p>
        </w:tc>
        <w:tc>
          <w:tcPr>
            <w:tcW w:w="6626" w:type="dxa"/>
            <w:tcBorders>
              <w:top w:val="single" w:color="000000" w:sz="4" w:space="0"/>
              <w:left w:val="nil"/>
              <w:bottom w:val="single" w:color="000000" w:sz="4" w:space="0"/>
              <w:right w:val="single" w:color="000000" w:sz="4" w:space="0"/>
            </w:tcBorders>
            <w:vAlign w:val="center"/>
          </w:tcPr>
          <w:p w14:paraId="55388C98">
            <w:pPr>
              <w:spacing w:beforeAutospacing="0" w:after="100" w:afterAutospacing="0"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符合国家相关技术规范和质控要求；满足采购人需求</w:t>
            </w:r>
          </w:p>
        </w:tc>
      </w:tr>
      <w:tr w14:paraId="271ABDE3">
        <w:tblPrEx>
          <w:tblCellMar>
            <w:top w:w="0" w:type="dxa"/>
            <w:left w:w="108" w:type="dxa"/>
            <w:bottom w:w="0" w:type="dxa"/>
            <w:right w:w="108" w:type="dxa"/>
          </w:tblCellMar>
        </w:tblPrEx>
        <w:trPr>
          <w:trHeight w:val="665"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6129E474">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9</w:t>
            </w:r>
          </w:p>
        </w:tc>
        <w:tc>
          <w:tcPr>
            <w:tcW w:w="1712" w:type="dxa"/>
            <w:tcBorders>
              <w:top w:val="single" w:color="000000" w:sz="4" w:space="0"/>
              <w:left w:val="nil"/>
              <w:bottom w:val="single" w:color="000000" w:sz="4" w:space="0"/>
              <w:right w:val="single" w:color="000000" w:sz="4" w:space="0"/>
            </w:tcBorders>
            <w:vAlign w:val="center"/>
          </w:tcPr>
          <w:p w14:paraId="436EED42">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磋商供应商资质要求</w:t>
            </w:r>
          </w:p>
        </w:tc>
        <w:tc>
          <w:tcPr>
            <w:tcW w:w="6626" w:type="dxa"/>
            <w:tcBorders>
              <w:top w:val="single" w:color="000000" w:sz="4" w:space="0"/>
              <w:left w:val="nil"/>
              <w:bottom w:val="single" w:color="000000" w:sz="4" w:space="0"/>
              <w:right w:val="single" w:color="000000" w:sz="4" w:space="0"/>
            </w:tcBorders>
            <w:vAlign w:val="center"/>
          </w:tcPr>
          <w:p w14:paraId="5BC0B57E">
            <w:pPr>
              <w:keepNext w:val="0"/>
              <w:keepLines w:val="0"/>
              <w:pageBreakBefore w:val="0"/>
              <w:widowControl w:val="0"/>
              <w:kinsoku/>
              <w:overflowPunct/>
              <w:topLinePunct w:val="0"/>
              <w:autoSpaceDE/>
              <w:autoSpaceDN/>
              <w:bidi w:val="0"/>
              <w:adjustRightInd/>
              <w:snapToGrid/>
              <w:spacing w:beforeAutospacing="0" w:afterAutospacing="0" w:line="360" w:lineRule="auto"/>
              <w:textAlignment w:val="auto"/>
              <w:rPr>
                <w:rFonts w:hint="eastAsia" w:ascii="宋体" w:hAnsi="宋体"/>
                <w:bCs/>
                <w:color w:val="auto"/>
                <w:sz w:val="24"/>
                <w:szCs w:val="21"/>
                <w:highlight w:val="none"/>
                <w:lang w:val="en-US" w:eastAsia="zh-CN"/>
              </w:rPr>
            </w:pPr>
            <w:r>
              <w:rPr>
                <w:rFonts w:hint="eastAsia" w:ascii="宋体" w:hAnsi="宋体" w:eastAsia="宋体" w:cs="宋体"/>
                <w:color w:val="auto"/>
                <w:spacing w:val="-3"/>
                <w:sz w:val="24"/>
                <w:szCs w:val="24"/>
                <w:highlight w:val="none"/>
                <w:lang w:val="en-US" w:eastAsia="zh-CN"/>
              </w:rPr>
              <w:t>详见竞争性磋商公告</w:t>
            </w:r>
          </w:p>
        </w:tc>
      </w:tr>
      <w:tr w14:paraId="75584838">
        <w:tblPrEx>
          <w:tblCellMar>
            <w:top w:w="0" w:type="dxa"/>
            <w:left w:w="108" w:type="dxa"/>
            <w:bottom w:w="0" w:type="dxa"/>
            <w:right w:w="108" w:type="dxa"/>
          </w:tblCellMar>
        </w:tblPrEx>
        <w:trPr>
          <w:trHeight w:val="434"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560E4D0F">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10</w:t>
            </w:r>
          </w:p>
        </w:tc>
        <w:tc>
          <w:tcPr>
            <w:tcW w:w="1712" w:type="dxa"/>
            <w:tcBorders>
              <w:top w:val="single" w:color="000000" w:sz="4" w:space="0"/>
              <w:left w:val="nil"/>
              <w:bottom w:val="single" w:color="000000" w:sz="4" w:space="0"/>
              <w:right w:val="single" w:color="000000" w:sz="4" w:space="0"/>
            </w:tcBorders>
            <w:vAlign w:val="center"/>
          </w:tcPr>
          <w:p w14:paraId="6894FD20">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竞争性磋商</w:t>
            </w:r>
            <w:r>
              <w:rPr>
                <w:rFonts w:hint="eastAsia" w:ascii="宋体" w:hAnsi="宋体" w:eastAsia="宋体"/>
                <w:color w:val="auto"/>
                <w:kern w:val="0"/>
                <w:sz w:val="24"/>
                <w:szCs w:val="24"/>
                <w:highlight w:val="none"/>
              </w:rPr>
              <w:t>有效期</w:t>
            </w:r>
          </w:p>
        </w:tc>
        <w:tc>
          <w:tcPr>
            <w:tcW w:w="6626" w:type="dxa"/>
            <w:tcBorders>
              <w:top w:val="single" w:color="000000" w:sz="4" w:space="0"/>
              <w:left w:val="nil"/>
              <w:bottom w:val="single" w:color="000000" w:sz="4" w:space="0"/>
              <w:right w:val="single" w:color="000000" w:sz="4" w:space="0"/>
            </w:tcBorders>
            <w:vAlign w:val="center"/>
          </w:tcPr>
          <w:p w14:paraId="6B336B1B">
            <w:pPr>
              <w:spacing w:beforeAutospacing="0" w:afterAutospacing="0" w:line="360" w:lineRule="auto"/>
              <w:jc w:val="left"/>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lang w:eastAsia="zh-CN"/>
              </w:rPr>
              <w:t>投标截止之日起</w:t>
            </w:r>
            <w:r>
              <w:rPr>
                <w:rFonts w:hint="eastAsia" w:ascii="宋体" w:hAnsi="宋体" w:eastAsia="宋体"/>
                <w:color w:val="auto"/>
                <w:kern w:val="0"/>
                <w:sz w:val="24"/>
                <w:szCs w:val="24"/>
                <w:highlight w:val="none"/>
              </w:rPr>
              <w:t>60日历天</w:t>
            </w:r>
          </w:p>
        </w:tc>
      </w:tr>
      <w:tr w14:paraId="7A433BBE">
        <w:tblPrEx>
          <w:tblCellMar>
            <w:top w:w="0" w:type="dxa"/>
            <w:left w:w="108" w:type="dxa"/>
            <w:bottom w:w="0" w:type="dxa"/>
            <w:right w:w="108" w:type="dxa"/>
          </w:tblCellMar>
        </w:tblPrEx>
        <w:trPr>
          <w:trHeight w:val="413"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6B2A8CA8">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11</w:t>
            </w:r>
          </w:p>
        </w:tc>
        <w:tc>
          <w:tcPr>
            <w:tcW w:w="1712" w:type="dxa"/>
            <w:tcBorders>
              <w:top w:val="single" w:color="000000" w:sz="4" w:space="0"/>
              <w:left w:val="nil"/>
              <w:bottom w:val="single" w:color="000000" w:sz="4" w:space="0"/>
              <w:right w:val="single" w:color="000000" w:sz="4" w:space="0"/>
            </w:tcBorders>
            <w:vAlign w:val="center"/>
          </w:tcPr>
          <w:p w14:paraId="30FE9C84">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竞争性磋商保证金</w:t>
            </w:r>
          </w:p>
        </w:tc>
        <w:tc>
          <w:tcPr>
            <w:tcW w:w="6626" w:type="dxa"/>
            <w:tcBorders>
              <w:top w:val="single" w:color="000000" w:sz="4" w:space="0"/>
              <w:left w:val="nil"/>
              <w:bottom w:val="single" w:color="000000" w:sz="4" w:space="0"/>
              <w:right w:val="single" w:color="000000" w:sz="4" w:space="0"/>
            </w:tcBorders>
            <w:vAlign w:val="center"/>
          </w:tcPr>
          <w:p w14:paraId="5E426031">
            <w:pPr>
              <w:spacing w:beforeAutospacing="0" w:afterAutospacing="0" w:line="360" w:lineRule="auto"/>
              <w:jc w:val="left"/>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不</w:t>
            </w:r>
            <w:r>
              <w:rPr>
                <w:rFonts w:hint="eastAsia" w:ascii="宋体" w:hAnsi="宋体" w:eastAsia="宋体"/>
                <w:bCs/>
                <w:color w:val="auto"/>
                <w:kern w:val="0"/>
                <w:sz w:val="24"/>
                <w:szCs w:val="24"/>
                <w:highlight w:val="none"/>
                <w:lang w:val="en-US" w:eastAsia="zh-CN"/>
              </w:rPr>
              <w:t>再</w:t>
            </w:r>
            <w:r>
              <w:rPr>
                <w:rFonts w:hint="eastAsia" w:ascii="宋体" w:hAnsi="宋体" w:eastAsia="宋体"/>
                <w:bCs/>
                <w:color w:val="auto"/>
                <w:kern w:val="0"/>
                <w:sz w:val="24"/>
                <w:szCs w:val="24"/>
                <w:highlight w:val="none"/>
              </w:rPr>
              <w:t>收取磋商保证金</w:t>
            </w:r>
          </w:p>
        </w:tc>
      </w:tr>
      <w:tr w14:paraId="313C085C">
        <w:tblPrEx>
          <w:tblCellMar>
            <w:top w:w="0" w:type="dxa"/>
            <w:left w:w="108" w:type="dxa"/>
            <w:bottom w:w="0" w:type="dxa"/>
            <w:right w:w="108" w:type="dxa"/>
          </w:tblCellMar>
        </w:tblPrEx>
        <w:trPr>
          <w:trHeight w:val="505"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3A39EEAA">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rPr>
              <w:t>1</w:t>
            </w:r>
            <w:r>
              <w:rPr>
                <w:rFonts w:hint="eastAsia" w:ascii="宋体" w:hAnsi="宋体"/>
                <w:color w:val="auto"/>
                <w:kern w:val="0"/>
                <w:sz w:val="24"/>
                <w:szCs w:val="24"/>
                <w:highlight w:val="none"/>
                <w:lang w:val="en-US" w:eastAsia="zh-CN"/>
              </w:rPr>
              <w:t>2</w:t>
            </w:r>
          </w:p>
        </w:tc>
        <w:tc>
          <w:tcPr>
            <w:tcW w:w="1712" w:type="dxa"/>
            <w:tcBorders>
              <w:top w:val="single" w:color="000000" w:sz="4" w:space="0"/>
              <w:left w:val="nil"/>
              <w:bottom w:val="single" w:color="000000" w:sz="4" w:space="0"/>
              <w:right w:val="single" w:color="000000" w:sz="4" w:space="0"/>
            </w:tcBorders>
            <w:vAlign w:val="center"/>
          </w:tcPr>
          <w:p w14:paraId="15F5B809">
            <w:pPr>
              <w:spacing w:beforeAutospacing="0" w:afterAutospacing="0" w:line="360" w:lineRule="auto"/>
              <w:jc w:val="center"/>
              <w:rPr>
                <w:rFonts w:hint="eastAsia" w:ascii="宋体" w:hAnsi="宋体" w:eastAsia="宋体"/>
                <w:color w:val="auto"/>
                <w:kern w:val="0"/>
                <w:sz w:val="24"/>
                <w:szCs w:val="24"/>
                <w:highlight w:val="none"/>
                <w:lang w:eastAsia="zh-CN"/>
              </w:rPr>
            </w:pPr>
            <w:r>
              <w:rPr>
                <w:rFonts w:hint="eastAsia" w:ascii="宋体" w:hAnsi="宋体" w:eastAsia="宋体"/>
                <w:color w:val="auto"/>
                <w:kern w:val="0"/>
                <w:sz w:val="24"/>
                <w:szCs w:val="24"/>
                <w:highlight w:val="none"/>
              </w:rPr>
              <w:t>磋商</w:t>
            </w:r>
            <w:r>
              <w:rPr>
                <w:rFonts w:hint="eastAsia" w:ascii="宋体" w:hAnsi="宋体"/>
                <w:color w:val="auto"/>
                <w:kern w:val="0"/>
                <w:sz w:val="24"/>
                <w:szCs w:val="24"/>
                <w:highlight w:val="none"/>
                <w:lang w:eastAsia="zh-CN"/>
              </w:rPr>
              <w:t>时间和地点</w:t>
            </w:r>
          </w:p>
        </w:tc>
        <w:tc>
          <w:tcPr>
            <w:tcW w:w="6626" w:type="dxa"/>
            <w:tcBorders>
              <w:top w:val="single" w:color="000000" w:sz="4" w:space="0"/>
              <w:left w:val="nil"/>
              <w:bottom w:val="single" w:color="000000" w:sz="4" w:space="0"/>
              <w:right w:val="single" w:color="000000" w:sz="4" w:space="0"/>
            </w:tcBorders>
            <w:vAlign w:val="center"/>
          </w:tcPr>
          <w:p w14:paraId="7EE98BA2">
            <w:pPr>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时间：2025年11月25 日08时40分</w:t>
            </w:r>
          </w:p>
          <w:p w14:paraId="221047CD">
            <w:pPr>
              <w:spacing w:beforeAutospacing="0" w:afterAutospacing="0" w:line="360" w:lineRule="auto"/>
              <w:jc w:val="left"/>
              <w:rPr>
                <w:rFonts w:ascii="宋体" w:hAnsi="宋体" w:eastAsia="宋体"/>
                <w:color w:val="auto"/>
                <w:kern w:val="0"/>
                <w:sz w:val="24"/>
                <w:szCs w:val="24"/>
                <w:highlight w:val="none"/>
              </w:rPr>
            </w:pPr>
            <w:r>
              <w:rPr>
                <w:rFonts w:hint="eastAsia" w:ascii="宋体" w:hAnsi="宋体"/>
                <w:color w:val="auto"/>
                <w:sz w:val="24"/>
                <w:szCs w:val="24"/>
                <w:highlight w:val="none"/>
                <w:lang w:val="en-US" w:eastAsia="zh-CN"/>
              </w:rPr>
              <w:t>地点：卢氏县公共资源交易中心四楼第二开标室</w:t>
            </w:r>
          </w:p>
        </w:tc>
      </w:tr>
      <w:tr w14:paraId="0B58A664">
        <w:tblPrEx>
          <w:tblCellMar>
            <w:top w:w="0" w:type="dxa"/>
            <w:left w:w="108" w:type="dxa"/>
            <w:bottom w:w="0" w:type="dxa"/>
            <w:right w:w="108" w:type="dxa"/>
          </w:tblCellMar>
        </w:tblPrEx>
        <w:trPr>
          <w:trHeight w:val="690"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5C897A4F">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rPr>
              <w:t>1</w:t>
            </w:r>
            <w:r>
              <w:rPr>
                <w:rFonts w:hint="eastAsia" w:ascii="宋体" w:hAnsi="宋体"/>
                <w:color w:val="auto"/>
                <w:kern w:val="0"/>
                <w:sz w:val="24"/>
                <w:szCs w:val="24"/>
                <w:highlight w:val="none"/>
                <w:lang w:val="en-US" w:eastAsia="zh-CN"/>
              </w:rPr>
              <w:t>3</w:t>
            </w:r>
          </w:p>
        </w:tc>
        <w:tc>
          <w:tcPr>
            <w:tcW w:w="1712" w:type="dxa"/>
            <w:tcBorders>
              <w:top w:val="single" w:color="000000" w:sz="4" w:space="0"/>
              <w:left w:val="nil"/>
              <w:bottom w:val="single" w:color="000000" w:sz="4" w:space="0"/>
              <w:right w:val="single" w:color="000000" w:sz="4" w:space="0"/>
            </w:tcBorders>
            <w:vAlign w:val="center"/>
          </w:tcPr>
          <w:p w14:paraId="088DAC3F">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磋商小组的组建</w:t>
            </w:r>
          </w:p>
        </w:tc>
        <w:tc>
          <w:tcPr>
            <w:tcW w:w="6626" w:type="dxa"/>
            <w:tcBorders>
              <w:top w:val="single" w:color="000000" w:sz="4" w:space="0"/>
              <w:left w:val="nil"/>
              <w:bottom w:val="single" w:color="000000" w:sz="4" w:space="0"/>
              <w:right w:val="single" w:color="000000" w:sz="4" w:space="0"/>
            </w:tcBorders>
            <w:vAlign w:val="center"/>
          </w:tcPr>
          <w:p w14:paraId="69526767">
            <w:pPr>
              <w:spacing w:beforeAutospacing="0" w:afterAutospacing="0" w:line="360" w:lineRule="auto"/>
              <w:jc w:val="left"/>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lang w:val="en-US" w:eastAsia="zh-CN"/>
              </w:rPr>
              <w:t>磋商小组成员为3人，由</w:t>
            </w:r>
            <w:r>
              <w:rPr>
                <w:rFonts w:hint="eastAsia" w:ascii="宋体" w:hAnsi="宋体"/>
                <w:color w:val="auto"/>
                <w:kern w:val="0"/>
                <w:sz w:val="24"/>
                <w:szCs w:val="24"/>
                <w:highlight w:val="none"/>
                <w:lang w:val="en-US" w:eastAsia="zh-CN"/>
              </w:rPr>
              <w:t>招标人代表1人，技术经济类专家2人组成。开标后</w:t>
            </w:r>
            <w:r>
              <w:rPr>
                <w:rFonts w:ascii="宋体" w:hAnsi="宋体" w:eastAsia="宋体"/>
                <w:color w:val="auto"/>
                <w:kern w:val="0"/>
                <w:sz w:val="24"/>
                <w:szCs w:val="24"/>
                <w:highlight w:val="none"/>
              </w:rPr>
              <w:t>从三门峡市公共资源交易中心评标专家库中随机抽取。</w:t>
            </w:r>
          </w:p>
        </w:tc>
      </w:tr>
      <w:tr w14:paraId="3C797EBA">
        <w:tblPrEx>
          <w:tblCellMar>
            <w:top w:w="0" w:type="dxa"/>
            <w:left w:w="108" w:type="dxa"/>
            <w:bottom w:w="0" w:type="dxa"/>
            <w:right w:w="108" w:type="dxa"/>
          </w:tblCellMar>
        </w:tblPrEx>
        <w:trPr>
          <w:trHeight w:val="360"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43806124">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rPr>
              <w:t>1</w:t>
            </w:r>
            <w:r>
              <w:rPr>
                <w:rFonts w:hint="eastAsia" w:ascii="宋体" w:hAnsi="宋体"/>
                <w:color w:val="auto"/>
                <w:kern w:val="0"/>
                <w:sz w:val="24"/>
                <w:szCs w:val="24"/>
                <w:highlight w:val="none"/>
                <w:lang w:val="en-US" w:eastAsia="zh-CN"/>
              </w:rPr>
              <w:t>4</w:t>
            </w:r>
          </w:p>
        </w:tc>
        <w:tc>
          <w:tcPr>
            <w:tcW w:w="1712" w:type="dxa"/>
            <w:tcBorders>
              <w:top w:val="single" w:color="000000" w:sz="4" w:space="0"/>
              <w:left w:val="nil"/>
              <w:bottom w:val="single" w:color="000000" w:sz="4" w:space="0"/>
              <w:right w:val="single" w:color="000000" w:sz="4" w:space="0"/>
            </w:tcBorders>
            <w:vAlign w:val="center"/>
          </w:tcPr>
          <w:p w14:paraId="036F5F90">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评标标</w:t>
            </w:r>
          </w:p>
          <w:p w14:paraId="14B77C02">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准及方法</w:t>
            </w:r>
          </w:p>
        </w:tc>
        <w:tc>
          <w:tcPr>
            <w:tcW w:w="6626" w:type="dxa"/>
            <w:tcBorders>
              <w:top w:val="single" w:color="000000" w:sz="4" w:space="0"/>
              <w:left w:val="nil"/>
              <w:bottom w:val="single" w:color="000000" w:sz="4" w:space="0"/>
              <w:right w:val="single" w:color="000000" w:sz="4" w:space="0"/>
            </w:tcBorders>
            <w:vAlign w:val="center"/>
          </w:tcPr>
          <w:p w14:paraId="38B5379B">
            <w:pPr>
              <w:spacing w:beforeAutospacing="0" w:afterAutospacing="0" w:line="360" w:lineRule="auto"/>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评定办法：由磋商小组采用综合评分法对提交最后报价的磋商供应商的响应文件和最后报价进行综合评分。综合评分法，是指响应文件满足磋商文件全部实质性要求且按评审因素的量化指标评审得分最高的磋商供应商为成交候选磋商供应商的评审方法。</w:t>
            </w:r>
          </w:p>
        </w:tc>
      </w:tr>
      <w:tr w14:paraId="06DCD1E9">
        <w:tblPrEx>
          <w:tblCellMar>
            <w:top w:w="0" w:type="dxa"/>
            <w:left w:w="108" w:type="dxa"/>
            <w:bottom w:w="0" w:type="dxa"/>
            <w:right w:w="108" w:type="dxa"/>
          </w:tblCellMar>
        </w:tblPrEx>
        <w:trPr>
          <w:trHeight w:val="699"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2637327A">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rPr>
              <w:t>1</w:t>
            </w:r>
            <w:r>
              <w:rPr>
                <w:rFonts w:hint="eastAsia" w:ascii="宋体" w:hAnsi="宋体" w:eastAsia="宋体"/>
                <w:color w:val="auto"/>
                <w:kern w:val="0"/>
                <w:sz w:val="24"/>
                <w:szCs w:val="24"/>
                <w:highlight w:val="none"/>
                <w:lang w:val="en-US" w:eastAsia="zh-CN"/>
              </w:rPr>
              <w:t>5</w:t>
            </w:r>
          </w:p>
        </w:tc>
        <w:tc>
          <w:tcPr>
            <w:tcW w:w="1712" w:type="dxa"/>
            <w:tcBorders>
              <w:top w:val="single" w:color="000000" w:sz="4" w:space="0"/>
              <w:left w:val="nil"/>
              <w:bottom w:val="single" w:color="000000" w:sz="4" w:space="0"/>
              <w:right w:val="single" w:color="000000" w:sz="4" w:space="0"/>
            </w:tcBorders>
            <w:vAlign w:val="center"/>
          </w:tcPr>
          <w:p w14:paraId="3DA0C778">
            <w:pPr>
              <w:spacing w:beforeAutospacing="0" w:afterAutospacing="0" w:line="360" w:lineRule="auto"/>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付款方式</w:t>
            </w:r>
          </w:p>
        </w:tc>
        <w:tc>
          <w:tcPr>
            <w:tcW w:w="6626" w:type="dxa"/>
            <w:tcBorders>
              <w:top w:val="single" w:color="000000" w:sz="4" w:space="0"/>
              <w:left w:val="nil"/>
              <w:right w:val="single" w:color="000000" w:sz="4" w:space="0"/>
            </w:tcBorders>
            <w:vAlign w:val="top"/>
          </w:tcPr>
          <w:p w14:paraId="004C7213">
            <w:pPr>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合同签订后，支付30%预付款；服务结束，成果文件经专家评审论证后支付至合同价款的80%；成果文件修改完善后支付剩余合同金额。</w:t>
            </w:r>
          </w:p>
        </w:tc>
      </w:tr>
      <w:tr w14:paraId="76052226">
        <w:tblPrEx>
          <w:tblCellMar>
            <w:top w:w="0" w:type="dxa"/>
            <w:left w:w="108" w:type="dxa"/>
            <w:bottom w:w="0" w:type="dxa"/>
            <w:right w:w="108" w:type="dxa"/>
          </w:tblCellMar>
        </w:tblPrEx>
        <w:trPr>
          <w:trHeight w:val="699"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54E0CC76">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16</w:t>
            </w:r>
          </w:p>
        </w:tc>
        <w:tc>
          <w:tcPr>
            <w:tcW w:w="1712" w:type="dxa"/>
            <w:tcBorders>
              <w:top w:val="single" w:color="000000" w:sz="4" w:space="0"/>
              <w:left w:val="nil"/>
              <w:bottom w:val="single" w:color="000000" w:sz="4" w:space="0"/>
              <w:right w:val="single" w:color="000000" w:sz="4" w:space="0"/>
            </w:tcBorders>
            <w:vAlign w:val="center"/>
          </w:tcPr>
          <w:p w14:paraId="513AFB59">
            <w:pPr>
              <w:spacing w:line="500" w:lineRule="exact"/>
              <w:jc w:val="center"/>
              <w:rPr>
                <w:rFonts w:ascii="宋体" w:hAnsi="宋体" w:eastAsia="宋体"/>
                <w:color w:val="auto"/>
                <w:kern w:val="0"/>
                <w:sz w:val="24"/>
                <w:szCs w:val="24"/>
                <w:highlight w:val="none"/>
              </w:rPr>
            </w:pPr>
            <w:r>
              <w:rPr>
                <w:rFonts w:ascii="宋体" w:hAnsi="宋体" w:cs="宋体"/>
                <w:color w:val="auto"/>
                <w:spacing w:val="6"/>
                <w:sz w:val="24"/>
                <w:szCs w:val="24"/>
                <w:highlight w:val="none"/>
              </w:rPr>
              <w:t>偏离</w:t>
            </w:r>
          </w:p>
        </w:tc>
        <w:tc>
          <w:tcPr>
            <w:tcW w:w="6626" w:type="dxa"/>
            <w:tcBorders>
              <w:top w:val="single" w:color="000000" w:sz="4" w:space="0"/>
              <w:left w:val="nil"/>
              <w:right w:val="single" w:color="000000" w:sz="4" w:space="0"/>
            </w:tcBorders>
            <w:vAlign w:val="center"/>
          </w:tcPr>
          <w:p w14:paraId="2F81BDB4">
            <w:pPr>
              <w:widowControl w:val="0"/>
              <w:spacing w:line="500" w:lineRule="exact"/>
              <w:jc w:val="both"/>
              <w:rPr>
                <w:rFonts w:hint="eastAsia" w:ascii="宋体" w:hAnsi="宋体" w:eastAsia="宋体"/>
                <w:color w:val="auto"/>
                <w:sz w:val="24"/>
                <w:szCs w:val="24"/>
                <w:highlight w:val="none"/>
                <w:lang w:val="en-US" w:eastAsia="zh-CN"/>
              </w:rPr>
            </w:pPr>
            <w:r>
              <w:rPr>
                <w:rFonts w:hint="eastAsia" w:ascii="宋体" w:hAnsi="宋体" w:cs="宋体"/>
                <w:color w:val="auto"/>
                <w:kern w:val="2"/>
                <w:sz w:val="24"/>
                <w:szCs w:val="24"/>
                <w:highlight w:val="none"/>
                <w:lang w:val="en-US" w:eastAsia="zh-CN"/>
              </w:rPr>
              <w:t>不允许</w:t>
            </w:r>
          </w:p>
        </w:tc>
      </w:tr>
      <w:tr w14:paraId="78C78531">
        <w:tblPrEx>
          <w:tblCellMar>
            <w:top w:w="0" w:type="dxa"/>
            <w:left w:w="108" w:type="dxa"/>
            <w:bottom w:w="0" w:type="dxa"/>
            <w:right w:w="108" w:type="dxa"/>
          </w:tblCellMar>
        </w:tblPrEx>
        <w:trPr>
          <w:trHeight w:val="699"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3252C5C2">
            <w:pPr>
              <w:spacing w:beforeAutospacing="0" w:afterAutospacing="0" w:line="360" w:lineRule="auto"/>
              <w:jc w:val="center"/>
              <w:rPr>
                <w:rFonts w:hint="default"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17</w:t>
            </w:r>
          </w:p>
        </w:tc>
        <w:tc>
          <w:tcPr>
            <w:tcW w:w="1712" w:type="dxa"/>
            <w:tcBorders>
              <w:top w:val="single" w:color="000000" w:sz="4" w:space="0"/>
              <w:left w:val="nil"/>
              <w:bottom w:val="single" w:color="000000" w:sz="4" w:space="0"/>
              <w:right w:val="single" w:color="000000" w:sz="4" w:space="0"/>
            </w:tcBorders>
            <w:vAlign w:val="center"/>
          </w:tcPr>
          <w:p w14:paraId="0B908882">
            <w:pPr>
              <w:spacing w:beforeAutospacing="0" w:afterAutospacing="0" w:line="360" w:lineRule="auto"/>
              <w:jc w:val="center"/>
              <w:rPr>
                <w:rFonts w:ascii="宋体" w:hAnsi="宋体" w:cs="宋体"/>
                <w:color w:val="auto"/>
                <w:spacing w:val="6"/>
                <w:sz w:val="24"/>
                <w:szCs w:val="24"/>
                <w:highlight w:val="none"/>
              </w:rPr>
            </w:pPr>
            <w:r>
              <w:rPr>
                <w:rFonts w:hint="eastAsia" w:ascii="宋体" w:hAnsi="宋体" w:eastAsia="宋体"/>
                <w:color w:val="auto"/>
                <w:kern w:val="0"/>
                <w:sz w:val="24"/>
                <w:szCs w:val="24"/>
                <w:highlight w:val="none"/>
              </w:rPr>
              <w:t>采购标的所属行业</w:t>
            </w:r>
          </w:p>
        </w:tc>
        <w:tc>
          <w:tcPr>
            <w:tcW w:w="6626" w:type="dxa"/>
            <w:tcBorders>
              <w:top w:val="single" w:color="000000" w:sz="4" w:space="0"/>
              <w:left w:val="nil"/>
              <w:right w:val="single" w:color="000000" w:sz="4" w:space="0"/>
            </w:tcBorders>
            <w:vAlign w:val="center"/>
          </w:tcPr>
          <w:p w14:paraId="4704D2FF">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本项目为服务类采购项目</w:t>
            </w:r>
          </w:p>
          <w:p w14:paraId="72A3CE11">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采购标的所属行业</w:t>
            </w:r>
            <w:r>
              <w:rPr>
                <w:rFonts w:hint="eastAsia" w:ascii="宋体" w:hAnsi="宋体"/>
                <w:color w:val="auto"/>
                <w:kern w:val="0"/>
                <w:sz w:val="24"/>
                <w:szCs w:val="24"/>
                <w:highlight w:val="none"/>
                <w:lang w:eastAsia="zh-CN"/>
              </w:rPr>
              <w:t>：</w:t>
            </w:r>
            <w:r>
              <w:rPr>
                <w:rFonts w:hint="eastAsia" w:ascii="宋体" w:hAnsi="宋体" w:eastAsia="宋体"/>
                <w:color w:val="auto"/>
                <w:kern w:val="0"/>
                <w:sz w:val="24"/>
                <w:szCs w:val="24"/>
                <w:highlight w:val="none"/>
              </w:rPr>
              <w:t>其他未列明行业(包括科学研究和技术服务业，水利、环境和公共设施管理业，居民服务、修理和其他服务业，社会工作，文化、体育和娱乐业等)</w:t>
            </w:r>
          </w:p>
          <w:p w14:paraId="797F1AE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划定标准为</w:t>
            </w:r>
            <w:r>
              <w:rPr>
                <w:rFonts w:hint="eastAsia" w:ascii="宋体" w:hAnsi="宋体"/>
                <w:color w:val="auto"/>
                <w:kern w:val="0"/>
                <w:sz w:val="24"/>
                <w:szCs w:val="24"/>
                <w:highlight w:val="none"/>
                <w:lang w:eastAsia="zh-CN"/>
              </w:rPr>
              <w:t>：</w:t>
            </w:r>
            <w:r>
              <w:rPr>
                <w:rFonts w:hint="eastAsia" w:ascii="宋体" w:hAnsi="宋体" w:eastAsia="宋体"/>
                <w:color w:val="auto"/>
                <w:kern w:val="0"/>
                <w:sz w:val="24"/>
                <w:szCs w:val="24"/>
                <w:highlight w:val="none"/>
              </w:rPr>
              <w:t>《工业和信息化部、国家统计局、国家发展和改革委员会、财政部关于印发&lt;中小企业划型标准规定的通知&gt;(工信部联企业(2011)300号)规定的划分标准为依据。</w:t>
            </w:r>
          </w:p>
        </w:tc>
      </w:tr>
      <w:tr w14:paraId="4AFAB85F">
        <w:tblPrEx>
          <w:tblCellMar>
            <w:top w:w="0" w:type="dxa"/>
            <w:left w:w="108" w:type="dxa"/>
            <w:bottom w:w="0" w:type="dxa"/>
            <w:right w:w="108" w:type="dxa"/>
          </w:tblCellMar>
        </w:tblPrEx>
        <w:trPr>
          <w:trHeight w:val="699"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09125B10">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18</w:t>
            </w:r>
          </w:p>
        </w:tc>
        <w:tc>
          <w:tcPr>
            <w:tcW w:w="1712" w:type="dxa"/>
            <w:tcBorders>
              <w:top w:val="single" w:color="000000" w:sz="4" w:space="0"/>
              <w:left w:val="nil"/>
              <w:bottom w:val="single" w:color="000000" w:sz="4" w:space="0"/>
              <w:right w:val="single" w:color="000000" w:sz="4" w:space="0"/>
            </w:tcBorders>
            <w:vAlign w:val="center"/>
          </w:tcPr>
          <w:p w14:paraId="06446511">
            <w:pPr>
              <w:widowControl w:val="0"/>
              <w:adjustRightInd w:val="0"/>
              <w:spacing w:line="500" w:lineRule="exact"/>
              <w:jc w:val="center"/>
              <w:rPr>
                <w:rFonts w:ascii="宋体" w:hAnsi="宋体" w:eastAsia="宋体"/>
                <w:color w:val="auto"/>
                <w:kern w:val="0"/>
                <w:sz w:val="24"/>
                <w:szCs w:val="24"/>
                <w:highlight w:val="none"/>
              </w:rPr>
            </w:pPr>
            <w:r>
              <w:rPr>
                <w:rFonts w:hint="eastAsia" w:ascii="宋体" w:hAnsi="宋体" w:cs="宋体"/>
                <w:color w:val="auto"/>
                <w:spacing w:val="6"/>
                <w:sz w:val="24"/>
                <w:szCs w:val="24"/>
                <w:highlight w:val="none"/>
              </w:rPr>
              <w:t>履约保证金</w:t>
            </w:r>
          </w:p>
        </w:tc>
        <w:tc>
          <w:tcPr>
            <w:tcW w:w="6626" w:type="dxa"/>
            <w:tcBorders>
              <w:top w:val="single" w:color="000000" w:sz="4" w:space="0"/>
              <w:left w:val="nil"/>
              <w:right w:val="single" w:color="000000" w:sz="4" w:space="0"/>
            </w:tcBorders>
            <w:vAlign w:val="center"/>
          </w:tcPr>
          <w:p w14:paraId="3B4B10A3">
            <w:pPr>
              <w:widowControl w:val="0"/>
              <w:snapToGrid w:val="0"/>
              <w:spacing w:line="500" w:lineRule="exact"/>
              <w:jc w:val="both"/>
              <w:rPr>
                <w:rFonts w:ascii="宋体" w:hAnsi="宋体" w:eastAsia="宋体"/>
                <w:color w:val="auto"/>
                <w:sz w:val="24"/>
                <w:szCs w:val="24"/>
                <w:highlight w:val="none"/>
                <w:lang w:val="en-US" w:eastAsia="zh-CN"/>
              </w:rPr>
            </w:pPr>
            <w:r>
              <w:rPr>
                <w:rFonts w:hint="eastAsia" w:ascii="宋体" w:hAnsi="宋体" w:cs="宋体"/>
                <w:color w:val="auto"/>
                <w:sz w:val="24"/>
                <w:highlight w:val="none"/>
              </w:rPr>
              <w:t>无</w:t>
            </w:r>
          </w:p>
        </w:tc>
      </w:tr>
      <w:tr w14:paraId="4975DBD4">
        <w:tblPrEx>
          <w:tblCellMar>
            <w:top w:w="0" w:type="dxa"/>
            <w:left w:w="108" w:type="dxa"/>
            <w:bottom w:w="0" w:type="dxa"/>
            <w:right w:w="108" w:type="dxa"/>
          </w:tblCellMar>
        </w:tblPrEx>
        <w:trPr>
          <w:trHeight w:val="699"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03D79B54">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19</w:t>
            </w:r>
          </w:p>
        </w:tc>
        <w:tc>
          <w:tcPr>
            <w:tcW w:w="1712" w:type="dxa"/>
            <w:tcBorders>
              <w:top w:val="single" w:color="000000" w:sz="4" w:space="0"/>
              <w:left w:val="nil"/>
              <w:bottom w:val="single" w:color="000000" w:sz="4" w:space="0"/>
              <w:right w:val="single" w:color="000000" w:sz="4" w:space="0"/>
            </w:tcBorders>
            <w:vAlign w:val="center"/>
          </w:tcPr>
          <w:p w14:paraId="6ED5B635">
            <w:pPr>
              <w:jc w:val="center"/>
              <w:rPr>
                <w:rFonts w:ascii="宋体" w:hAnsi="宋体" w:eastAsia="宋体"/>
                <w:color w:val="auto"/>
                <w:kern w:val="0"/>
                <w:sz w:val="24"/>
                <w:szCs w:val="24"/>
                <w:highlight w:val="none"/>
              </w:rPr>
            </w:pPr>
            <w:r>
              <w:rPr>
                <w:rFonts w:hint="eastAsia" w:ascii="宋体" w:hAnsi="宋体" w:cs="宋体"/>
                <w:color w:val="auto"/>
                <w:sz w:val="24"/>
                <w:szCs w:val="24"/>
                <w:highlight w:val="none"/>
              </w:rPr>
              <w:t>重新招标的其他情形</w:t>
            </w:r>
          </w:p>
        </w:tc>
        <w:tc>
          <w:tcPr>
            <w:tcW w:w="6626" w:type="dxa"/>
            <w:tcBorders>
              <w:top w:val="single" w:color="000000" w:sz="4" w:space="0"/>
              <w:left w:val="nil"/>
              <w:right w:val="single" w:color="000000" w:sz="4" w:space="0"/>
            </w:tcBorders>
            <w:vAlign w:val="center"/>
          </w:tcPr>
          <w:p w14:paraId="498F6675">
            <w:pPr>
              <w:spacing w:line="360" w:lineRule="auto"/>
              <w:rPr>
                <w:rFonts w:ascii="宋体" w:hAnsi="宋体" w:eastAsia="宋体"/>
                <w:color w:val="auto"/>
                <w:sz w:val="24"/>
                <w:szCs w:val="24"/>
                <w:highlight w:val="none"/>
                <w:lang w:val="en-US" w:eastAsia="zh-CN"/>
              </w:rPr>
            </w:pPr>
            <w:r>
              <w:rPr>
                <w:rFonts w:hint="eastAsia" w:ascii="宋体" w:hAnsi="宋体" w:cs="宋体"/>
                <w:color w:val="auto"/>
                <w:sz w:val="24"/>
                <w:szCs w:val="24"/>
                <w:highlight w:val="none"/>
              </w:rPr>
              <w:t>除投标人须知正文规定的情形外，除非已经产生中标候选人，在投标有效期内同意延长投标有效期的投标人少于三个的，招标人应当依法重新招标。</w:t>
            </w:r>
          </w:p>
        </w:tc>
      </w:tr>
      <w:tr w14:paraId="61F4E5F5">
        <w:tblPrEx>
          <w:tblCellMar>
            <w:top w:w="0" w:type="dxa"/>
            <w:left w:w="108" w:type="dxa"/>
            <w:bottom w:w="0" w:type="dxa"/>
            <w:right w:w="108" w:type="dxa"/>
          </w:tblCellMar>
        </w:tblPrEx>
        <w:trPr>
          <w:trHeight w:val="699"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3EF71A4B">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20</w:t>
            </w:r>
          </w:p>
        </w:tc>
        <w:tc>
          <w:tcPr>
            <w:tcW w:w="1712" w:type="dxa"/>
            <w:tcBorders>
              <w:top w:val="single" w:color="000000" w:sz="4" w:space="0"/>
              <w:left w:val="nil"/>
              <w:bottom w:val="single" w:color="000000" w:sz="4" w:space="0"/>
              <w:right w:val="single" w:color="000000" w:sz="4" w:space="0"/>
            </w:tcBorders>
            <w:vAlign w:val="center"/>
          </w:tcPr>
          <w:p w14:paraId="4C95E61B">
            <w:pPr>
              <w:widowControl w:val="0"/>
              <w:adjustRightInd w:val="0"/>
              <w:spacing w:line="500" w:lineRule="exact"/>
              <w:jc w:val="center"/>
              <w:rPr>
                <w:rFonts w:ascii="宋体" w:hAnsi="宋体" w:eastAsia="宋体"/>
                <w:color w:val="auto"/>
                <w:kern w:val="0"/>
                <w:sz w:val="24"/>
                <w:szCs w:val="24"/>
                <w:highlight w:val="none"/>
              </w:rPr>
            </w:pPr>
            <w:r>
              <w:rPr>
                <w:rFonts w:hint="eastAsia" w:ascii="宋体" w:hAnsi="宋体" w:cs="宋体"/>
                <w:color w:val="auto"/>
                <w:spacing w:val="6"/>
                <w:sz w:val="24"/>
                <w:szCs w:val="24"/>
                <w:highlight w:val="none"/>
              </w:rPr>
              <w:t>代理费收取</w:t>
            </w:r>
          </w:p>
        </w:tc>
        <w:tc>
          <w:tcPr>
            <w:tcW w:w="6626" w:type="dxa"/>
            <w:tcBorders>
              <w:top w:val="single" w:color="000000" w:sz="4" w:space="0"/>
              <w:left w:val="nil"/>
              <w:right w:val="single" w:color="000000" w:sz="4" w:space="0"/>
            </w:tcBorders>
            <w:vAlign w:val="center"/>
          </w:tcPr>
          <w:p w14:paraId="2287CD2E">
            <w:pPr>
              <w:spacing w:line="520" w:lineRule="exact"/>
              <w:rPr>
                <w:rFonts w:ascii="宋体" w:hAnsi="宋体" w:eastAsia="宋体"/>
                <w:color w:val="auto"/>
                <w:sz w:val="24"/>
                <w:szCs w:val="24"/>
                <w:highlight w:val="none"/>
                <w:lang w:val="en-US" w:eastAsia="zh-CN"/>
              </w:rPr>
            </w:pPr>
            <w:r>
              <w:rPr>
                <w:rFonts w:hint="eastAsia" w:ascii="宋体" w:hAnsi="宋体"/>
                <w:color w:val="auto"/>
                <w:sz w:val="24"/>
                <w:szCs w:val="24"/>
                <w:highlight w:val="none"/>
              </w:rPr>
              <w:t>招标代理服务收费参照豫招协[2023]002号河南省招标投标协会关于印发《河南省招标代理服务收费指导意见》规定的收费标准收取中标服务费。由中标人领取中标通知书时支付。</w:t>
            </w:r>
            <w:r>
              <w:rPr>
                <w:rFonts w:hint="eastAsia"/>
                <w:color w:val="auto"/>
                <w:sz w:val="24"/>
                <w:highlight w:val="none"/>
              </w:rPr>
              <w:t>本项目为政府采购</w:t>
            </w:r>
            <w:r>
              <w:rPr>
                <w:rFonts w:hint="eastAsia"/>
                <w:color w:val="auto"/>
                <w:sz w:val="24"/>
                <w:highlight w:val="none"/>
                <w:lang w:eastAsia="zh-CN"/>
              </w:rPr>
              <w:t>服务</w:t>
            </w:r>
            <w:r>
              <w:rPr>
                <w:rFonts w:hint="eastAsia"/>
                <w:color w:val="auto"/>
                <w:sz w:val="24"/>
                <w:highlight w:val="none"/>
              </w:rPr>
              <w:t>类</w:t>
            </w:r>
            <w:r>
              <w:rPr>
                <w:rFonts w:hint="eastAsia"/>
                <w:color w:val="auto"/>
                <w:sz w:val="24"/>
                <w:highlight w:val="none"/>
                <w:lang w:eastAsia="zh-CN"/>
              </w:rPr>
              <w:t>。</w:t>
            </w:r>
            <w:r>
              <w:rPr>
                <w:rFonts w:hint="eastAsia"/>
                <w:color w:val="auto"/>
                <w:sz w:val="24"/>
                <w:highlight w:val="none"/>
              </w:rPr>
              <w:t>收费标准</w:t>
            </w:r>
            <w:r>
              <w:rPr>
                <w:rFonts w:hint="eastAsia"/>
                <w:color w:val="auto"/>
                <w:sz w:val="24"/>
                <w:highlight w:val="none"/>
                <w:lang w:val="en-US" w:eastAsia="zh-CN"/>
              </w:rPr>
              <w:t>计算方式详见第二章供应商须知第33条</w:t>
            </w:r>
            <w:r>
              <w:rPr>
                <w:rFonts w:hint="eastAsia"/>
                <w:color w:val="auto"/>
                <w:sz w:val="24"/>
                <w:highlight w:val="none"/>
              </w:rPr>
              <w:t>。</w:t>
            </w:r>
          </w:p>
        </w:tc>
      </w:tr>
      <w:tr w14:paraId="5EC284C7">
        <w:tblPrEx>
          <w:tblCellMar>
            <w:top w:w="0" w:type="dxa"/>
            <w:left w:w="108" w:type="dxa"/>
            <w:bottom w:w="0" w:type="dxa"/>
            <w:right w:w="108" w:type="dxa"/>
          </w:tblCellMar>
        </w:tblPrEx>
        <w:trPr>
          <w:trHeight w:val="66"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04F0633E">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21</w:t>
            </w:r>
          </w:p>
        </w:tc>
        <w:tc>
          <w:tcPr>
            <w:tcW w:w="1712" w:type="dxa"/>
            <w:tcBorders>
              <w:top w:val="single" w:color="000000" w:sz="4" w:space="0"/>
              <w:left w:val="nil"/>
              <w:bottom w:val="single" w:color="000000" w:sz="4" w:space="0"/>
              <w:right w:val="single" w:color="000000" w:sz="4" w:space="0"/>
            </w:tcBorders>
            <w:vAlign w:val="center"/>
          </w:tcPr>
          <w:p w14:paraId="1FC96376">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近年完成的类似项目的业绩年份要求</w:t>
            </w:r>
          </w:p>
        </w:tc>
        <w:tc>
          <w:tcPr>
            <w:tcW w:w="6626" w:type="dxa"/>
            <w:tcBorders>
              <w:top w:val="single" w:color="000000" w:sz="4" w:space="0"/>
              <w:left w:val="nil"/>
              <w:bottom w:val="single" w:color="000000" w:sz="4" w:space="0"/>
              <w:right w:val="single" w:color="000000" w:sz="4" w:space="0"/>
            </w:tcBorders>
            <w:vAlign w:val="center"/>
          </w:tcPr>
          <w:p w14:paraId="1FF42E78">
            <w:pPr>
              <w:spacing w:beforeAutospacing="0" w:afterAutospacing="0" w:line="360" w:lineRule="auto"/>
              <w:jc w:val="both"/>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202</w:t>
            </w:r>
            <w:r>
              <w:rPr>
                <w:rFonts w:hint="eastAsia" w:ascii="宋体" w:hAnsi="宋体"/>
                <w:color w:val="auto"/>
                <w:kern w:val="0"/>
                <w:sz w:val="24"/>
                <w:szCs w:val="24"/>
                <w:highlight w:val="none"/>
                <w:lang w:val="en-US" w:eastAsia="zh-CN"/>
              </w:rPr>
              <w:t>0</w:t>
            </w:r>
            <w:r>
              <w:rPr>
                <w:rFonts w:hint="eastAsia" w:ascii="宋体" w:hAnsi="宋体" w:eastAsia="宋体"/>
                <w:color w:val="auto"/>
                <w:kern w:val="0"/>
                <w:sz w:val="24"/>
                <w:szCs w:val="24"/>
                <w:highlight w:val="none"/>
                <w:lang w:val="en-US" w:eastAsia="zh-CN"/>
              </w:rPr>
              <w:t>年1月1日以来</w:t>
            </w:r>
          </w:p>
        </w:tc>
      </w:tr>
      <w:tr w14:paraId="18B86D3B">
        <w:tblPrEx>
          <w:tblCellMar>
            <w:top w:w="0" w:type="dxa"/>
            <w:left w:w="108" w:type="dxa"/>
            <w:bottom w:w="0" w:type="dxa"/>
            <w:right w:w="108" w:type="dxa"/>
          </w:tblCellMar>
        </w:tblPrEx>
        <w:trPr>
          <w:trHeight w:val="90"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1DB6A34F">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22</w:t>
            </w:r>
          </w:p>
        </w:tc>
        <w:tc>
          <w:tcPr>
            <w:tcW w:w="1712" w:type="dxa"/>
            <w:tcBorders>
              <w:top w:val="single" w:color="000000" w:sz="4" w:space="0"/>
              <w:left w:val="nil"/>
              <w:bottom w:val="single" w:color="000000" w:sz="4" w:space="0"/>
              <w:right w:val="single" w:color="000000" w:sz="4" w:space="0"/>
            </w:tcBorders>
            <w:vAlign w:val="center"/>
          </w:tcPr>
          <w:p w14:paraId="0E9228D7">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预算资金</w:t>
            </w:r>
          </w:p>
        </w:tc>
        <w:tc>
          <w:tcPr>
            <w:tcW w:w="6626" w:type="dxa"/>
            <w:tcBorders>
              <w:top w:val="single" w:color="000000" w:sz="4" w:space="0"/>
              <w:left w:val="nil"/>
              <w:bottom w:val="single" w:color="000000" w:sz="4" w:space="0"/>
              <w:right w:val="single" w:color="000000" w:sz="4" w:space="0"/>
            </w:tcBorders>
            <w:vAlign w:val="center"/>
          </w:tcPr>
          <w:p w14:paraId="45AC476E">
            <w:pPr>
              <w:spacing w:beforeAutospacing="0" w:afterAutospacing="0" w:line="360" w:lineRule="auto"/>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项目</w:t>
            </w:r>
            <w:r>
              <w:rPr>
                <w:rFonts w:hint="eastAsia" w:ascii="宋体" w:hAnsi="宋体" w:eastAsia="宋体"/>
                <w:bCs/>
                <w:color w:val="auto"/>
                <w:kern w:val="0"/>
                <w:sz w:val="24"/>
                <w:szCs w:val="24"/>
                <w:highlight w:val="none"/>
                <w:lang w:val="en-US" w:eastAsia="zh-CN"/>
              </w:rPr>
              <w:t>总预算：600000.00元</w:t>
            </w:r>
          </w:p>
          <w:p w14:paraId="45BA09D1">
            <w:pPr>
              <w:spacing w:beforeAutospacing="0" w:afterAutospacing="0" w:line="36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供应商的磋商</w:t>
            </w:r>
            <w:r>
              <w:rPr>
                <w:rFonts w:hint="eastAsia" w:ascii="宋体" w:hAnsi="宋体"/>
                <w:color w:val="auto"/>
                <w:sz w:val="24"/>
                <w:highlight w:val="none"/>
                <w:lang w:val="en-US" w:eastAsia="zh-CN"/>
              </w:rPr>
              <w:t>报</w:t>
            </w:r>
            <w:r>
              <w:rPr>
                <w:rFonts w:hint="eastAsia" w:ascii="宋体" w:hAnsi="宋体"/>
                <w:color w:val="auto"/>
                <w:sz w:val="24"/>
                <w:highlight w:val="none"/>
              </w:rPr>
              <w:t>价大于或等于采购预算价的磋商报价为无效报价</w:t>
            </w:r>
          </w:p>
        </w:tc>
      </w:tr>
      <w:tr w14:paraId="26E53635">
        <w:tblPrEx>
          <w:tblCellMar>
            <w:top w:w="0" w:type="dxa"/>
            <w:left w:w="108" w:type="dxa"/>
            <w:bottom w:w="0" w:type="dxa"/>
            <w:right w:w="108" w:type="dxa"/>
          </w:tblCellMar>
        </w:tblPrEx>
        <w:trPr>
          <w:trHeight w:val="434"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31606A46">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23</w:t>
            </w:r>
          </w:p>
        </w:tc>
        <w:tc>
          <w:tcPr>
            <w:tcW w:w="1712" w:type="dxa"/>
            <w:tcBorders>
              <w:top w:val="single" w:color="000000" w:sz="4" w:space="0"/>
              <w:left w:val="nil"/>
              <w:bottom w:val="single" w:color="000000" w:sz="4" w:space="0"/>
              <w:right w:val="single" w:color="000000" w:sz="4" w:space="0"/>
            </w:tcBorders>
            <w:vAlign w:val="center"/>
          </w:tcPr>
          <w:p w14:paraId="203F860E">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是否授权</w:t>
            </w:r>
            <w:r>
              <w:rPr>
                <w:rFonts w:hint="eastAsia" w:ascii="宋体" w:hAnsi="宋体"/>
                <w:color w:val="auto"/>
                <w:kern w:val="0"/>
                <w:sz w:val="24"/>
                <w:szCs w:val="24"/>
                <w:highlight w:val="none"/>
                <w:lang w:eastAsia="zh-CN"/>
              </w:rPr>
              <w:t>磋商小组</w:t>
            </w:r>
            <w:r>
              <w:rPr>
                <w:rFonts w:hint="eastAsia" w:ascii="宋体" w:hAnsi="宋体" w:eastAsia="宋体"/>
                <w:color w:val="auto"/>
                <w:kern w:val="0"/>
                <w:sz w:val="24"/>
                <w:szCs w:val="24"/>
                <w:highlight w:val="none"/>
              </w:rPr>
              <w:t>确定成交单位</w:t>
            </w:r>
          </w:p>
        </w:tc>
        <w:tc>
          <w:tcPr>
            <w:tcW w:w="6626" w:type="dxa"/>
            <w:tcBorders>
              <w:top w:val="single" w:color="000000" w:sz="4" w:space="0"/>
              <w:left w:val="nil"/>
              <w:bottom w:val="single" w:color="000000" w:sz="4" w:space="0"/>
              <w:right w:val="single" w:color="000000" w:sz="4" w:space="0"/>
            </w:tcBorders>
            <w:vAlign w:val="center"/>
          </w:tcPr>
          <w:p w14:paraId="38781DCF">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否。推荐3名成交候选人</w:t>
            </w:r>
          </w:p>
        </w:tc>
      </w:tr>
      <w:tr w14:paraId="6D8A9CA8">
        <w:tblPrEx>
          <w:tblCellMar>
            <w:top w:w="0" w:type="dxa"/>
            <w:left w:w="108" w:type="dxa"/>
            <w:bottom w:w="0" w:type="dxa"/>
            <w:right w:w="108" w:type="dxa"/>
          </w:tblCellMar>
        </w:tblPrEx>
        <w:trPr>
          <w:trHeight w:val="690"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153FE1BC">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24</w:t>
            </w:r>
          </w:p>
        </w:tc>
        <w:tc>
          <w:tcPr>
            <w:tcW w:w="1712" w:type="dxa"/>
            <w:tcBorders>
              <w:top w:val="single" w:color="000000" w:sz="4" w:space="0"/>
              <w:left w:val="nil"/>
              <w:bottom w:val="single" w:color="000000" w:sz="4" w:space="0"/>
              <w:right w:val="single" w:color="000000" w:sz="4" w:space="0"/>
            </w:tcBorders>
            <w:vAlign w:val="center"/>
          </w:tcPr>
          <w:p w14:paraId="3DA93992">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成交结果公示媒介</w:t>
            </w:r>
          </w:p>
        </w:tc>
        <w:tc>
          <w:tcPr>
            <w:tcW w:w="6626" w:type="dxa"/>
            <w:tcBorders>
              <w:top w:val="single" w:color="000000" w:sz="4" w:space="0"/>
              <w:left w:val="nil"/>
              <w:bottom w:val="single" w:color="000000" w:sz="4" w:space="0"/>
              <w:right w:val="single" w:color="000000" w:sz="4" w:space="0"/>
            </w:tcBorders>
            <w:vAlign w:val="center"/>
          </w:tcPr>
          <w:p w14:paraId="0AF532A5">
            <w:pPr>
              <w:spacing w:beforeAutospacing="0" w:afterAutospacing="0" w:line="360" w:lineRule="auto"/>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《中国招标投标公共服务平台》、《河南省政府采购网》、《三门峡市公共资源交易平台》</w:t>
            </w:r>
          </w:p>
        </w:tc>
      </w:tr>
      <w:tr w14:paraId="474B66B8">
        <w:tblPrEx>
          <w:tblCellMar>
            <w:top w:w="0" w:type="dxa"/>
            <w:left w:w="108" w:type="dxa"/>
            <w:bottom w:w="0" w:type="dxa"/>
            <w:right w:w="108" w:type="dxa"/>
          </w:tblCellMar>
        </w:tblPrEx>
        <w:trPr>
          <w:trHeight w:val="1470"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14:paraId="25DA9933">
            <w:pPr>
              <w:spacing w:beforeAutospacing="0" w:afterAutospacing="0" w:line="360" w:lineRule="auto"/>
              <w:jc w:val="center"/>
              <w:rPr>
                <w:rFonts w:hint="default"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25</w:t>
            </w:r>
          </w:p>
        </w:tc>
        <w:tc>
          <w:tcPr>
            <w:tcW w:w="1712" w:type="dxa"/>
            <w:tcBorders>
              <w:top w:val="single" w:color="000000" w:sz="4" w:space="0"/>
              <w:left w:val="nil"/>
              <w:bottom w:val="single" w:color="000000" w:sz="4" w:space="0"/>
              <w:right w:val="single" w:color="000000" w:sz="4" w:space="0"/>
            </w:tcBorders>
            <w:vAlign w:val="center"/>
          </w:tcPr>
          <w:p w14:paraId="5776B2F0">
            <w:pPr>
              <w:spacing w:beforeAutospacing="0" w:afterAutospacing="0" w:line="360" w:lineRule="auto"/>
              <w:jc w:val="center"/>
              <w:rPr>
                <w:rFonts w:ascii="宋体" w:hAnsi="宋体" w:eastAsia="宋体"/>
                <w:b/>
                <w:color w:val="auto"/>
                <w:kern w:val="0"/>
                <w:sz w:val="24"/>
                <w:szCs w:val="24"/>
                <w:highlight w:val="none"/>
              </w:rPr>
            </w:pPr>
            <w:r>
              <w:rPr>
                <w:rFonts w:ascii="宋体" w:hAnsi="宋体" w:eastAsia="宋体"/>
                <w:b/>
                <w:color w:val="auto"/>
                <w:kern w:val="0"/>
                <w:sz w:val="24"/>
                <w:szCs w:val="24"/>
                <w:highlight w:val="none"/>
              </w:rPr>
              <w:t>电子化注意事项</w:t>
            </w:r>
          </w:p>
        </w:tc>
        <w:tc>
          <w:tcPr>
            <w:tcW w:w="6626" w:type="dxa"/>
            <w:tcBorders>
              <w:top w:val="single" w:color="000000" w:sz="4" w:space="0"/>
              <w:left w:val="nil"/>
              <w:bottom w:val="single" w:color="000000" w:sz="4" w:space="0"/>
              <w:right w:val="single" w:color="000000" w:sz="4" w:space="0"/>
            </w:tcBorders>
            <w:vAlign w:val="center"/>
          </w:tcPr>
          <w:p w14:paraId="2C42D262">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本项目为电子化交易项目，响应性文件是供应商、供应商（以下简称“供应商”）通过中心响应性文件制作系统制作，并经过电子签章和加密后生成的电子版响应性文件。供应商投标时，不须提交纸质文件资料。</w:t>
            </w:r>
          </w:p>
          <w:p w14:paraId="1BB2AED5">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电子化响应性文件具体制作教材请供应商通过CA证书登录三门峡市公共资源电子化交易系统在 “交易智库”中下载操作流程</w:t>
            </w:r>
          </w:p>
          <w:p w14:paraId="7C369F6C">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温馨提示：本项目为电子化、无纸化交易项目，供应商时不接受任何纸质资料，为保证您能投标成功，请需仔细阅读以下条款。</w:t>
            </w:r>
          </w:p>
          <w:p w14:paraId="79F1E8B3">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一、电子化投标</w:t>
            </w:r>
          </w:p>
          <w:p w14:paraId="1782C0FD">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（一）电子化响应性文件的签章</w:t>
            </w:r>
          </w:p>
          <w:p w14:paraId="0D13BE0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1、供应商在生成电子化响应性文件后，应对电子化响应性文件进行签章，未进行签章的视为无效投标。</w:t>
            </w:r>
          </w:p>
          <w:p w14:paraId="48C0FEBE">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http://t.cn/A6ZvtVob进行下载。</w:t>
            </w:r>
          </w:p>
          <w:p w14:paraId="128368DD">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（二）电子化响应性文件的格式及上传投标</w:t>
            </w:r>
          </w:p>
          <w:p w14:paraId="0B69F7FA">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221ED481">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注：供应商投报多个标段的，需要每个标段单独制作电子响应性文件。</w:t>
            </w:r>
          </w:p>
          <w:p w14:paraId="7468FA38">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2、电子化响应性文件应在投标截止时间前成功上传至三门峡市公共资源电子化交易系统。至投标截止时间止，仍未上传成功的电子化响应性文件将不予接收。</w:t>
            </w:r>
          </w:p>
          <w:p w14:paraId="0EE397DD">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47067FC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技术联系电话：400-998-0000</w:t>
            </w:r>
          </w:p>
          <w:p w14:paraId="264E29A5">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主体库咨询电话:0398-3117815</w:t>
            </w:r>
          </w:p>
          <w:p w14:paraId="15CB19B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CA证书制发:0398-2181635</w:t>
            </w:r>
          </w:p>
          <w:p w14:paraId="7FB3C1A0">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科技信息科:0398-3117095</w:t>
            </w:r>
          </w:p>
          <w:p w14:paraId="190CFFF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（三）电子化项目开标、解密、唱标、评标</w:t>
            </w:r>
          </w:p>
          <w:p w14:paraId="5E987201">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34D1971D">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16D12CF4">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3、电子化响应性文件解密异常的处理</w:t>
            </w:r>
          </w:p>
          <w:p w14:paraId="4BA63712">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如出现供应商的电子响应性文件无法解密等异常情况，供应商应及时通过开标大厅对话框</w:t>
            </w:r>
            <w:r>
              <w:rPr>
                <w:rFonts w:hint="eastAsia" w:ascii="宋体" w:hAnsi="宋体"/>
                <w:color w:val="auto"/>
                <w:kern w:val="0"/>
                <w:sz w:val="24"/>
                <w:szCs w:val="24"/>
                <w:highlight w:val="none"/>
                <w:lang w:val="en-US" w:eastAsia="zh-CN"/>
              </w:rPr>
              <w:t>向</w:t>
            </w:r>
            <w:r>
              <w:rPr>
                <w:rFonts w:hint="eastAsia" w:ascii="宋体" w:hAnsi="宋体" w:eastAsia="宋体"/>
                <w:color w:val="auto"/>
                <w:kern w:val="0"/>
                <w:sz w:val="24"/>
                <w:szCs w:val="24"/>
                <w:highlight w:val="none"/>
              </w:rPr>
              <w:t>中介服务机构说明。响应性文件异常，按以下步骤进行处理：</w:t>
            </w:r>
          </w:p>
          <w:p w14:paraId="78388FCE">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（1）首先由技术人员进行问题排查。</w:t>
            </w:r>
          </w:p>
          <w:p w14:paraId="1301AFB4">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（2）经技术人员排查后，是供应商文件自身问题导致响应性文件无法解密的，该响应性文件将不予接收、解密和唱标。开标会议继续进行。</w:t>
            </w:r>
          </w:p>
          <w:p w14:paraId="55434FB0">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39503FA0">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4、待所有供应商响应性文件解密完成后，由中介服务机构操作，对所有已解密响应性文件进行唱标。</w:t>
            </w:r>
          </w:p>
          <w:p w14:paraId="7A97A48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供应商应保证在开标期间电话、电脑、网络能够正常工作，供应商因停电、电脑病毒、网络堵塞等原因，未在规定的解密时间内对响应性文件进行解密的，其响应性文件不予接收、唱标。</w:t>
            </w:r>
          </w:p>
          <w:p w14:paraId="08FDE5C7">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5、开标时供应商可登录到交易系统中在开标解密栏中点击报价一览表查看自己的投标报价。如对自己的唱标内容有异议的，应在供应商解密成功后10分钟内向中服务机构通过开标大厅对话框提出质疑。中介服务机构应在监督人员的监督下接受</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的质疑通过开标大厅对话框</w:t>
            </w:r>
            <w:r>
              <w:rPr>
                <w:rFonts w:hint="eastAsia" w:ascii="宋体" w:hAnsi="宋体" w:eastAsia="宋体"/>
                <w:color w:val="auto"/>
                <w:kern w:val="0"/>
                <w:sz w:val="24"/>
                <w:szCs w:val="24"/>
                <w:highlight w:val="none"/>
                <w:lang w:val="en-US" w:eastAsia="zh-CN"/>
              </w:rPr>
              <w:t>进行答复</w:t>
            </w:r>
            <w:r>
              <w:rPr>
                <w:rFonts w:hint="eastAsia" w:ascii="宋体" w:hAnsi="宋体" w:eastAsia="宋体"/>
                <w:color w:val="auto"/>
                <w:kern w:val="0"/>
                <w:sz w:val="24"/>
                <w:szCs w:val="24"/>
                <w:highlight w:val="none"/>
              </w:rPr>
              <w:t>并做好书面记录。</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未在规定时间内提出质疑的，视为认可唱标内容。</w:t>
            </w:r>
          </w:p>
          <w:p w14:paraId="26A8AE85">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6、评标时，</w:t>
            </w:r>
            <w:r>
              <w:rPr>
                <w:rFonts w:hint="eastAsia" w:ascii="宋体" w:hAnsi="宋体" w:eastAsia="宋体"/>
                <w:color w:val="auto"/>
                <w:kern w:val="0"/>
                <w:sz w:val="24"/>
                <w:szCs w:val="24"/>
                <w:highlight w:val="none"/>
                <w:lang w:val="en-US" w:eastAsia="zh-CN"/>
              </w:rPr>
              <w:t>磋商小组</w:t>
            </w:r>
            <w:r>
              <w:rPr>
                <w:rFonts w:hint="eastAsia" w:ascii="宋体" w:hAnsi="宋体" w:eastAsia="宋体"/>
                <w:color w:val="auto"/>
                <w:kern w:val="0"/>
                <w:sz w:val="24"/>
                <w:szCs w:val="24"/>
                <w:highlight w:val="none"/>
              </w:rPr>
              <w:t>对电子化投标文件有质疑的，将通过电子化交易系统</w:t>
            </w:r>
            <w:r>
              <w:rPr>
                <w:rFonts w:hint="eastAsia" w:ascii="宋体" w:hAnsi="宋体" w:eastAsia="宋体"/>
                <w:color w:val="auto"/>
                <w:kern w:val="0"/>
                <w:sz w:val="24"/>
                <w:szCs w:val="24"/>
                <w:highlight w:val="none"/>
                <w:lang w:val="en-US" w:eastAsia="zh-CN"/>
              </w:rPr>
              <w:t>向供应商</w:t>
            </w:r>
            <w:r>
              <w:rPr>
                <w:rFonts w:hint="eastAsia" w:ascii="宋体" w:hAnsi="宋体" w:eastAsia="宋体"/>
                <w:color w:val="auto"/>
                <w:kern w:val="0"/>
                <w:sz w:val="24"/>
                <w:szCs w:val="24"/>
                <w:highlight w:val="none"/>
              </w:rPr>
              <w:t>发起质疑。</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的回复文件必须以经过</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和其法定代表人签章的PDF式文件为准，并通过电子化交易系统提交至</w:t>
            </w:r>
            <w:r>
              <w:rPr>
                <w:rFonts w:hint="eastAsia" w:ascii="宋体" w:hAnsi="宋体" w:eastAsia="宋体"/>
                <w:color w:val="auto"/>
                <w:kern w:val="0"/>
                <w:sz w:val="24"/>
                <w:szCs w:val="24"/>
                <w:highlight w:val="none"/>
                <w:lang w:val="en-US" w:eastAsia="zh-CN"/>
              </w:rPr>
              <w:t>磋商小组</w:t>
            </w:r>
            <w:r>
              <w:rPr>
                <w:rFonts w:hint="eastAsia" w:ascii="宋体" w:hAnsi="宋体" w:eastAsia="宋体"/>
                <w:color w:val="auto"/>
                <w:kern w:val="0"/>
                <w:sz w:val="24"/>
                <w:szCs w:val="24"/>
                <w:highlight w:val="none"/>
              </w:rPr>
              <w:t>。</w:t>
            </w:r>
          </w:p>
          <w:p w14:paraId="7A123224">
            <w:pPr>
              <w:spacing w:beforeAutospacing="0" w:afterAutospacing="0" w:line="360" w:lineRule="auto"/>
              <w:jc w:val="left"/>
              <w:rPr>
                <w:rFonts w:hint="eastAsia" w:ascii="宋体" w:hAnsi="宋体" w:eastAsia="宋体"/>
                <w:color w:val="auto"/>
                <w:kern w:val="0"/>
                <w:sz w:val="24"/>
                <w:szCs w:val="24"/>
                <w:highlight w:val="none"/>
                <w:lang w:eastAsia="zh-CN"/>
              </w:rPr>
            </w:pPr>
            <w:r>
              <w:rPr>
                <w:rFonts w:hint="eastAsia" w:ascii="宋体" w:hAnsi="宋体" w:eastAsia="宋体"/>
                <w:color w:val="auto"/>
                <w:kern w:val="0"/>
                <w:sz w:val="24"/>
                <w:szCs w:val="24"/>
                <w:highlight w:val="none"/>
              </w:rPr>
              <w:t>7、</w:t>
            </w:r>
            <w:r>
              <w:rPr>
                <w:rFonts w:hint="eastAsia" w:ascii="宋体" w:hAnsi="宋体" w:eastAsia="宋体"/>
                <w:color w:val="auto"/>
                <w:kern w:val="0"/>
                <w:sz w:val="24"/>
                <w:szCs w:val="24"/>
                <w:highlight w:val="none"/>
                <w:lang w:val="en-US" w:eastAsia="zh-CN"/>
              </w:rPr>
              <w:t>如磋商小组</w:t>
            </w:r>
            <w:r>
              <w:rPr>
                <w:rFonts w:hint="eastAsia" w:ascii="宋体" w:hAnsi="宋体" w:eastAsia="宋体"/>
                <w:color w:val="auto"/>
                <w:kern w:val="0"/>
                <w:sz w:val="24"/>
                <w:szCs w:val="24"/>
                <w:highlight w:val="none"/>
              </w:rPr>
              <w:t>对需要回复的</w:t>
            </w:r>
            <w:r>
              <w:rPr>
                <w:rFonts w:hint="eastAsia" w:ascii="宋体" w:hAnsi="宋体" w:eastAsia="宋体"/>
                <w:color w:val="auto"/>
                <w:kern w:val="0"/>
                <w:sz w:val="24"/>
                <w:szCs w:val="24"/>
                <w:highlight w:val="none"/>
                <w:lang w:val="en-US" w:eastAsia="zh-CN"/>
              </w:rPr>
              <w:t>供应商在</w:t>
            </w:r>
            <w:r>
              <w:rPr>
                <w:rFonts w:hint="eastAsia" w:ascii="宋体" w:hAnsi="宋体" w:eastAsia="宋体"/>
                <w:color w:val="auto"/>
                <w:kern w:val="0"/>
                <w:sz w:val="24"/>
                <w:szCs w:val="24"/>
                <w:highlight w:val="none"/>
              </w:rPr>
              <w:t>规定时间内</w:t>
            </w:r>
            <w:r>
              <w:rPr>
                <w:rFonts w:hint="eastAsia" w:ascii="宋体" w:hAnsi="宋体" w:eastAsia="宋体"/>
                <w:color w:val="auto"/>
                <w:kern w:val="0"/>
                <w:sz w:val="24"/>
                <w:szCs w:val="24"/>
                <w:highlight w:val="none"/>
                <w:lang w:eastAsia="zh-CN"/>
              </w:rPr>
              <w:t>（</w:t>
            </w:r>
            <w:r>
              <w:rPr>
                <w:rFonts w:hint="eastAsia" w:ascii="宋体" w:hAnsi="宋体" w:eastAsia="宋体"/>
                <w:color w:val="auto"/>
                <w:kern w:val="0"/>
                <w:sz w:val="24"/>
                <w:szCs w:val="24"/>
                <w:highlight w:val="none"/>
                <w:lang w:val="en-US" w:eastAsia="zh-CN"/>
              </w:rPr>
              <w:t>30分钟内</w:t>
            </w:r>
            <w:r>
              <w:rPr>
                <w:rFonts w:hint="eastAsia" w:ascii="宋体" w:hAnsi="宋体" w:eastAsia="宋体"/>
                <w:color w:val="auto"/>
                <w:kern w:val="0"/>
                <w:sz w:val="24"/>
                <w:szCs w:val="24"/>
                <w:highlight w:val="none"/>
                <w:lang w:eastAsia="zh-CN"/>
              </w:rPr>
              <w:t>）</w:t>
            </w:r>
            <w:r>
              <w:rPr>
                <w:rFonts w:hint="eastAsia" w:ascii="宋体" w:hAnsi="宋体" w:eastAsia="宋体"/>
                <w:color w:val="auto"/>
                <w:kern w:val="0"/>
                <w:sz w:val="24"/>
                <w:szCs w:val="24"/>
                <w:highlight w:val="none"/>
              </w:rPr>
              <w:t>通过电子化交易系统未收到回复的，视为</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放弃回复</w:t>
            </w:r>
            <w:r>
              <w:rPr>
                <w:rFonts w:hint="eastAsia" w:ascii="宋体" w:hAnsi="宋体" w:eastAsia="宋体"/>
                <w:color w:val="auto"/>
                <w:kern w:val="0"/>
                <w:sz w:val="24"/>
                <w:szCs w:val="24"/>
                <w:highlight w:val="none"/>
                <w:lang w:eastAsia="zh-CN"/>
              </w:rPr>
              <w:t>。</w:t>
            </w:r>
          </w:p>
          <w:p w14:paraId="25DA6780">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提示：本项目为电子化、无纸化交易项目，供应商时不再接受任何纸质资料，为保证您能投标成功，请需仔细阅读以上条款。</w:t>
            </w:r>
          </w:p>
        </w:tc>
      </w:tr>
    </w:tbl>
    <w:p w14:paraId="35A41B66">
      <w:pPr>
        <w:spacing w:beforeAutospacing="0" w:afterAutospacing="0" w:line="360" w:lineRule="auto"/>
        <w:jc w:val="center"/>
        <w:rPr>
          <w:rFonts w:hint="eastAsia" w:ascii="宋体" w:hAnsi="宋体" w:eastAsia="宋体"/>
          <w:b/>
          <w:bCs/>
          <w:color w:val="auto"/>
          <w:sz w:val="24"/>
          <w:szCs w:val="24"/>
          <w:highlight w:val="none"/>
        </w:rPr>
      </w:pPr>
    </w:p>
    <w:p w14:paraId="3F7E513F">
      <w:pPr>
        <w:rPr>
          <w:rFonts w:hint="eastAsia" w:ascii="宋体" w:hAnsi="宋体" w:eastAsia="宋体" w:cs="宋体"/>
          <w:color w:val="auto"/>
          <w:sz w:val="24"/>
          <w:szCs w:val="24"/>
          <w:highlight w:val="none"/>
        </w:rPr>
      </w:pPr>
      <w:bookmarkStart w:id="21" w:name="服务需求及技术要求"/>
      <w:r>
        <w:rPr>
          <w:rFonts w:hint="eastAsia" w:ascii="宋体" w:hAnsi="宋体" w:eastAsia="宋体" w:cs="宋体"/>
          <w:color w:val="auto"/>
          <w:sz w:val="24"/>
          <w:szCs w:val="24"/>
          <w:highlight w:val="none"/>
        </w:rPr>
        <w:br w:type="page"/>
      </w:r>
    </w:p>
    <w:p w14:paraId="1465A42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22" w:name="_Toc20123_WPSOffice_Level2"/>
      <w:bookmarkStart w:id="23" w:name="_Toc488504474"/>
      <w:bookmarkStart w:id="24" w:name="_Toc7628"/>
      <w:bookmarkStart w:id="25" w:name="_Toc455080108"/>
      <w:bookmarkStart w:id="26" w:name="_Toc487498474"/>
      <w:bookmarkStart w:id="27" w:name="_Toc22449"/>
      <w:r>
        <w:rPr>
          <w:rFonts w:hint="eastAsia" w:asciiTheme="minorEastAsia" w:hAnsiTheme="minorEastAsia" w:eastAsiaTheme="minorEastAsia" w:cstheme="minorEastAsia"/>
          <w:sz w:val="24"/>
          <w:szCs w:val="24"/>
        </w:rPr>
        <w:t>1. 总则</w:t>
      </w:r>
      <w:bookmarkEnd w:id="22"/>
      <w:bookmarkEnd w:id="23"/>
      <w:bookmarkEnd w:id="24"/>
      <w:bookmarkEnd w:id="25"/>
      <w:bookmarkEnd w:id="26"/>
      <w:bookmarkEnd w:id="27"/>
    </w:p>
    <w:p w14:paraId="1D565645">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28" w:name="_Toc463701031"/>
      <w:bookmarkStart w:id="29" w:name="_Toc318450675"/>
      <w:bookmarkStart w:id="30" w:name="_Toc274409866"/>
      <w:bookmarkStart w:id="31" w:name="_Toc1172"/>
      <w:bookmarkStart w:id="32" w:name="_Toc464035510"/>
      <w:bookmarkStart w:id="33" w:name="_Toc281380952"/>
      <w:bookmarkStart w:id="34" w:name="_Toc455080109"/>
      <w:bookmarkStart w:id="35" w:name="_Toc31404"/>
      <w:bookmarkStart w:id="36" w:name="_Toc21458"/>
      <w:bookmarkStart w:id="37" w:name="_Toc10273"/>
      <w:bookmarkStart w:id="38" w:name="_Toc29023"/>
      <w:bookmarkStart w:id="39" w:name="_Toc21496_WPSOffice_Level3"/>
      <w:bookmarkStart w:id="40" w:name="_Toc15709"/>
      <w:bookmarkStart w:id="41" w:name="_Toc152045531"/>
      <w:bookmarkStart w:id="42" w:name="_Toc152042307"/>
      <w:bookmarkStart w:id="43" w:name="_Toc144974499"/>
      <w:r>
        <w:rPr>
          <w:rFonts w:hint="eastAsia" w:asciiTheme="minorEastAsia" w:hAnsiTheme="minorEastAsia" w:eastAsiaTheme="minorEastAsia" w:cstheme="minorEastAsia"/>
          <w:sz w:val="24"/>
          <w:szCs w:val="24"/>
        </w:rPr>
        <w:t>1.1 适用范围</w:t>
      </w:r>
      <w:bookmarkEnd w:id="28"/>
      <w:bookmarkEnd w:id="29"/>
      <w:bookmarkEnd w:id="30"/>
      <w:bookmarkEnd w:id="31"/>
      <w:bookmarkEnd w:id="32"/>
      <w:bookmarkEnd w:id="33"/>
      <w:bookmarkEnd w:id="34"/>
      <w:bookmarkEnd w:id="35"/>
      <w:bookmarkEnd w:id="36"/>
      <w:bookmarkEnd w:id="37"/>
      <w:bookmarkEnd w:id="38"/>
      <w:bookmarkEnd w:id="39"/>
      <w:bookmarkEnd w:id="40"/>
    </w:p>
    <w:p w14:paraId="704257DC">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1.1.1根据《中华人民共和国政府采购法》等有关法律、法规和规章的规定，编制本项目磋商文件。</w:t>
      </w:r>
    </w:p>
    <w:p w14:paraId="2E144B1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44" w:name="_Toc455080110"/>
      <w:bookmarkStart w:id="45" w:name="_Toc32619"/>
      <w:bookmarkStart w:id="46" w:name="_Toc318450676"/>
      <w:bookmarkStart w:id="47" w:name="_Toc25773"/>
      <w:bookmarkStart w:id="48" w:name="_Toc2929"/>
      <w:bookmarkStart w:id="49" w:name="_Toc30891"/>
      <w:bookmarkStart w:id="50" w:name="_Toc25399_WPSOffice_Level3"/>
      <w:bookmarkStart w:id="51" w:name="_Toc3336"/>
      <w:bookmarkStart w:id="52" w:name="_Toc710"/>
      <w:bookmarkStart w:id="53" w:name="_Toc463701032"/>
      <w:bookmarkStart w:id="54" w:name="_Toc281405468"/>
      <w:bookmarkStart w:id="55" w:name="_Toc464035511"/>
      <w:bookmarkStart w:id="56" w:name="_Toc274409867"/>
      <w:r>
        <w:rPr>
          <w:rFonts w:hint="eastAsia" w:asciiTheme="minorEastAsia" w:hAnsiTheme="minorEastAsia" w:eastAsiaTheme="minorEastAsia" w:cstheme="minorEastAsia"/>
          <w:sz w:val="24"/>
          <w:szCs w:val="24"/>
        </w:rPr>
        <w:t>1.2 采购项目说明</w:t>
      </w:r>
      <w:bookmarkEnd w:id="44"/>
      <w:bookmarkEnd w:id="45"/>
      <w:bookmarkEnd w:id="46"/>
      <w:bookmarkEnd w:id="47"/>
      <w:bookmarkEnd w:id="48"/>
      <w:bookmarkEnd w:id="49"/>
      <w:bookmarkEnd w:id="50"/>
      <w:bookmarkEnd w:id="51"/>
      <w:bookmarkEnd w:id="52"/>
      <w:bookmarkEnd w:id="53"/>
      <w:bookmarkEnd w:id="54"/>
      <w:bookmarkEnd w:id="55"/>
      <w:bookmarkEnd w:id="56"/>
    </w:p>
    <w:p w14:paraId="05397CD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 本项目采购人：见供应商须知前附表。</w:t>
      </w:r>
    </w:p>
    <w:p w14:paraId="6C1D0CCC">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 本项目采购代理机构：见供应商须知前附表。</w:t>
      </w:r>
    </w:p>
    <w:p w14:paraId="25ACEA5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 本项目名称：见供应商须知前附表。</w:t>
      </w:r>
    </w:p>
    <w:p w14:paraId="325FB1F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57" w:name="_Toc31122_WPSOffice_Level3"/>
      <w:bookmarkStart w:id="58" w:name="_Toc318450677"/>
      <w:bookmarkStart w:id="59" w:name="_Toc4952"/>
      <w:bookmarkStart w:id="60" w:name="_Toc463701033"/>
      <w:bookmarkStart w:id="61" w:name="_Toc3477"/>
      <w:bookmarkStart w:id="62" w:name="_Toc455080111"/>
      <w:bookmarkStart w:id="63" w:name="_Toc17016"/>
      <w:bookmarkStart w:id="64" w:name="_Toc18960"/>
      <w:bookmarkStart w:id="65" w:name="_Toc1373"/>
      <w:bookmarkStart w:id="66" w:name="_Toc464035512"/>
      <w:bookmarkStart w:id="67" w:name="_Toc16931"/>
      <w:bookmarkStart w:id="68" w:name="_Toc274409868"/>
      <w:bookmarkStart w:id="69" w:name="_Toc281405469"/>
      <w:r>
        <w:rPr>
          <w:rFonts w:hint="eastAsia" w:asciiTheme="minorEastAsia" w:hAnsiTheme="minorEastAsia" w:eastAsiaTheme="minorEastAsia" w:cstheme="minorEastAsia"/>
          <w:sz w:val="24"/>
          <w:szCs w:val="24"/>
        </w:rPr>
        <w:t>1.3 定义及解释</w:t>
      </w:r>
      <w:bookmarkEnd w:id="57"/>
      <w:bookmarkEnd w:id="58"/>
      <w:bookmarkEnd w:id="59"/>
      <w:bookmarkEnd w:id="60"/>
      <w:bookmarkEnd w:id="61"/>
      <w:bookmarkEnd w:id="62"/>
      <w:bookmarkEnd w:id="63"/>
      <w:bookmarkEnd w:id="64"/>
      <w:bookmarkEnd w:id="65"/>
      <w:bookmarkEnd w:id="66"/>
      <w:bookmarkEnd w:id="67"/>
      <w:bookmarkEnd w:id="68"/>
      <w:bookmarkEnd w:id="69"/>
    </w:p>
    <w:p w14:paraId="1F6D153B">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1.3.1采购人：依法进行政府采购的国家机关、事业单位、团体组织。</w:t>
      </w:r>
    </w:p>
    <w:p w14:paraId="4CEEC3D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1.3.2采购代理机构：取得政府采购招标代理资质，受采购人委托组织招标活动的社会中介组织。</w:t>
      </w:r>
    </w:p>
    <w:p w14:paraId="5D0C3CC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1.3.3服务：系指根据本磋商文件规定供应商须承担的方案编制以及其他类似的义务等。</w:t>
      </w:r>
    </w:p>
    <w:p w14:paraId="3B31EA3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1.3.4供应商：供应商是响应磋商文件、参加磋商竞争的中华人民共和国境内的法人、其它组织。</w:t>
      </w:r>
    </w:p>
    <w:p w14:paraId="7A48103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1.3.5响应文件：指供应商根据磋商文件提交的所有文件。</w:t>
      </w:r>
    </w:p>
    <w:p w14:paraId="54BD227A">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1.3.6磋商小组：依据《中华人民共和国政府采购法》及有关法律、法规的规定依法组建的专门负责本次评标工作的临时机构。</w:t>
      </w:r>
    </w:p>
    <w:p w14:paraId="6C38B80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1.3.7偏离：响应文件的响应相对于磋商文件要求的偏差，该偏差优于磋商文件要求的为正偏离；劣于的，为负偏离。</w:t>
      </w:r>
    </w:p>
    <w:p w14:paraId="0410D18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1.3.8“日期”或“天”：指日历天。</w:t>
      </w:r>
    </w:p>
    <w:p w14:paraId="59C19C5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1.3.9合同：指依据本次采购招标结果签订的协议或合约文件。</w:t>
      </w:r>
    </w:p>
    <w:p w14:paraId="27F81F03">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1.3.10磋商文件中的标题或题名仅起引导作用，而不应视为对磋商文件内容的理解和解释。</w:t>
      </w:r>
    </w:p>
    <w:bookmarkEnd w:id="41"/>
    <w:bookmarkEnd w:id="42"/>
    <w:bookmarkEnd w:id="43"/>
    <w:p w14:paraId="5C5D497A">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70" w:name="_Toc464035513"/>
      <w:bookmarkStart w:id="71" w:name="_Toc463701034"/>
      <w:bookmarkStart w:id="72" w:name="_Toc318450678"/>
      <w:bookmarkStart w:id="73" w:name="_Toc152042308"/>
      <w:bookmarkStart w:id="74" w:name="_Toc152045532"/>
      <w:bookmarkStart w:id="75" w:name="_Toc14043"/>
      <w:bookmarkStart w:id="76" w:name="_Toc12752"/>
      <w:bookmarkStart w:id="77" w:name="_Toc144974500"/>
      <w:bookmarkStart w:id="78" w:name="_Toc455080112"/>
      <w:bookmarkStart w:id="79" w:name="_Toc27407"/>
      <w:bookmarkStart w:id="80" w:name="_Toc21766"/>
      <w:bookmarkStart w:id="81" w:name="_Toc3626_WPSOffice_Level3"/>
      <w:bookmarkStart w:id="82" w:name="_Toc19363"/>
      <w:bookmarkStart w:id="83" w:name="_Toc16470"/>
      <w:r>
        <w:rPr>
          <w:rFonts w:hint="eastAsia" w:asciiTheme="minorEastAsia" w:hAnsiTheme="minorEastAsia" w:eastAsiaTheme="minorEastAsia" w:cstheme="minorEastAsia"/>
          <w:sz w:val="24"/>
          <w:szCs w:val="24"/>
        </w:rPr>
        <w:t>1.4 采购内容、数量，供货日期和质量要求</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11B8C6D">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 本次采购内容、数量：见供应商须知前附表。</w:t>
      </w:r>
    </w:p>
    <w:p w14:paraId="1B1C856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 本项目的供货日期：见供应商须知前附表。</w:t>
      </w:r>
    </w:p>
    <w:p w14:paraId="34845A94">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 本项目的质量要求：见供应商须知前附表。</w:t>
      </w:r>
    </w:p>
    <w:p w14:paraId="192934A5">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84" w:name="_Toc152045536"/>
      <w:bookmarkStart w:id="85" w:name="_Toc463701037"/>
      <w:bookmarkStart w:id="86" w:name="_Toc455080115"/>
      <w:bookmarkStart w:id="87" w:name="_Toc318450681"/>
      <w:bookmarkStart w:id="88" w:name="_Toc20145"/>
      <w:bookmarkStart w:id="89" w:name="_Toc152042312"/>
      <w:bookmarkStart w:id="90" w:name="_Toc2622"/>
      <w:bookmarkStart w:id="91" w:name="_Toc6014"/>
      <w:bookmarkStart w:id="92" w:name="_Toc144974504"/>
      <w:bookmarkStart w:id="93" w:name="_Toc7579_WPSOffice_Level3"/>
      <w:bookmarkStart w:id="94" w:name="_Toc32053"/>
      <w:bookmarkStart w:id="95" w:name="_Toc5402"/>
      <w:bookmarkStart w:id="96" w:name="_Toc8055"/>
      <w:bookmarkStart w:id="97" w:name="_Toc464035516"/>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5</w:t>
      </w:r>
      <w:r>
        <w:rPr>
          <w:rFonts w:hint="eastAsia" w:asciiTheme="minorEastAsia" w:hAnsiTheme="minorEastAsia" w:eastAsiaTheme="minorEastAsia" w:cstheme="minorEastAsia"/>
          <w:sz w:val="24"/>
          <w:szCs w:val="24"/>
        </w:rPr>
        <w:t>保密</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7DB6C4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参与磋商活动的各方应对磋商文件和响应文件中的商业和技术等秘密保密，违者应对由此造成的后果承担法律责任。 </w:t>
      </w:r>
    </w:p>
    <w:p w14:paraId="39E290C2">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98" w:name="_Toc144974505"/>
      <w:bookmarkStart w:id="99" w:name="_Toc21089"/>
      <w:bookmarkStart w:id="100" w:name="_Toc30747"/>
      <w:bookmarkStart w:id="101" w:name="_Toc14775"/>
      <w:bookmarkStart w:id="102" w:name="_Toc3628"/>
      <w:bookmarkStart w:id="103" w:name="_Toc19210_WPSOffice_Level3"/>
      <w:bookmarkStart w:id="104" w:name="_Toc152045537"/>
      <w:bookmarkStart w:id="105" w:name="_Toc30583"/>
      <w:bookmarkStart w:id="106" w:name="_Toc463701038"/>
      <w:bookmarkStart w:id="107" w:name="_Toc25517"/>
      <w:bookmarkStart w:id="108" w:name="_Toc455080116"/>
      <w:bookmarkStart w:id="109" w:name="_Toc152042313"/>
      <w:bookmarkStart w:id="110" w:name="_Toc464035517"/>
      <w:bookmarkStart w:id="111" w:name="_Toc318450682"/>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6</w:t>
      </w:r>
      <w:r>
        <w:rPr>
          <w:rFonts w:hint="eastAsia" w:asciiTheme="minorEastAsia" w:hAnsiTheme="minorEastAsia" w:eastAsiaTheme="minorEastAsia" w:cstheme="minorEastAsia"/>
          <w:sz w:val="24"/>
          <w:szCs w:val="24"/>
        </w:rPr>
        <w:t>语言</w:t>
      </w:r>
      <w:bookmarkEnd w:id="98"/>
      <w:r>
        <w:rPr>
          <w:rFonts w:hint="eastAsia" w:asciiTheme="minorEastAsia" w:hAnsiTheme="minorEastAsia" w:eastAsiaTheme="minorEastAsia" w:cstheme="minorEastAsia"/>
          <w:sz w:val="24"/>
          <w:szCs w:val="24"/>
        </w:rPr>
        <w:t>文字</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16342CEB">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除专用术语外，与磋商有关的语言均使用中文。必要时专用术语应附有中文注释，对不同文字文本响应文件的解释发生异议的，以中文文本为准。</w:t>
      </w:r>
    </w:p>
    <w:p w14:paraId="3EBC0B7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12" w:name="_Toc22378"/>
      <w:bookmarkStart w:id="113" w:name="_Toc463701039"/>
      <w:bookmarkStart w:id="114" w:name="_Toc9446"/>
      <w:bookmarkStart w:id="115" w:name="_Toc32507"/>
      <w:bookmarkStart w:id="116" w:name="_Toc9511_WPSOffice_Level3"/>
      <w:bookmarkStart w:id="117" w:name="_Toc4237"/>
      <w:bookmarkStart w:id="118" w:name="_Toc24337"/>
      <w:bookmarkStart w:id="119" w:name="_Toc455080117"/>
      <w:bookmarkStart w:id="120" w:name="_Toc144974506"/>
      <w:bookmarkStart w:id="121" w:name="_Toc152042314"/>
      <w:bookmarkStart w:id="122" w:name="_Toc464035518"/>
      <w:bookmarkStart w:id="123" w:name="_Toc318450683"/>
      <w:bookmarkStart w:id="124" w:name="_Toc152045538"/>
      <w:bookmarkStart w:id="125" w:name="_Toc2702"/>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7</w:t>
      </w:r>
      <w:r>
        <w:rPr>
          <w:rFonts w:hint="eastAsia" w:asciiTheme="minorEastAsia" w:hAnsiTheme="minorEastAsia" w:eastAsiaTheme="minorEastAsia" w:cstheme="minorEastAsia"/>
          <w:sz w:val="24"/>
          <w:szCs w:val="24"/>
        </w:rPr>
        <w:t xml:space="preserve"> 计量单位</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04B6D6C">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所有计量均采用中华人民共和国法定计量单位。</w:t>
      </w:r>
    </w:p>
    <w:p w14:paraId="53D9A8B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26" w:name="_Toc12366_WPSOffice_Level2"/>
      <w:r>
        <w:rPr>
          <w:rFonts w:hint="eastAsia" w:asciiTheme="minorEastAsia" w:hAnsiTheme="minorEastAsia" w:eastAsiaTheme="minorEastAsia" w:cstheme="minorEastAsia"/>
          <w:sz w:val="24"/>
          <w:szCs w:val="24"/>
        </w:rPr>
        <w:t>2、合格的磋商响应供应商</w:t>
      </w:r>
      <w:bookmarkEnd w:id="126"/>
    </w:p>
    <w:p w14:paraId="611CD1B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见供应商须知前附表</w:t>
      </w:r>
    </w:p>
    <w:p w14:paraId="7AB58EDD">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27" w:name="_Toc8655_WPSOffice_Level2"/>
      <w:r>
        <w:rPr>
          <w:rFonts w:hint="eastAsia" w:asciiTheme="minorEastAsia" w:hAnsiTheme="minorEastAsia" w:eastAsiaTheme="minorEastAsia" w:cstheme="minorEastAsia"/>
          <w:sz w:val="24"/>
          <w:szCs w:val="24"/>
        </w:rPr>
        <w:t>3、费用</w:t>
      </w:r>
      <w:bookmarkEnd w:id="127"/>
    </w:p>
    <w:p w14:paraId="4C91E78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磋商响应供应商应自行承担参加磋商活动有关的全部费用，采购人在任何情况下均无义务和责任承担上述费用。</w:t>
      </w:r>
    </w:p>
    <w:p w14:paraId="28C6254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eastAsia="zh-CN"/>
        </w:rPr>
      </w:pPr>
      <w:bookmarkStart w:id="128" w:name="_Toc4976_WPSOffice_Level2"/>
      <w:r>
        <w:rPr>
          <w:rFonts w:hint="eastAsia" w:asciiTheme="minorEastAsia" w:hAnsiTheme="minorEastAsia" w:eastAsiaTheme="minorEastAsia" w:cstheme="minorEastAsia"/>
          <w:sz w:val="24"/>
          <w:szCs w:val="24"/>
          <w:lang w:val="en-US" w:eastAsia="zh-CN"/>
        </w:rPr>
        <w:t>4、竞争性磋商文件的构成</w:t>
      </w:r>
    </w:p>
    <w:p w14:paraId="000B14A2">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第一章 竞争性磋商公告</w:t>
      </w:r>
      <w:bookmarkEnd w:id="128"/>
    </w:p>
    <w:p w14:paraId="6CBA4D1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bookmarkStart w:id="129" w:name="_Toc25399_WPSOffice_Level1"/>
      <w:r>
        <w:rPr>
          <w:rFonts w:hint="eastAsia" w:asciiTheme="minorEastAsia" w:hAnsiTheme="minorEastAsia" w:eastAsiaTheme="minorEastAsia" w:cstheme="minorEastAsia"/>
          <w:sz w:val="24"/>
          <w:szCs w:val="24"/>
          <w:lang w:val="en-US" w:eastAsia="zh-CN"/>
        </w:rPr>
        <w:t>第二章 供应商须知</w:t>
      </w:r>
    </w:p>
    <w:p w14:paraId="6111B2E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第三章 服务需求及技术要求</w:t>
      </w:r>
      <w:bookmarkEnd w:id="129"/>
    </w:p>
    <w:p w14:paraId="0370D50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bookmarkStart w:id="130" w:name="_Toc3669_WPSOffice_Level2"/>
      <w:r>
        <w:rPr>
          <w:rFonts w:hint="eastAsia" w:asciiTheme="minorEastAsia" w:hAnsiTheme="minorEastAsia" w:eastAsiaTheme="minorEastAsia" w:cstheme="minorEastAsia"/>
          <w:sz w:val="24"/>
          <w:szCs w:val="24"/>
          <w:lang w:val="en-US" w:eastAsia="zh-CN"/>
        </w:rPr>
        <w:t>第四章 评审</w:t>
      </w:r>
      <w:bookmarkEnd w:id="130"/>
      <w:r>
        <w:rPr>
          <w:rFonts w:hint="eastAsia" w:asciiTheme="minorEastAsia" w:hAnsiTheme="minorEastAsia" w:eastAsiaTheme="minorEastAsia" w:cstheme="minorEastAsia"/>
          <w:sz w:val="24"/>
          <w:szCs w:val="24"/>
          <w:lang w:val="en-US" w:eastAsia="zh-CN"/>
        </w:rPr>
        <w:t>标准</w:t>
      </w:r>
    </w:p>
    <w:p w14:paraId="2E57BB8A">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bookmarkStart w:id="131" w:name="_Toc1982_WPSOffice_Level2"/>
      <w:r>
        <w:rPr>
          <w:rFonts w:hint="eastAsia" w:asciiTheme="minorEastAsia" w:hAnsiTheme="minorEastAsia" w:eastAsiaTheme="minorEastAsia" w:cstheme="minorEastAsia"/>
          <w:sz w:val="24"/>
          <w:szCs w:val="24"/>
          <w:lang w:val="en-US" w:eastAsia="zh-CN"/>
        </w:rPr>
        <w:t>第五章 合同条款及格式</w:t>
      </w:r>
      <w:bookmarkEnd w:id="131"/>
    </w:p>
    <w:p w14:paraId="72722DF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bookmarkStart w:id="132" w:name="_Toc4328_WPSOffice_Level2"/>
      <w:r>
        <w:rPr>
          <w:rFonts w:hint="eastAsia" w:asciiTheme="minorEastAsia" w:hAnsiTheme="minorEastAsia" w:eastAsiaTheme="minorEastAsia" w:cstheme="minorEastAsia"/>
          <w:sz w:val="24"/>
          <w:szCs w:val="24"/>
          <w:lang w:val="en-US" w:eastAsia="zh-CN"/>
        </w:rPr>
        <w:t>第六章 磋商响应文件格式</w:t>
      </w:r>
      <w:bookmarkEnd w:id="132"/>
    </w:p>
    <w:p w14:paraId="5E4657B3">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33" w:name="_Toc20095_WPSOffice_Level3"/>
      <w:r>
        <w:rPr>
          <w:rFonts w:hint="eastAsia" w:asciiTheme="minorEastAsia" w:hAnsiTheme="minorEastAsia" w:eastAsiaTheme="minorEastAsia" w:cstheme="minorEastAsia"/>
          <w:sz w:val="24"/>
          <w:szCs w:val="24"/>
        </w:rPr>
        <w:t>5、竞争性磋商文件的澄清</w:t>
      </w:r>
      <w:bookmarkEnd w:id="133"/>
    </w:p>
    <w:p w14:paraId="7AB4FB9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rPr>
        <w:t>采购代理机构对已发出的竞争性磋商文件进行必要澄清、修改或补充的，应当在竞争性磋商文件要求提交响应性文件截止时间5日（如至原定截止时间不足5日，则需延长磋商开始时间）前，在</w:t>
      </w:r>
      <w:r>
        <w:rPr>
          <w:rFonts w:hint="eastAsia" w:asciiTheme="minorEastAsia" w:hAnsiTheme="minorEastAsia" w:eastAsiaTheme="minorEastAsia" w:cstheme="minorEastAsia"/>
          <w:sz w:val="24"/>
          <w:szCs w:val="24"/>
          <w:lang w:eastAsia="zh-CN"/>
        </w:rPr>
        <w:t>《河南省政府采购网》、《三门峡市公共资源交易中心网》和《</w:t>
      </w:r>
      <w:r>
        <w:rPr>
          <w:rFonts w:hint="eastAsia" w:asciiTheme="minorEastAsia" w:hAnsiTheme="minorEastAsia" w:eastAsiaTheme="minorEastAsia" w:cstheme="minorEastAsia"/>
          <w:sz w:val="24"/>
          <w:szCs w:val="24"/>
          <w:lang w:val="en-US" w:eastAsia="zh-CN"/>
        </w:rPr>
        <w:t>中国招标投标公共服务平台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等相关媒体上发布更正公告。竞争性磋商文件公示期间对竞争性磋商文件进行的澄清、修改或补充不受上述限制。</w:t>
      </w:r>
    </w:p>
    <w:p w14:paraId="0E1DAA2A">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5.2竞争性磋商文件澄清、修改或补充的内容为竞争性磋商文件的组成部分。</w:t>
      </w:r>
    </w:p>
    <w:p w14:paraId="4F71512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3采购代理机构可以视采购具体情况，延长递交响应性文件截止时间和开始磋商时间，但至少应当在竞争性磋商文件要求提交响应性文件的截止时间5日前，将在《河南省政府采购网》、《三门峡市公共资源交易中心网》和《中国招标投标公共服务平台》等相关媒体上发布更正公告。</w:t>
      </w:r>
    </w:p>
    <w:p w14:paraId="6490039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34" w:name="_Toc20123_WPSOffice_Level3"/>
      <w:r>
        <w:rPr>
          <w:rFonts w:hint="eastAsia" w:asciiTheme="minorEastAsia" w:hAnsiTheme="minorEastAsia" w:eastAsiaTheme="minorEastAsia" w:cstheme="minorEastAsia"/>
          <w:sz w:val="24"/>
          <w:szCs w:val="24"/>
        </w:rPr>
        <w:t>6、竞争性磋商文件的修改</w:t>
      </w:r>
      <w:bookmarkEnd w:id="134"/>
    </w:p>
    <w:p w14:paraId="241C4CC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竞争性磋商文件的修改书将构成磋商响应文件的一部分，对所有磋商响应供应商均有约束力。</w:t>
      </w:r>
    </w:p>
    <w:p w14:paraId="20AB35B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35" w:name="_Toc12366_WPSOffice_Level3"/>
      <w:r>
        <w:rPr>
          <w:rFonts w:hint="eastAsia" w:asciiTheme="minorEastAsia" w:hAnsiTheme="minorEastAsia" w:eastAsiaTheme="minorEastAsia" w:cstheme="minorEastAsia"/>
          <w:sz w:val="24"/>
          <w:szCs w:val="24"/>
        </w:rPr>
        <w:t>7、要求</w:t>
      </w:r>
      <w:bookmarkEnd w:id="135"/>
    </w:p>
    <w:p w14:paraId="5EC66FC0">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5D6955B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36" w:name="_Toc8655_WPSOffice_Level3"/>
      <w:r>
        <w:rPr>
          <w:rFonts w:hint="eastAsia" w:asciiTheme="minorEastAsia" w:hAnsiTheme="minorEastAsia" w:eastAsiaTheme="minorEastAsia" w:cstheme="minorEastAsia"/>
          <w:sz w:val="24"/>
          <w:szCs w:val="24"/>
        </w:rPr>
        <w:t>8、电子化磋商响应文件的组成</w:t>
      </w:r>
      <w:bookmarkEnd w:id="136"/>
    </w:p>
    <w:p w14:paraId="43719A0A">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详见第六章响应文件内容及格式</w:t>
      </w:r>
    </w:p>
    <w:p w14:paraId="5EDE442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37" w:name="_Toc4976_WPSOffice_Level3"/>
      <w:r>
        <w:rPr>
          <w:rFonts w:hint="eastAsia" w:asciiTheme="minorEastAsia" w:hAnsiTheme="minorEastAsia" w:eastAsiaTheme="minorEastAsia" w:cstheme="minorEastAsia"/>
          <w:sz w:val="24"/>
          <w:szCs w:val="24"/>
        </w:rPr>
        <w:t>9、电子化磋商响应文件的格式</w:t>
      </w:r>
      <w:bookmarkEnd w:id="137"/>
    </w:p>
    <w:p w14:paraId="211C5CFA">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9.1投标供应商所上传的电子化响应文件，应是通过中心响应文件制作系统制作的，经过签章和加密后生成的电子版响应文件。上传投标文件格式后缀为SMXTF。上传完后，为了验证CA锁是否正常，建议模拟解密下。</w:t>
      </w:r>
    </w:p>
    <w:p w14:paraId="4F7475D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38" w:name="_Toc3669_WPSOffice_Level3"/>
      <w:r>
        <w:rPr>
          <w:rFonts w:hint="eastAsia" w:asciiTheme="minorEastAsia" w:hAnsiTheme="minorEastAsia" w:eastAsiaTheme="minorEastAsia" w:cstheme="minorEastAsia"/>
          <w:sz w:val="24"/>
          <w:szCs w:val="24"/>
        </w:rPr>
        <w:t>10、电子化磋商响应文件的签署</w:t>
      </w:r>
      <w:bookmarkEnd w:id="138"/>
    </w:p>
    <w:p w14:paraId="282DEC1C">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 磋商响应供应商在进行电子化磋商响应文件签章时，竞争性磋商文件中要求磋商响应供应商盖章的，以签盖单位章为准；要求法定代表人</w:t>
      </w:r>
      <w:r>
        <w:rPr>
          <w:rFonts w:hint="eastAsia" w:asciiTheme="minorEastAsia" w:hAnsiTheme="minorEastAsia" w:eastAsiaTheme="minorEastAsia" w:cstheme="minorEastAsia"/>
          <w:sz w:val="24"/>
          <w:szCs w:val="24"/>
          <w:lang w:val="en-US" w:eastAsia="zh-CN"/>
        </w:rPr>
        <w:t>或授权委托人</w:t>
      </w:r>
      <w:r>
        <w:rPr>
          <w:rFonts w:hint="eastAsia" w:asciiTheme="minorEastAsia" w:hAnsiTheme="minorEastAsia" w:eastAsiaTheme="minorEastAsia" w:cstheme="minorEastAsia"/>
          <w:sz w:val="24"/>
          <w:szCs w:val="24"/>
        </w:rPr>
        <w:t>签章的，以签盖法定代表人签章为准。电子化磋商响应文件具体制作教材请供应商通过三门峡市公共资源交易平台网首页“下载专区”中查看。</w:t>
      </w:r>
    </w:p>
    <w:p w14:paraId="6863C50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39" w:name="_Toc1982_WPSOffice_Level3"/>
      <w:r>
        <w:rPr>
          <w:rFonts w:hint="eastAsia" w:asciiTheme="minorEastAsia" w:hAnsiTheme="minorEastAsia" w:eastAsiaTheme="minorEastAsia" w:cstheme="minorEastAsia"/>
          <w:sz w:val="24"/>
          <w:szCs w:val="24"/>
        </w:rPr>
        <w:t>11、电子化磋商响应文件的上传</w:t>
      </w:r>
      <w:bookmarkEnd w:id="139"/>
    </w:p>
    <w:p w14:paraId="21A3B7D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电子化磋商响应文件应在磋商截止时间前成功上传至三门峡市公共资源电子化交易系统。至磋商截止时间止，仍未上传成功的电子化磋商响应文件将不予接收。</w:t>
      </w:r>
    </w:p>
    <w:p w14:paraId="7FB7D6BD">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如按照电子化投标操作教材制作完成的电子化磋商响应文件无法上传的，磋商响应供应商应在磋商截止时间前尽早的联系中心技术人员，以便有充分的时间进行处理。磋商响应供应商应充分考虑到处理技术问题和上传数据等工作的时间问题，磋商响应文件未在磋商截止时间前成功上传的，其磋商响应文件不予接收。</w:t>
      </w:r>
    </w:p>
    <w:p w14:paraId="10052792">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40" w:name="_Toc4328_WPSOffice_Level3"/>
      <w:r>
        <w:rPr>
          <w:rFonts w:hint="eastAsia" w:asciiTheme="minorEastAsia" w:hAnsiTheme="minorEastAsia" w:eastAsiaTheme="minorEastAsia" w:cstheme="minorEastAsia"/>
          <w:sz w:val="24"/>
          <w:szCs w:val="24"/>
        </w:rPr>
        <w:t>12、磋商截止时间</w:t>
      </w:r>
      <w:bookmarkEnd w:id="140"/>
    </w:p>
    <w:p w14:paraId="1615980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 电子化磋商响应文件的截止时间见本须知前附表规定。</w:t>
      </w:r>
    </w:p>
    <w:p w14:paraId="77FA615B">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41" w:name="_Toc14892_WPSOffice_Level3"/>
      <w:r>
        <w:rPr>
          <w:rFonts w:hint="eastAsia" w:asciiTheme="minorEastAsia" w:hAnsiTheme="minorEastAsia" w:eastAsiaTheme="minorEastAsia" w:cstheme="minorEastAsia"/>
          <w:sz w:val="24"/>
          <w:szCs w:val="24"/>
        </w:rPr>
        <w:t>13、电子化磋商响应文件的补充、修改与撤回</w:t>
      </w:r>
      <w:bookmarkEnd w:id="141"/>
    </w:p>
    <w:p w14:paraId="7A6DCB1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 在磋商截止时间之后，磋商响应供应商不得补充、修改电子化磋商响应文件。</w:t>
      </w:r>
    </w:p>
    <w:p w14:paraId="587E24DB">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42" w:name="_Toc16713_WPSOffice_Level3"/>
      <w:r>
        <w:rPr>
          <w:rFonts w:hint="eastAsia" w:asciiTheme="minorEastAsia" w:hAnsiTheme="minorEastAsia" w:eastAsiaTheme="minorEastAsia" w:cstheme="minorEastAsia"/>
          <w:sz w:val="24"/>
          <w:szCs w:val="24"/>
        </w:rPr>
        <w:t>14、磋商报价</w:t>
      </w:r>
      <w:bookmarkEnd w:id="142"/>
    </w:p>
    <w:p w14:paraId="786A86C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14.1 </w:t>
      </w:r>
      <w:r>
        <w:rPr>
          <w:rFonts w:hint="eastAsia" w:asciiTheme="minorEastAsia" w:hAnsiTheme="minorEastAsia" w:eastAsiaTheme="minorEastAsia" w:cstheme="minorEastAsia"/>
          <w:sz w:val="24"/>
          <w:szCs w:val="24"/>
        </w:rPr>
        <w:t>本次磋商采购的均须以人民币为计算单位。</w:t>
      </w:r>
    </w:p>
    <w:p w14:paraId="5A110DB2">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14.2 </w:t>
      </w:r>
      <w:r>
        <w:rPr>
          <w:rFonts w:hint="eastAsia" w:asciiTheme="minorEastAsia" w:hAnsiTheme="minorEastAsia" w:eastAsiaTheme="minorEastAsia" w:cstheme="minorEastAsia"/>
          <w:sz w:val="24"/>
          <w:szCs w:val="24"/>
        </w:rPr>
        <w:t>磋商响应供应商</w:t>
      </w:r>
      <w:r>
        <w:rPr>
          <w:rFonts w:hint="eastAsia" w:asciiTheme="minorEastAsia" w:hAnsiTheme="minorEastAsia" w:eastAsiaTheme="minorEastAsia" w:cstheme="minorEastAsia"/>
          <w:sz w:val="24"/>
          <w:szCs w:val="24"/>
          <w:lang w:val="en-US" w:eastAsia="zh-CN"/>
        </w:rPr>
        <w:t>报价应包含完成本项目服务所需要的</w:t>
      </w:r>
      <w:r>
        <w:rPr>
          <w:rFonts w:hint="eastAsia" w:asciiTheme="minorEastAsia" w:hAnsiTheme="minorEastAsia" w:eastAsiaTheme="minorEastAsia" w:cstheme="minorEastAsia"/>
          <w:sz w:val="24"/>
          <w:szCs w:val="24"/>
        </w:rPr>
        <w:t>各项费用。</w:t>
      </w:r>
    </w:p>
    <w:p w14:paraId="658E6513">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14.3 </w:t>
      </w:r>
      <w:r>
        <w:rPr>
          <w:rFonts w:hint="eastAsia" w:asciiTheme="minorEastAsia" w:hAnsiTheme="minorEastAsia" w:eastAsiaTheme="minorEastAsia" w:cstheme="minorEastAsia"/>
          <w:sz w:val="24"/>
          <w:szCs w:val="24"/>
        </w:rPr>
        <w:t>磋商响应供应商应充分考虑市场风险和国家政策性风险系数，根据企业具体情况在合理的范围内自主报价，但不得低于企业实际成本。</w:t>
      </w:r>
    </w:p>
    <w:p w14:paraId="1E5EAAC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14.4 </w:t>
      </w:r>
      <w:r>
        <w:rPr>
          <w:rFonts w:hint="eastAsia" w:asciiTheme="minorEastAsia" w:hAnsiTheme="minorEastAsia" w:eastAsiaTheme="minorEastAsia" w:cstheme="minorEastAsia"/>
          <w:sz w:val="24"/>
          <w:szCs w:val="24"/>
        </w:rPr>
        <w:t>磋商响应供应商的磋商报价应包含验收合格正式交付使用前所发生的一切费用，且磋商响应供应商只能提出一个报价，采购人不接受任何有选择的报价，最后报价不得超过项目采购预算。</w:t>
      </w:r>
    </w:p>
    <w:p w14:paraId="77FD846A">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14.5 </w:t>
      </w:r>
      <w:r>
        <w:rPr>
          <w:rFonts w:hint="eastAsia" w:asciiTheme="minorEastAsia" w:hAnsiTheme="minorEastAsia" w:eastAsiaTheme="minorEastAsia" w:cstheme="minorEastAsia"/>
          <w:sz w:val="24"/>
          <w:szCs w:val="24"/>
        </w:rPr>
        <w:t>磋商响应供应商的报价明显低于其他报价，使得其报价可能低于其个别成本的， 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045C8553">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14.6</w:t>
      </w:r>
      <w:r>
        <w:rPr>
          <w:rFonts w:hint="eastAsia" w:asciiTheme="minorEastAsia" w:hAnsiTheme="minorEastAsia" w:eastAsiaTheme="minorEastAsia" w:cstheme="minorEastAsia"/>
          <w:sz w:val="24"/>
          <w:szCs w:val="24"/>
        </w:rPr>
        <w:t>本次采购为竞争性磋商采购，允许二次报价。</w:t>
      </w:r>
    </w:p>
    <w:p w14:paraId="1C02983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43" w:name="_Toc28583_WPSOffice_Level3"/>
      <w:r>
        <w:rPr>
          <w:rFonts w:hint="eastAsia" w:asciiTheme="minorEastAsia" w:hAnsiTheme="minorEastAsia" w:eastAsiaTheme="minorEastAsia" w:cstheme="minorEastAsia"/>
          <w:sz w:val="24"/>
          <w:szCs w:val="24"/>
          <w:lang w:val="en-US"/>
        </w:rPr>
        <w:t>15、</w:t>
      </w:r>
      <w:r>
        <w:rPr>
          <w:rFonts w:hint="eastAsia" w:asciiTheme="minorEastAsia" w:hAnsiTheme="minorEastAsia" w:eastAsiaTheme="minorEastAsia" w:cstheme="minorEastAsia"/>
          <w:sz w:val="24"/>
          <w:szCs w:val="24"/>
        </w:rPr>
        <w:t>磋商响应供应商资格的证明文件</w:t>
      </w:r>
      <w:bookmarkEnd w:id="143"/>
    </w:p>
    <w:p w14:paraId="40BC0A6D">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15.1</w:t>
      </w:r>
      <w:r>
        <w:rPr>
          <w:rFonts w:hint="eastAsia" w:asciiTheme="minorEastAsia" w:hAnsiTheme="minorEastAsia" w:eastAsiaTheme="minorEastAsia" w:cstheme="minorEastAsia"/>
          <w:sz w:val="24"/>
          <w:szCs w:val="24"/>
        </w:rPr>
        <w:t>证明磋商响应供应商是有资格参加磋商的。</w:t>
      </w:r>
    </w:p>
    <w:p w14:paraId="4E566C7B">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15.2</w:t>
      </w:r>
      <w:r>
        <w:rPr>
          <w:rFonts w:hint="eastAsia" w:asciiTheme="minorEastAsia" w:hAnsiTheme="minorEastAsia" w:eastAsiaTheme="minorEastAsia" w:cstheme="minorEastAsia"/>
          <w:sz w:val="24"/>
          <w:szCs w:val="24"/>
        </w:rPr>
        <w:t>证明磋商响应供应商有能力履行竞争性磋商文件中合同条款和技术要求规定的由磋商响应供应商提供的服务等义务。</w:t>
      </w:r>
    </w:p>
    <w:p w14:paraId="33F6345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44" w:name="_Toc29721_WPSOffice_Level3"/>
      <w:r>
        <w:rPr>
          <w:rFonts w:hint="eastAsia" w:asciiTheme="minorEastAsia" w:hAnsiTheme="minorEastAsia" w:eastAsiaTheme="minorEastAsia" w:cstheme="minorEastAsia"/>
          <w:sz w:val="24"/>
          <w:szCs w:val="24"/>
        </w:rPr>
        <w:t>16、磋商保证金</w:t>
      </w:r>
      <w:bookmarkEnd w:id="144"/>
    </w:p>
    <w:p w14:paraId="2BD9449B">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rPr>
      </w:pPr>
      <w:bookmarkStart w:id="145" w:name="_Toc26640_WPSOffice_Level3"/>
      <w:r>
        <w:rPr>
          <w:rFonts w:hint="eastAsia" w:asciiTheme="minorEastAsia" w:hAnsiTheme="minorEastAsia" w:eastAsiaTheme="minorEastAsia" w:cstheme="minorEastAsia"/>
          <w:sz w:val="24"/>
          <w:szCs w:val="24"/>
          <w:lang w:val="en-US"/>
        </w:rPr>
        <w:t>根据《河南省财政厅关于优化政府采购营商环境有关问题的通知》（豫财购【2019】4号）第6条的规定，本项目磋商保证金不再收取，供应商须提供投标承诺书（详见第六章响应文件格式）</w:t>
      </w:r>
    </w:p>
    <w:p w14:paraId="2946F9B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17、磋商响应文件有效期</w:t>
      </w:r>
      <w:bookmarkEnd w:id="145"/>
    </w:p>
    <w:p w14:paraId="075B03B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17.1</w:t>
      </w:r>
      <w:r>
        <w:rPr>
          <w:rFonts w:hint="eastAsia" w:asciiTheme="minorEastAsia" w:hAnsiTheme="minorEastAsia" w:eastAsiaTheme="minorEastAsia" w:cstheme="minorEastAsia"/>
          <w:sz w:val="24"/>
          <w:szCs w:val="24"/>
        </w:rPr>
        <w:t>响应性文件从首次递交竞争性磋商响应文件截止时间之日起开始生效，磋商有效期为 60 日历天，有效期短于此规定的响应文件将被视为无效文件。</w:t>
      </w:r>
    </w:p>
    <w:p w14:paraId="6A41620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17.2</w:t>
      </w:r>
      <w:r>
        <w:rPr>
          <w:rFonts w:hint="eastAsia" w:asciiTheme="minorEastAsia" w:hAnsiTheme="minorEastAsia" w:eastAsiaTheme="minorEastAsia" w:cstheme="minorEastAsia"/>
          <w:sz w:val="24"/>
          <w:szCs w:val="24"/>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625C22A4">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46" w:name="_Toc14449_WPSOffice_Level3"/>
      <w:r>
        <w:rPr>
          <w:rFonts w:hint="eastAsia" w:asciiTheme="minorEastAsia" w:hAnsiTheme="minorEastAsia" w:eastAsiaTheme="minorEastAsia" w:cstheme="minorEastAsia"/>
          <w:sz w:val="24"/>
          <w:szCs w:val="24"/>
        </w:rPr>
        <w:t>18、磋商</w:t>
      </w:r>
      <w:bookmarkEnd w:id="146"/>
    </w:p>
    <w:p w14:paraId="126F28BB">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18.1</w:t>
      </w:r>
      <w:r>
        <w:rPr>
          <w:rFonts w:hint="eastAsia" w:asciiTheme="minorEastAsia" w:hAnsiTheme="minorEastAsia" w:eastAsiaTheme="minorEastAsia" w:cstheme="minorEastAsia"/>
          <w:sz w:val="24"/>
          <w:szCs w:val="24"/>
        </w:rPr>
        <w:t>采购人按本须知前附表规定的时间和地点磋商。</w:t>
      </w:r>
    </w:p>
    <w:p w14:paraId="0435BCD4">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18.2</w:t>
      </w:r>
      <w:r>
        <w:rPr>
          <w:rFonts w:hint="eastAsia" w:asciiTheme="minorEastAsia" w:hAnsiTheme="minorEastAsia" w:eastAsiaTheme="minorEastAsia" w:cstheme="minorEastAsia"/>
          <w:sz w:val="24"/>
          <w:szCs w:val="24"/>
        </w:rPr>
        <w:t>磋商会议由采购代理机构主持；</w:t>
      </w:r>
    </w:p>
    <w:p w14:paraId="3D95C4E0">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18.3</w:t>
      </w:r>
      <w:r>
        <w:rPr>
          <w:rFonts w:hint="eastAsia" w:asciiTheme="minorEastAsia" w:hAnsiTheme="minorEastAsia" w:eastAsiaTheme="minorEastAsia" w:cstheme="minorEastAsia"/>
          <w:sz w:val="24"/>
          <w:szCs w:val="24"/>
        </w:rPr>
        <w:t>宣布磋商会议纪律；</w:t>
      </w:r>
    </w:p>
    <w:p w14:paraId="1973B087">
      <w:pPr>
        <w:keepNext w:val="0"/>
        <w:keepLines w:val="0"/>
        <w:pageBreakBefore w:val="0"/>
        <w:widowControl w:val="0"/>
        <w:kinsoku/>
        <w:wordWrap w:val="0"/>
        <w:overflowPunct/>
        <w:topLinePunct w:val="0"/>
        <w:autoSpaceDE/>
        <w:autoSpaceDN/>
        <w:bidi w:val="0"/>
        <w:adjustRightInd/>
        <w:snapToGrid/>
        <w:spacing w:line="560" w:lineRule="exact"/>
        <w:ind w:left="479" w:leftChars="228"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18.4</w:t>
      </w:r>
      <w:r>
        <w:rPr>
          <w:rFonts w:hint="eastAsia" w:asciiTheme="minorEastAsia" w:hAnsiTheme="minorEastAsia" w:eastAsiaTheme="minorEastAsia" w:cstheme="minorEastAsia"/>
          <w:sz w:val="24"/>
          <w:szCs w:val="24"/>
        </w:rPr>
        <w:t>磋商时，电子招标投标交易平台自动提取所有电子化磋商响应文件，按时在线解密；</w:t>
      </w:r>
      <w:r>
        <w:rPr>
          <w:rFonts w:hint="eastAsia" w:asciiTheme="minorEastAsia" w:hAnsiTheme="minorEastAsia" w:eastAsiaTheme="minorEastAsia" w:cstheme="minorEastAsia"/>
          <w:sz w:val="24"/>
          <w:szCs w:val="24"/>
          <w:lang w:val="en-US" w:eastAsia="zh-CN"/>
        </w:rPr>
        <w:t>18.5</w:t>
      </w:r>
      <w:r>
        <w:rPr>
          <w:rFonts w:hint="eastAsia" w:asciiTheme="minorEastAsia" w:hAnsiTheme="minorEastAsia" w:eastAsiaTheme="minorEastAsia" w:cstheme="minorEastAsia"/>
          <w:sz w:val="24"/>
          <w:szCs w:val="24"/>
        </w:rPr>
        <w:t>电子化磋商响应文件的有效性</w:t>
      </w:r>
    </w:p>
    <w:p w14:paraId="4973A295">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18.5.1</w:t>
      </w:r>
      <w:r>
        <w:rPr>
          <w:rFonts w:hint="eastAsia" w:asciiTheme="minorEastAsia" w:hAnsiTheme="minorEastAsia" w:eastAsiaTheme="minorEastAsia" w:cstheme="minorEastAsia"/>
          <w:sz w:val="24"/>
          <w:szCs w:val="24"/>
        </w:rPr>
        <w:t>电子化磋商响应文件有下列情形的为无效电子化磋商响应文件，采购人不予受理：因磋商响应供应商原因造成磋商响应文件未解密的，视为撤销其磋商响应文件； 因磋商响应供应商之外的原因造成电子化磋商响应文件未解密的，视为撤回其磋商响应文件，磋商响应供应商有权要求责任方赔偿因此遭受的直接损失。部分电子化磋商响应文件未解密的，其他电子化磋商可以继续进行。</w:t>
      </w:r>
    </w:p>
    <w:p w14:paraId="72BD614C">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47" w:name="_Toc29167_WPSOffice_Level3"/>
      <w:r>
        <w:rPr>
          <w:rFonts w:hint="eastAsia" w:asciiTheme="minorEastAsia" w:hAnsiTheme="minorEastAsia" w:eastAsiaTheme="minorEastAsia" w:cstheme="minorEastAsia"/>
          <w:sz w:val="24"/>
          <w:szCs w:val="24"/>
        </w:rPr>
        <w:t>19、磋商小组</w:t>
      </w:r>
      <w:bookmarkEnd w:id="147"/>
    </w:p>
    <w:p w14:paraId="1C4576AA">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磋商小组由 3 人构成：采购人代表 1 人，经济、技术方面专家 2 人，在磋商会议开始前从</w:t>
      </w:r>
      <w:r>
        <w:rPr>
          <w:rFonts w:hint="eastAsia" w:asciiTheme="minorEastAsia" w:hAnsiTheme="minorEastAsia" w:eastAsiaTheme="minorEastAsia" w:cstheme="minorEastAsia"/>
          <w:sz w:val="24"/>
          <w:szCs w:val="24"/>
          <w:lang w:val="en-US" w:eastAsia="zh-CN"/>
        </w:rPr>
        <w:t>相关</w:t>
      </w:r>
      <w:r>
        <w:rPr>
          <w:rFonts w:hint="eastAsia" w:asciiTheme="minorEastAsia" w:hAnsiTheme="minorEastAsia" w:eastAsiaTheme="minorEastAsia" w:cstheme="minorEastAsia"/>
          <w:sz w:val="24"/>
          <w:szCs w:val="24"/>
        </w:rPr>
        <w:t>评标专家库随机抽取。</w:t>
      </w:r>
    </w:p>
    <w:p w14:paraId="5BFDAEF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磋商小组对所有磋商响应供应商的磋商响应文件进行评审，按评审后得分由高到低顺序排列，递交给采购人。</w:t>
      </w:r>
    </w:p>
    <w:p w14:paraId="5228E14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BD7ED2A">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14:paraId="08EF75B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48" w:name="_Toc30532_WPSOffice_Level3"/>
      <w:r>
        <w:rPr>
          <w:rFonts w:hint="eastAsia" w:asciiTheme="minorEastAsia" w:hAnsiTheme="minorEastAsia" w:eastAsiaTheme="minorEastAsia" w:cstheme="minorEastAsia"/>
          <w:sz w:val="24"/>
          <w:szCs w:val="24"/>
        </w:rPr>
        <w:t>20、磋商程序</w:t>
      </w:r>
      <w:bookmarkEnd w:id="148"/>
    </w:p>
    <w:p w14:paraId="3F17E58A">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磋商小组所有成员集中评审磋商响应文件及集中与磋商响应供应商分别进行磋商。</w:t>
      </w:r>
    </w:p>
    <w:p w14:paraId="519141A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磋商小组首先对所有磋商响应文件进行资格性和初步审查。资格性审查是指： 磋商小组按照竞争性磋商文件第四章评审办法的要求，对磋商响应供应商进行资格审查，有一项不符合的，视为未通过资格审查，不得进入下一评审过程。磋商小组按照竞争性磋商文件及第四章评审办法中形式、响应性评审的要求，对磋商响应供应商进行审查，有一项不符合的，视为未通过初步审查。未通过资格性和初步审查的磋商响应文件按无效响应处理，磋商小组应当告知提交磋商响应文件的磋商响应供应商。</w:t>
      </w:r>
    </w:p>
    <w:p w14:paraId="2A1697C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允许修正磋商响应文件中不构成重大偏离的、微小的、非正规的、不一致或不规则的地方。</w:t>
      </w:r>
    </w:p>
    <w:p w14:paraId="38CC37D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磋商小组判断磋商响应文件的响应性仅基于磋商响应文件本身内容而不靠外部证据。</w:t>
      </w:r>
    </w:p>
    <w:p w14:paraId="142048C2">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实质性未响应磋商文件要求的响应将被拒绝，磋商响应供应商不得通过修正或撤消不符之处而使其响应成为实质性响应。</w:t>
      </w:r>
    </w:p>
    <w:p w14:paraId="20C546A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实质性未响应是指磋商响应文件中提出了超出磋商文件中采购标的、规格型号、预算金额、采购数量、交货期、技术和服务要求等内容。</w:t>
      </w:r>
    </w:p>
    <w:p w14:paraId="21C18874">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本次磋商中，响应性文件中的报价为第一次报价。</w:t>
      </w:r>
    </w:p>
    <w:p w14:paraId="1A47F853">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供应商可以在磋商小组规定的时间内进行第二次报价，通过交易中心系统以电子形式递交，第二轮报价不得高于第一轮报价，成交价以最终报价为准。磋商过程中，磋商小组可以根据磋商情况调整磋商轮次。</w:t>
      </w:r>
      <w:r>
        <w:rPr>
          <w:rFonts w:hint="eastAsia" w:asciiTheme="minorEastAsia" w:hAnsiTheme="minorEastAsia" w:eastAsiaTheme="minorEastAsia" w:cstheme="minorEastAsia"/>
          <w:sz w:val="24"/>
          <w:szCs w:val="24"/>
          <w:lang w:val="en-US" w:eastAsia="zh-CN"/>
        </w:rPr>
        <w:t>最终报价需自行刷新系统等待，不再电话通知。</w:t>
      </w:r>
    </w:p>
    <w:p w14:paraId="7C71826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49" w:name="_Toc31948_WPSOffice_Level3"/>
      <w:r>
        <w:rPr>
          <w:rFonts w:hint="eastAsia" w:asciiTheme="minorEastAsia" w:hAnsiTheme="minorEastAsia" w:eastAsiaTheme="minorEastAsia" w:cstheme="minorEastAsia"/>
          <w:sz w:val="24"/>
          <w:szCs w:val="24"/>
        </w:rPr>
        <w:t>21、对磋商响应供应商的评价</w:t>
      </w:r>
      <w:bookmarkEnd w:id="149"/>
    </w:p>
    <w:p w14:paraId="1C6FF23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磋商小组只对已判定为实质性响应且通过资格审查的磋商响应文件进行详细评价和比较。</w:t>
      </w:r>
    </w:p>
    <w:p w14:paraId="7A673C2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磋商小组所有成员应当集中与单一磋商响应供应商分别进行磋商，并给予所有参加磋商的磋商响应供应商平等的磋商机会。磋商完成后，要求其在规定时间内提交最后报价，提交最后报价的供应商可以为两家。</w:t>
      </w:r>
    </w:p>
    <w:p w14:paraId="1DE9D330">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经磋商确定最终采购需求和提交最后报价的磋商响应供应商后，磋商小组采用综合评分法对提交最后报价的磋商响应供应商的磋商响应文件和最后报价进行综合评分。</w:t>
      </w:r>
    </w:p>
    <w:p w14:paraId="07BF54F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21.4磋商小组根据综合评分情况，按评审得分由高到低的顺序确定成交候选供应商， 确定排名第一的为成交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73CE9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21.5如果第一名供应商放弃成交资格或因不可抗力提出不能履行合同、竞争性磋商文件规定应当提交履约担保而在规定的期限内未能提交的，采购人将依序确定排名第二名的供应商为成交供应商，也可以重新开展政府采购活动。</w:t>
      </w:r>
    </w:p>
    <w:p w14:paraId="337E9F1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50" w:name="_Toc27346_WPSOffice_Level3"/>
      <w:r>
        <w:rPr>
          <w:rFonts w:hint="eastAsia" w:asciiTheme="minorEastAsia" w:hAnsiTheme="minorEastAsia" w:eastAsiaTheme="minorEastAsia" w:cstheme="minorEastAsia"/>
          <w:sz w:val="24"/>
          <w:szCs w:val="24"/>
        </w:rPr>
        <w:t>22、磋商响应文件的澄清</w:t>
      </w:r>
      <w:bookmarkEnd w:id="150"/>
    </w:p>
    <w:p w14:paraId="60D630A2">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有助于对磋商响应文件进行审查、评估和比较，磋商小组有权向磋商响应供应商质疑。请磋商响应供应商澄清其磋商内容。磋商响应供应商有责任按照磋商小组通知的时间、地点、方式指派委托代理人进行答疑和澄清。</w:t>
      </w:r>
    </w:p>
    <w:p w14:paraId="6B1B599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重要澄清的答复应是书面的，并由法定代表人或其委托代理人签字。</w:t>
      </w:r>
    </w:p>
    <w:p w14:paraId="1E5E61B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磋商响应供应商的澄清文件是磋商响应文件的组成部分，并取代磋商响应文件中被澄清的部分。</w:t>
      </w:r>
    </w:p>
    <w:p w14:paraId="6C6C406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磋商响应文件澄清部分不得对磋商内容进行实质性修改。</w:t>
      </w:r>
    </w:p>
    <w:p w14:paraId="3EA83433">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51" w:name="_Toc10070_WPSOffice_Level3"/>
      <w:r>
        <w:rPr>
          <w:rFonts w:hint="eastAsia" w:asciiTheme="minorEastAsia" w:hAnsiTheme="minorEastAsia" w:eastAsiaTheme="minorEastAsia" w:cstheme="minorEastAsia"/>
          <w:sz w:val="24"/>
          <w:szCs w:val="24"/>
        </w:rPr>
        <w:t>23、磋商原则和方法</w:t>
      </w:r>
      <w:bookmarkEnd w:id="151"/>
    </w:p>
    <w:p w14:paraId="111D290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坚持公开、公平、公正的原则。</w:t>
      </w:r>
    </w:p>
    <w:p w14:paraId="276AEF8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磋商在磋商小组应当集中与单一磋商响应供应商分别进行磋商，磋商小组将遵照磋商原则，公正、平等地对待所有磋商响应供应商。</w:t>
      </w:r>
    </w:p>
    <w:p w14:paraId="5A43F420">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eastAsia="zh-CN"/>
        </w:rPr>
        <w:t>23.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zh-CN" w:eastAsia="zh-CN"/>
        </w:rPr>
        <w:t>.1</w:t>
      </w:r>
      <w:r>
        <w:rPr>
          <w:rFonts w:hint="eastAsia" w:asciiTheme="minorEastAsia" w:hAnsiTheme="minorEastAsia" w:eastAsiaTheme="minorEastAsia" w:cstheme="minorEastAsia"/>
          <w:sz w:val="24"/>
          <w:szCs w:val="24"/>
        </w:rPr>
        <w:t>评审方法</w:t>
      </w:r>
    </w:p>
    <w:p w14:paraId="4C31F77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eastAsia="zh-CN"/>
        </w:rPr>
        <w:t>23.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zh-CN" w:eastAsia="zh-CN"/>
        </w:rPr>
        <w:t>.2</w:t>
      </w:r>
      <w:r>
        <w:rPr>
          <w:rFonts w:hint="eastAsia" w:asciiTheme="minorEastAsia" w:hAnsiTheme="minorEastAsia" w:eastAsiaTheme="minorEastAsia" w:cstheme="minorEastAsia"/>
          <w:sz w:val="24"/>
          <w:szCs w:val="24"/>
        </w:rPr>
        <w:t>初步评审（是否响应竞争性磋商文件的要求），确定合格的磋商响应供应商。</w:t>
      </w:r>
    </w:p>
    <w:p w14:paraId="5D7EF40D">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eastAsia="zh-CN"/>
        </w:rPr>
        <w:t>23.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zh-CN" w:eastAsia="zh-CN"/>
        </w:rPr>
        <w:t>.3</w:t>
      </w:r>
      <w:r>
        <w:rPr>
          <w:rFonts w:hint="eastAsia" w:asciiTheme="minorEastAsia" w:hAnsiTheme="minorEastAsia" w:eastAsiaTheme="minorEastAsia" w:cstheme="minorEastAsia"/>
          <w:sz w:val="24"/>
          <w:szCs w:val="24"/>
        </w:rPr>
        <w:t>各磋商响应供应商依据各自情况进行最后报价。</w:t>
      </w:r>
    </w:p>
    <w:p w14:paraId="2B8C817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eastAsia="zh-CN"/>
        </w:rPr>
        <w:t>23.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zh-CN" w:eastAsia="zh-CN"/>
        </w:rPr>
        <w:t>.4</w:t>
      </w:r>
      <w:r>
        <w:rPr>
          <w:rFonts w:hint="eastAsia" w:asciiTheme="minorEastAsia" w:hAnsiTheme="minorEastAsia" w:eastAsiaTheme="minorEastAsia" w:cstheme="minorEastAsia"/>
          <w:sz w:val="24"/>
          <w:szCs w:val="24"/>
        </w:rPr>
        <w:t>经磋商确定最终采购需求和提交最后报价的磋商响应供应商，有磋商小组采用综合评分法对提交最后报价的磋商响应供应商的响应文件和最后报价进行综合评分。</w:t>
      </w:r>
    </w:p>
    <w:p w14:paraId="3FCDE854">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52" w:name="_Toc5813_WPSOffice_Level3"/>
      <w:r>
        <w:rPr>
          <w:rFonts w:hint="eastAsia" w:asciiTheme="minorEastAsia" w:hAnsiTheme="minorEastAsia" w:eastAsiaTheme="minorEastAsia" w:cstheme="minorEastAsia"/>
          <w:sz w:val="24"/>
          <w:szCs w:val="24"/>
        </w:rPr>
        <w:t>24、推荐成交供应商</w:t>
      </w:r>
      <w:bookmarkEnd w:id="152"/>
      <w:r>
        <w:rPr>
          <w:rFonts w:hint="eastAsia" w:asciiTheme="minorEastAsia" w:hAnsiTheme="minorEastAsia" w:eastAsiaTheme="minorEastAsia" w:cstheme="minorEastAsia"/>
          <w:sz w:val="24"/>
          <w:szCs w:val="24"/>
        </w:rPr>
        <w:t>候选人</w:t>
      </w:r>
    </w:p>
    <w:p w14:paraId="0CD0F3E2">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24.1 磋商小组应当根据综合评分情况，按照评审有高到低的顺序推荐3名成交候选供应商，并向采购人提供书面评审报告。</w:t>
      </w:r>
    </w:p>
    <w:p w14:paraId="1E8B16D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53" w:name="_Toc28609_WPSOffice_Level3"/>
      <w:r>
        <w:rPr>
          <w:rFonts w:hint="eastAsia" w:asciiTheme="minorEastAsia" w:hAnsiTheme="minorEastAsia" w:eastAsiaTheme="minorEastAsia" w:cstheme="minorEastAsia"/>
          <w:sz w:val="24"/>
          <w:szCs w:val="24"/>
        </w:rPr>
        <w:t>25、保密及其它注意事项</w:t>
      </w:r>
      <w:bookmarkEnd w:id="153"/>
    </w:p>
    <w:p w14:paraId="3B3E1F3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评审工作是磋商工作的重要环节，评审工作在磋商小组内独立进行。在评审期间，磋商响应供应商不得向磋商小组成员询问评审情况，不得进行影响评审结果的活动。否则其响应将会被拒绝。</w:t>
      </w:r>
    </w:p>
    <w:p w14:paraId="59F514F2">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为保证评审的公正性，磋商开始后直至授予成交供应商合同，磋商小组成员不得与供应商私下交换意见。</w:t>
      </w:r>
    </w:p>
    <w:p w14:paraId="2E694CC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在评审工作结束后，凡与评审情况有接触的任何人不得擅自将评审情况扩散出评审人员之外。</w:t>
      </w:r>
    </w:p>
    <w:p w14:paraId="00F661B2">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54" w:name="_Toc27984_WPSOffice_Level3"/>
      <w:r>
        <w:rPr>
          <w:rFonts w:hint="eastAsia" w:asciiTheme="minorEastAsia" w:hAnsiTheme="minorEastAsia" w:eastAsiaTheme="minorEastAsia" w:cstheme="minorEastAsia"/>
          <w:sz w:val="24"/>
          <w:szCs w:val="24"/>
        </w:rPr>
        <w:t>26、定标、成交通知</w:t>
      </w:r>
      <w:bookmarkEnd w:id="154"/>
    </w:p>
    <w:p w14:paraId="4A45B40B">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采购人依据磋商小组推荐的成交候选人确定成交人，磋商小组推荐3名成交候选人。采购人将依序确定排名第一的供应商为成交人，若排名第一的成交候选人放弃中标、因不可抗力不能履行合同，或者被查实存在影响成交结果的违法行为等情形，不符合成交条件的，采购人可以按照磋商小组提出的成交候选人名单排序依次确定其他成交候选人为成交人，也可以重新招标。</w:t>
      </w:r>
    </w:p>
    <w:p w14:paraId="52D1960D">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26.2成交供应商确定后，采购人向成交供应商签发《成交通知书》，并将成交结果通知所有未成交的磋商响应供应商。</w:t>
      </w:r>
    </w:p>
    <w:p w14:paraId="225ABDDB">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26.3《成交通知书》作为签订合同的依据，对采购人和成交供应商均具有法律效力， 成交通知书发出后，采购人改变成交结果或者成交供应商放弃项目，应依法承担法律责任。</w:t>
      </w:r>
    </w:p>
    <w:p w14:paraId="371FB0B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55" w:name="_Toc8188_WPSOffice_Level3"/>
      <w:r>
        <w:rPr>
          <w:rFonts w:hint="eastAsia" w:asciiTheme="minorEastAsia" w:hAnsiTheme="minorEastAsia" w:eastAsiaTheme="minorEastAsia" w:cstheme="minorEastAsia"/>
          <w:sz w:val="24"/>
          <w:szCs w:val="24"/>
        </w:rPr>
        <w:t>27、授予合同时变更数量的权力</w:t>
      </w:r>
      <w:bookmarkEnd w:id="155"/>
    </w:p>
    <w:p w14:paraId="2B49FF6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 采购人在授予合同时，保留对货物数量予以适当增减的权利。成交供应商不得在此情况下对磋商响应文件做出修改，如价格、服务承诺等。</w:t>
      </w:r>
    </w:p>
    <w:p w14:paraId="66BB444C">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56" w:name="_Toc30112_WPSOffice_Level3"/>
      <w:r>
        <w:rPr>
          <w:rFonts w:hint="eastAsia" w:asciiTheme="minorEastAsia" w:hAnsiTheme="minorEastAsia" w:eastAsiaTheme="minorEastAsia" w:cstheme="minorEastAsia"/>
          <w:sz w:val="24"/>
          <w:szCs w:val="24"/>
        </w:rPr>
        <w:t>28、签订合同</w:t>
      </w:r>
      <w:bookmarkEnd w:id="156"/>
    </w:p>
    <w:p w14:paraId="21EE758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成交供应商接到《成交通知书》后按指定地点与采购人签订采购合同；</w:t>
      </w:r>
    </w:p>
    <w:p w14:paraId="4ABE798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采购人签发的成交通知书、竞争性磋商文件、成交供应商的磋商响应文件及其澄清文件等，均为签订合同的依据。</w:t>
      </w:r>
    </w:p>
    <w:p w14:paraId="3D7A331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如成交供应商拒签合同，则按违约处理，采购人对违约方收取成交金额 2%的违约金。</w:t>
      </w:r>
    </w:p>
    <w:p w14:paraId="2862656C">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57" w:name="_Toc7342_WPSOffice_Level3"/>
      <w:r>
        <w:rPr>
          <w:rFonts w:hint="eastAsia" w:asciiTheme="minorEastAsia" w:hAnsiTheme="minorEastAsia" w:eastAsiaTheme="minorEastAsia" w:cstheme="minorEastAsia"/>
          <w:sz w:val="24"/>
          <w:szCs w:val="24"/>
          <w:lang w:val="en-US"/>
        </w:rPr>
        <w:t>29、</w:t>
      </w:r>
      <w:r>
        <w:rPr>
          <w:rFonts w:hint="eastAsia" w:asciiTheme="minorEastAsia" w:hAnsiTheme="minorEastAsia" w:eastAsiaTheme="minorEastAsia" w:cstheme="minorEastAsia"/>
          <w:sz w:val="24"/>
          <w:szCs w:val="24"/>
        </w:rPr>
        <w:t>特别注意事项：</w:t>
      </w:r>
      <w:bookmarkEnd w:id="157"/>
    </w:p>
    <w:p w14:paraId="455B218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磋商响应供应商出现下列情形之一的，磋商小组可取消其磋商资格：</w:t>
      </w:r>
    </w:p>
    <w:p w14:paraId="3C55F0AC">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未按磋商文件要求和规定提交实质性响应材料的；</w:t>
      </w:r>
    </w:p>
    <w:p w14:paraId="4E6DAD42">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相互串通磋商的（有下列情形之一的，视为磋商响应供应商相互串通磋商）；</w:t>
      </w:r>
    </w:p>
    <w:p w14:paraId="593362F5">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A、不同磋商响应供应商的响应文件由同一单位或者个人编制</w:t>
      </w:r>
    </w:p>
    <w:p w14:paraId="1E5BFF95">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B、不同磋商响应供应商委托同一单位或者个人办理磋商事宜</w:t>
      </w:r>
    </w:p>
    <w:p w14:paraId="33B7C9F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C、不同磋商响应供应商的响应文件载明的项目管理成员为同一人</w:t>
      </w:r>
    </w:p>
    <w:p w14:paraId="78C2E933">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D、不同磋商响应供应商的响应文件异常一致或者磋商报价呈规律性差异</w:t>
      </w:r>
    </w:p>
    <w:p w14:paraId="4A092E2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E</w:t>
      </w:r>
      <w:r>
        <w:rPr>
          <w:rFonts w:hint="eastAsia" w:asciiTheme="minorEastAsia" w:hAnsiTheme="minorEastAsia" w:eastAsiaTheme="minorEastAsia" w:cstheme="minorEastAsia"/>
          <w:sz w:val="24"/>
          <w:szCs w:val="24"/>
        </w:rPr>
        <w:t>、不同磋商响应供应商的磋商保证金从同一单位的账户转出</w:t>
      </w:r>
    </w:p>
    <w:p w14:paraId="4396D3B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磋商响应供应商出现下列情形之一的，将被视为非实质性响应磋商文件要求：</w:t>
      </w:r>
    </w:p>
    <w:p w14:paraId="749FDE0A">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交货（完成）期限不确切或不符合磋商文件要求的；</w:t>
      </w:r>
    </w:p>
    <w:p w14:paraId="7C197C0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最后报价有选择性的；</w:t>
      </w:r>
    </w:p>
    <w:p w14:paraId="59B04F9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最后报价超过采购预算金额的；</w:t>
      </w:r>
    </w:p>
    <w:p w14:paraId="6E49A8C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被磋商小组认定存在重大负偏离的；</w:t>
      </w:r>
    </w:p>
    <w:p w14:paraId="6E8F964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注：所谓重大负偏离是指磋商响应供应商对磋商文件的响应在范围、质量、数量和交货（完成）期限、技术规格要求等方面明显不能满足采购需求的。重大负偏离的认定须经磋商小组三分之二以上同意。</w:t>
      </w:r>
    </w:p>
    <w:p w14:paraId="5B30A2F3">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58" w:name="_Toc7366_WPSOffice_Level3"/>
      <w:r>
        <w:rPr>
          <w:rFonts w:hint="eastAsia" w:asciiTheme="minorEastAsia" w:hAnsiTheme="minorEastAsia" w:eastAsiaTheme="minorEastAsia" w:cstheme="minorEastAsia"/>
          <w:sz w:val="24"/>
          <w:szCs w:val="24"/>
        </w:rPr>
        <w:t>询问</w:t>
      </w:r>
      <w:bookmarkEnd w:id="158"/>
    </w:p>
    <w:p w14:paraId="1F9AC1C4">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磋商响应供应商对采购事项有疑问，可以按照《政府采购法》的相关规定向</w:t>
      </w:r>
    </w:p>
    <w:p w14:paraId="04E73B42">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采购人或采购机构提出询问。</w:t>
      </w:r>
    </w:p>
    <w:p w14:paraId="18450C9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重新招标</w:t>
      </w:r>
    </w:p>
    <w:p w14:paraId="7AAECF1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bookmarkStart w:id="159" w:name="_Toc438797215"/>
      <w:bookmarkStart w:id="160" w:name="_Toc438797980"/>
      <w:bookmarkStart w:id="161" w:name="_Toc391284777"/>
      <w:r>
        <w:rPr>
          <w:rFonts w:hint="eastAsia" w:asciiTheme="minorEastAsia" w:hAnsiTheme="minorEastAsia" w:eastAsiaTheme="minorEastAsia" w:cstheme="minorEastAsia"/>
          <w:sz w:val="24"/>
          <w:szCs w:val="24"/>
          <w:lang w:val="en-US" w:eastAsia="zh-CN"/>
        </w:rPr>
        <w:t xml:space="preserve">出现下列情形之一的，将终止竞争性磋商磋商活动，发布项目终止公告并说明原因，重新开展磋商活动： </w:t>
      </w:r>
    </w:p>
    <w:p w14:paraId="65C315A4">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（1）因情况变化，不再符合规定的竞争性磋商磋商方式,适用情形的；出现影响磋商公正的违法、违规行为的； </w:t>
      </w:r>
    </w:p>
    <w:p w14:paraId="2FCD517D">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（2）不符合法律、法规和竞争性磋商文件规定的其他实质性要求的； </w:t>
      </w:r>
    </w:p>
    <w:p w14:paraId="1B88224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（3）其他法律、法规及本竞争性磋商文件规定的属响应无效的情形，终止竞争性磋商磋商活动的条款等；</w:t>
      </w:r>
    </w:p>
    <w:p w14:paraId="71A05BE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（4）磋商截止时间后参加开标的供应商不足3家的，应重新组织采购，评审期间通过资格审查的供应商或者对磋商响应文件作出实质响应的供应商不足3家的，应重新组织采购。</w:t>
      </w:r>
      <w:bookmarkEnd w:id="159"/>
      <w:bookmarkEnd w:id="160"/>
      <w:bookmarkEnd w:id="161"/>
    </w:p>
    <w:p w14:paraId="31BD86C4">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bookmarkStart w:id="162" w:name="_Toc13604_WPSOffice_Level3"/>
      <w:r>
        <w:rPr>
          <w:rFonts w:hint="eastAsia" w:asciiTheme="minorEastAsia" w:hAnsiTheme="minorEastAsia" w:eastAsiaTheme="minorEastAsia" w:cstheme="minorEastAsia"/>
          <w:sz w:val="24"/>
          <w:szCs w:val="24"/>
        </w:rPr>
        <w:t>质疑程序及处理</w:t>
      </w:r>
      <w:bookmarkEnd w:id="162"/>
    </w:p>
    <w:p w14:paraId="0099B6A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若竞争性磋商响应人认为其磋商未获公平评审或磋商文件、采购过程和成交结果使自己的合法权益受到损害，可以在知道或者应知其权益受到损害之日起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14:paraId="03F9575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（一）对可以质疑的磋商文件提出质疑的，为收到磋商文件之日或者磋商文件公告期限届满之日；</w:t>
      </w:r>
    </w:p>
    <w:p w14:paraId="399519B3">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（二）对采购过程提出质疑的，为各采购程序环节结束之日；</w:t>
      </w:r>
    </w:p>
    <w:p w14:paraId="666B694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（三）对成交结果提出质疑的，为成交结果公告期限届满之日。</w:t>
      </w:r>
    </w:p>
    <w:p w14:paraId="5F9A13C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质疑书应当包括下列主要内容，并按照“谁主张、谁举证”的原则，附上相关证明材料。否则，采购人不予受理：</w:t>
      </w:r>
    </w:p>
    <w:p w14:paraId="5BB7B2F4">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（一）质疑磋商响应供应商全称、地址、法定代表人、联系人及联系电话、邮政编码等；</w:t>
      </w:r>
    </w:p>
    <w:p w14:paraId="6109DC9D">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（二）被质疑采购项目的名称、编号；</w:t>
      </w:r>
    </w:p>
    <w:p w14:paraId="22342F5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（三）质疑的具体事项、明确的请求和主张；</w:t>
      </w:r>
    </w:p>
    <w:p w14:paraId="54F869E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（四）质疑所依据的法律依据（具体条款）、具体事实和具体理由。质疑书依据理由部分只有主观陈述、推理、猜测等，而没有提供客观事实依据、法律依据的；</w:t>
      </w:r>
    </w:p>
    <w:p w14:paraId="58C6B31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19F17F2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（六）充足有效的相关证明材料；如果涉及到产品功能或技术指标的，应出具相关制造商的证明文件；</w:t>
      </w:r>
    </w:p>
    <w:p w14:paraId="2CE1CEC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（七）质疑材料中有外文资料的，应一并附上中文译本，并以中文译本为准。</w:t>
      </w:r>
    </w:p>
    <w:p w14:paraId="77C6A063">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（八）提起质疑的日期</w:t>
      </w:r>
    </w:p>
    <w:p w14:paraId="2D1C12F2">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32AEE4E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磋商响应供应商委托代理人办理质疑事宜，应当提交授权委托书，并载明委托代理的具体权限和事项。授权委托书应当由委托人签字并加盖单位公章。</w:t>
      </w:r>
    </w:p>
    <w:p w14:paraId="14109032">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4BFF6692">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35F73AA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B498DE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采购人将在收到符合上述条件的书面质疑后 7 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3FF09FD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质疑供应商对采购人的答复不满意以及采购人未在规定的时间内做出答复的， 可以在答复期满后 15 个工作日内向财政部门投诉。</w:t>
      </w:r>
    </w:p>
    <w:p w14:paraId="5D8EA3D0">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33.招标代理服务收费参照豫招协[2023]002号河南省招标投标协会关于印发《河南省招标代理服务收费指导意见》规定的收费标准收取中标服务费。</w:t>
      </w:r>
    </w:p>
    <w:p w14:paraId="187F97CA">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河南省招标代理服务费计算标准</w:t>
      </w:r>
    </w:p>
    <w:tbl>
      <w:tblPr>
        <w:tblStyle w:val="16"/>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4B70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6859D4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700FF0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D694FD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81CF67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3314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AF974B3">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4B4CDC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502A37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19A73B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559A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22D85E2">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E0AA0A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3C6581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E74A2D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7A33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51BDBF6">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0A0319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72D4D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186D6D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3183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96BC53F">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8861AE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FC4434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05374C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360C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24C4B19">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0DA02A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A6E60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32EB9F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4DF4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F1EA791">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42C586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73D45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10F76E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039F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371D6786">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04AF963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10A2108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1FB15ED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4106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7773400">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68AFE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1691C1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4D3899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6C36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0FB5C01">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D29CC7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81831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04EC24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6078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2909FD5">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A9989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AA27B9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011779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2A8E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7DDC7A4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63DB4FC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71E7F43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 万元，招标代理服务收费计算如下:</w:t>
            </w:r>
          </w:p>
          <w:p w14:paraId="25258C9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3343A79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0C6AC4A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5240ADA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7FD39D0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p w14:paraId="6BA80A4C">
            <w:pPr>
              <w:pStyle w:val="74"/>
              <w:shd w:val="clear" w:color="auto" w:fill="auto"/>
              <w:tabs>
                <w:tab w:val="left" w:pos="992"/>
              </w:tabs>
              <w:spacing w:after="40" w:line="360" w:lineRule="auto"/>
              <w:ind w:left="0" w:leftChars="0" w:firstLine="0" w:firstLineChars="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3</w:t>
            </w:r>
            <w:r>
              <w:rPr>
                <w:rFonts w:hint="eastAsia"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本项目支持河南省政府采购合同融资政策，告知函如下：</w:t>
            </w:r>
          </w:p>
        </w:tc>
      </w:tr>
    </w:tbl>
    <w:p w14:paraId="11E23225">
      <w:pPr>
        <w:pStyle w:val="73"/>
        <w:widowControl w:val="0"/>
        <w:numPr>
          <w:ilvl w:val="0"/>
          <w:numId w:val="0"/>
        </w:numPr>
        <w:tabs>
          <w:tab w:val="left" w:pos="1341"/>
        </w:tabs>
        <w:autoSpaceDE w:val="0"/>
        <w:autoSpaceDN w:val="0"/>
        <w:spacing w:line="328" w:lineRule="auto"/>
        <w:ind w:right="338" w:rightChars="0"/>
        <w:jc w:val="both"/>
        <w:rPr>
          <w:color w:val="auto"/>
          <w:highlight w:val="none"/>
        </w:rPr>
      </w:pPr>
    </w:p>
    <w:p w14:paraId="29ED8A7A">
      <w:pPr>
        <w:pStyle w:val="73"/>
        <w:widowControl w:val="0"/>
        <w:numPr>
          <w:ilvl w:val="0"/>
          <w:numId w:val="0"/>
        </w:numPr>
        <w:tabs>
          <w:tab w:val="left" w:pos="1341"/>
        </w:tabs>
        <w:autoSpaceDE w:val="0"/>
        <w:autoSpaceDN w:val="0"/>
        <w:spacing w:line="328" w:lineRule="auto"/>
        <w:ind w:right="338" w:rightChars="0"/>
        <w:jc w:val="both"/>
        <w:rPr>
          <w:color w:val="auto"/>
          <w:highlight w:val="none"/>
        </w:rPr>
      </w:pPr>
    </w:p>
    <w:bookmarkEnd w:id="21"/>
    <w:p w14:paraId="0E5A011B">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bookmarkStart w:id="163" w:name="_Toc18333"/>
    </w:p>
    <w:p w14:paraId="3277DDCE">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6A596D7A">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75D73AAC">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755E4569">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41295A53">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5D2239D6">
      <w:pPr>
        <w:pStyle w:val="74"/>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3FE0FDEF">
      <w:pPr>
        <w:pStyle w:val="74"/>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29AB5C11">
      <w:pPr>
        <w:pStyle w:val="74"/>
        <w:shd w:val="clear" w:color="auto" w:fill="auto"/>
        <w:tabs>
          <w:tab w:val="left" w:pos="992"/>
        </w:tabs>
        <w:spacing w:after="40" w:line="360" w:lineRule="auto"/>
        <w:ind w:left="0" w:leftChars="0" w:firstLine="0" w:firstLineChars="0"/>
        <w:jc w:val="left"/>
        <w:rPr>
          <w:rFonts w:hint="eastAsia"/>
          <w:color w:val="auto"/>
          <w:lang w:eastAsia="en-US"/>
        </w:rPr>
      </w:pPr>
    </w:p>
    <w:p w14:paraId="499FF491">
      <w:pPr>
        <w:pStyle w:val="74"/>
        <w:shd w:val="clear" w:color="auto" w:fill="auto"/>
        <w:tabs>
          <w:tab w:val="left" w:pos="992"/>
        </w:tabs>
        <w:spacing w:line="240" w:lineRule="auto"/>
        <w:ind w:left="0" w:leftChars="0" w:firstLine="0" w:firstLineChars="0"/>
        <w:jc w:val="left"/>
        <w:rPr>
          <w:rFonts w:hint="eastAsia"/>
          <w:color w:val="auto"/>
          <w:lang w:eastAsia="en-US"/>
        </w:rPr>
      </w:pPr>
    </w:p>
    <w:p w14:paraId="794EE1B1">
      <w:pPr>
        <w:rPr>
          <w:rFonts w:hint="eastAsia"/>
          <w:color w:val="auto"/>
          <w:lang w:eastAsia="en-US"/>
        </w:rPr>
      </w:pPr>
      <w:r>
        <w:rPr>
          <w:rFonts w:hint="eastAsia"/>
          <w:color w:val="auto"/>
          <w:lang w:eastAsia="en-US"/>
        </w:rPr>
        <w:br w:type="page"/>
      </w:r>
    </w:p>
    <w:p w14:paraId="1D8505DD">
      <w:pPr>
        <w:pStyle w:val="74"/>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rPr>
      </w:pPr>
      <w:r>
        <w:rPr>
          <w:rFonts w:hint="eastAsia"/>
          <w:color w:val="auto"/>
          <w:lang w:eastAsia="en-US"/>
        </w:rPr>
        <w:t>附件</w:t>
      </w:r>
      <w:r>
        <w:rPr>
          <w:rFonts w:hint="eastAsia"/>
          <w:color w:val="auto"/>
        </w:rPr>
        <w:t>1</w:t>
      </w:r>
      <w:r>
        <w:rPr>
          <w:rFonts w:hint="eastAsia"/>
          <w:color w:val="auto"/>
          <w:lang w:eastAsia="en-US"/>
        </w:rPr>
        <w:t>：</w:t>
      </w:r>
      <w:r>
        <w:rPr>
          <w:rFonts w:hint="eastAsia" w:ascii="宋体" w:hAnsi="宋体" w:eastAsia="宋体" w:cs="宋体"/>
          <w:b w:val="0"/>
          <w:bCs w:val="0"/>
          <w:color w:val="auto"/>
          <w:sz w:val="24"/>
          <w:szCs w:val="24"/>
          <w:highlight w:val="none"/>
          <w:lang w:eastAsia="en-US"/>
        </w:rPr>
        <w:t>河南省政府采购合同融资政策告知函</w:t>
      </w:r>
    </w:p>
    <w:p w14:paraId="322C7A15">
      <w:pPr>
        <w:pStyle w:val="74"/>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lang w:eastAsia="en-US"/>
        </w:rPr>
      </w:pPr>
      <w:bookmarkStart w:id="164" w:name="_Toc19399"/>
      <w:bookmarkStart w:id="165" w:name="_Toc7567"/>
    </w:p>
    <w:p w14:paraId="76CE7AFB">
      <w:pPr>
        <w:pStyle w:val="74"/>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河南省政府采购合同融资政策告知函</w:t>
      </w:r>
      <w:bookmarkEnd w:id="164"/>
      <w:bookmarkEnd w:id="165"/>
    </w:p>
    <w:p w14:paraId="46E5D857">
      <w:pPr>
        <w:pStyle w:val="74"/>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lang w:eastAsia="en-US"/>
        </w:rPr>
      </w:pPr>
    </w:p>
    <w:p w14:paraId="47FC079D">
      <w:pPr>
        <w:pStyle w:val="74"/>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各</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eastAsia="en-US"/>
        </w:rPr>
        <w:t>：</w:t>
      </w:r>
    </w:p>
    <w:p w14:paraId="0936DF88">
      <w:pPr>
        <w:pStyle w:val="74"/>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欢迎贵公司参与河南省政府采购活动！</w:t>
      </w:r>
    </w:p>
    <w:p w14:paraId="3BFBAE25">
      <w:pPr>
        <w:pStyle w:val="74"/>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政府采购合同融资是河南省财政厅支持中小微企业发展，针对参与政府采购活动的</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eastAsia="en-US"/>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24532457">
      <w:pPr>
        <w:pStyle w:val="74"/>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 w:val="0"/>
          <w:bCs w:val="0"/>
          <w:color w:val="auto"/>
          <w:sz w:val="24"/>
          <w:szCs w:val="24"/>
          <w:highlight w:val="none"/>
        </w:rPr>
      </w:pPr>
      <w:bookmarkStart w:id="166" w:name="_Toc15196"/>
      <w:r>
        <w:rPr>
          <w:rFonts w:hint="eastAsia" w:ascii="宋体" w:hAnsi="宋体" w:eastAsia="宋体" w:cs="宋体"/>
          <w:b w:val="0"/>
          <w:bCs w:val="0"/>
          <w:color w:val="auto"/>
          <w:sz w:val="24"/>
          <w:szCs w:val="24"/>
          <w:highlight w:val="none"/>
        </w:rPr>
        <w:t>贷款渠道和提供贷款的金融机构，可在河南省政府采购网“河南省政府采购合同融资平</w:t>
      </w:r>
    </w:p>
    <w:p w14:paraId="290EC3AF">
      <w:pPr>
        <w:pStyle w:val="74"/>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台”查询联系。</w:t>
      </w:r>
      <w:bookmarkEnd w:id="166"/>
    </w:p>
    <w:p w14:paraId="0445FB9D">
      <w:pPr>
        <w:pStyle w:val="74"/>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53428DFE">
      <w:pPr>
        <w:pStyle w:val="74"/>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附件2</w:t>
      </w:r>
    </w:p>
    <w:p w14:paraId="7417F3E6">
      <w:pPr>
        <w:pStyle w:val="74"/>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卢氏县政府采购合同融资政策告知书各供应商:</w:t>
      </w:r>
    </w:p>
    <w:p w14:paraId="738FAD46">
      <w:pPr>
        <w:pStyle w:val="74"/>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w:t>
      </w:r>
    </w:p>
    <w:p w14:paraId="51EE3EED">
      <w:pPr>
        <w:pStyle w:val="74"/>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供应商朋友们进一步了解政府采购融资政策和获取贷款的流程.</w:t>
      </w:r>
    </w:p>
    <w:p w14:paraId="65120537">
      <w:pPr>
        <w:pStyle w:val="74"/>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特别提醒:该告知书仅统计了我县部分可以提供线上融资的金融机构，凡参与我县政府采购项目，有融资需求的本地或外地中标(中标)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0DABDF5">
      <w:pPr>
        <w:pStyle w:val="74"/>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联系电话:0398-7863556</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3"/>
        <w:gridCol w:w="3304"/>
        <w:gridCol w:w="3304"/>
      </w:tblGrid>
      <w:tr w14:paraId="3D10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vAlign w:val="center"/>
          </w:tcPr>
          <w:p w14:paraId="45E85592">
            <w:pPr>
              <w:pStyle w:val="74"/>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单位名称</w:t>
            </w:r>
          </w:p>
        </w:tc>
        <w:tc>
          <w:tcPr>
            <w:tcW w:w="3304" w:type="dxa"/>
            <w:vAlign w:val="center"/>
          </w:tcPr>
          <w:p w14:paraId="7E5D3A1A">
            <w:pPr>
              <w:pStyle w:val="74"/>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联系人</w:t>
            </w:r>
          </w:p>
        </w:tc>
        <w:tc>
          <w:tcPr>
            <w:tcW w:w="3304" w:type="dxa"/>
            <w:vAlign w:val="center"/>
          </w:tcPr>
          <w:p w14:paraId="0BAD409F">
            <w:pPr>
              <w:pStyle w:val="74"/>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联系方式</w:t>
            </w:r>
          </w:p>
        </w:tc>
      </w:tr>
      <w:tr w14:paraId="417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75E0C58">
            <w:pPr>
              <w:pStyle w:val="74"/>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中国建设银行股份有限公司卢氏支行</w:t>
            </w:r>
          </w:p>
        </w:tc>
        <w:tc>
          <w:tcPr>
            <w:tcW w:w="3304" w:type="dxa"/>
            <w:vAlign w:val="center"/>
          </w:tcPr>
          <w:p w14:paraId="435EE9BA">
            <w:pPr>
              <w:pStyle w:val="74"/>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张江涛</w:t>
            </w:r>
          </w:p>
        </w:tc>
        <w:tc>
          <w:tcPr>
            <w:tcW w:w="3304" w:type="dxa"/>
            <w:vAlign w:val="center"/>
          </w:tcPr>
          <w:p w14:paraId="048F1400">
            <w:pPr>
              <w:pStyle w:val="74"/>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18739850204</w:t>
            </w:r>
          </w:p>
        </w:tc>
      </w:tr>
      <w:tr w14:paraId="4165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37BC380">
            <w:pPr>
              <w:pStyle w:val="74"/>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中国农业银行股份有限公司卢氏县支行</w:t>
            </w:r>
          </w:p>
        </w:tc>
        <w:tc>
          <w:tcPr>
            <w:tcW w:w="3304" w:type="dxa"/>
            <w:vAlign w:val="center"/>
          </w:tcPr>
          <w:p w14:paraId="34815B34">
            <w:pPr>
              <w:pStyle w:val="74"/>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代仁旺</w:t>
            </w:r>
          </w:p>
        </w:tc>
        <w:tc>
          <w:tcPr>
            <w:tcW w:w="3304" w:type="dxa"/>
            <w:vAlign w:val="center"/>
          </w:tcPr>
          <w:p w14:paraId="7A506E1F">
            <w:pPr>
              <w:pStyle w:val="74"/>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18939062604</w:t>
            </w:r>
          </w:p>
        </w:tc>
      </w:tr>
      <w:tr w14:paraId="2A90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4B8D26EF">
            <w:pPr>
              <w:pStyle w:val="74"/>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中原银行股份有限公司卢氏支行</w:t>
            </w:r>
          </w:p>
        </w:tc>
        <w:tc>
          <w:tcPr>
            <w:tcW w:w="3304" w:type="dxa"/>
            <w:vAlign w:val="center"/>
          </w:tcPr>
          <w:p w14:paraId="752072B4">
            <w:pPr>
              <w:pStyle w:val="74"/>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李 博</w:t>
            </w:r>
          </w:p>
        </w:tc>
        <w:tc>
          <w:tcPr>
            <w:tcW w:w="3304" w:type="dxa"/>
            <w:vAlign w:val="center"/>
          </w:tcPr>
          <w:p w14:paraId="5A336943">
            <w:pPr>
              <w:pStyle w:val="74"/>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15839857887</w:t>
            </w:r>
          </w:p>
        </w:tc>
      </w:tr>
    </w:tbl>
    <w:p w14:paraId="626364D8">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11BEA9C9">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5D2E71DA">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2D5F7488">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32174E63">
      <w:pPr>
        <w:snapToGrid w:val="0"/>
        <w:spacing w:beforeAutospacing="0" w:afterAutospacing="0" w:line="360" w:lineRule="auto"/>
        <w:jc w:val="center"/>
        <w:outlineLvl w:val="0"/>
        <w:rPr>
          <w:rFonts w:hint="eastAsia" w:ascii="宋体" w:hAnsi="宋体" w:eastAsia="宋体"/>
          <w:b/>
          <w:bCs/>
          <w:color w:val="auto"/>
          <w:kern w:val="0"/>
          <w:sz w:val="44"/>
          <w:szCs w:val="44"/>
          <w:highlight w:val="none"/>
        </w:rPr>
      </w:pPr>
      <w:r>
        <w:rPr>
          <w:rFonts w:hint="eastAsia" w:ascii="宋体" w:hAnsi="宋体"/>
          <w:b/>
          <w:bCs/>
          <w:color w:val="auto"/>
          <w:kern w:val="0"/>
          <w:sz w:val="44"/>
          <w:szCs w:val="44"/>
          <w:highlight w:val="none"/>
          <w:lang w:eastAsia="zh-CN"/>
        </w:rPr>
        <w:t>第三章</w:t>
      </w:r>
      <w:r>
        <w:rPr>
          <w:rFonts w:hint="eastAsia" w:ascii="宋体" w:hAnsi="宋体"/>
          <w:b/>
          <w:bCs/>
          <w:color w:val="auto"/>
          <w:kern w:val="0"/>
          <w:sz w:val="44"/>
          <w:szCs w:val="44"/>
          <w:highlight w:val="none"/>
          <w:lang w:val="en-US" w:eastAsia="zh-CN"/>
        </w:rPr>
        <w:t xml:space="preserve">  </w:t>
      </w:r>
      <w:r>
        <w:rPr>
          <w:rFonts w:hint="eastAsia" w:ascii="宋体" w:hAnsi="宋体" w:eastAsia="宋体"/>
          <w:b/>
          <w:bCs/>
          <w:color w:val="auto"/>
          <w:kern w:val="0"/>
          <w:sz w:val="44"/>
          <w:szCs w:val="44"/>
          <w:highlight w:val="none"/>
        </w:rPr>
        <w:t>服务需求及技术要求</w:t>
      </w:r>
      <w:bookmarkEnd w:id="163"/>
    </w:p>
    <w:tbl>
      <w:tblPr>
        <w:tblStyle w:val="16"/>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2016"/>
        <w:gridCol w:w="6884"/>
      </w:tblGrid>
      <w:tr w14:paraId="0898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37" w:type="dxa"/>
            <w:noWrap w:val="0"/>
            <w:vAlign w:val="center"/>
          </w:tcPr>
          <w:p w14:paraId="358D150F">
            <w:pPr>
              <w:spacing w:line="480" w:lineRule="exact"/>
              <w:jc w:val="center"/>
              <w:rPr>
                <w:rFonts w:ascii="宋体" w:hAnsi="宋体" w:cs="微软雅黑"/>
                <w:bCs/>
                <w:sz w:val="24"/>
                <w:szCs w:val="24"/>
              </w:rPr>
            </w:pPr>
            <w:r>
              <w:rPr>
                <w:rFonts w:hint="eastAsia" w:ascii="宋体" w:hAnsi="宋体" w:cs="微软雅黑"/>
                <w:bCs/>
                <w:sz w:val="24"/>
                <w:szCs w:val="24"/>
              </w:rPr>
              <w:t>编号</w:t>
            </w:r>
          </w:p>
        </w:tc>
        <w:tc>
          <w:tcPr>
            <w:tcW w:w="2016" w:type="dxa"/>
            <w:noWrap w:val="0"/>
            <w:vAlign w:val="center"/>
          </w:tcPr>
          <w:p w14:paraId="54DEB50F">
            <w:pPr>
              <w:spacing w:line="480" w:lineRule="exact"/>
              <w:jc w:val="center"/>
              <w:rPr>
                <w:rFonts w:ascii="宋体" w:hAnsi="宋体" w:cs="微软雅黑"/>
                <w:bCs/>
                <w:sz w:val="24"/>
                <w:szCs w:val="24"/>
              </w:rPr>
            </w:pPr>
            <w:r>
              <w:rPr>
                <w:rFonts w:hint="eastAsia" w:ascii="宋体" w:hAnsi="宋体" w:cs="微软雅黑"/>
                <w:bCs/>
                <w:sz w:val="24"/>
                <w:szCs w:val="24"/>
              </w:rPr>
              <w:t>采购项目</w:t>
            </w:r>
          </w:p>
        </w:tc>
        <w:tc>
          <w:tcPr>
            <w:tcW w:w="6884" w:type="dxa"/>
            <w:noWrap w:val="0"/>
            <w:vAlign w:val="center"/>
          </w:tcPr>
          <w:p w14:paraId="28C78330">
            <w:pPr>
              <w:spacing w:line="480" w:lineRule="exact"/>
              <w:jc w:val="center"/>
              <w:rPr>
                <w:rFonts w:ascii="宋体" w:hAnsi="宋体" w:cs="微软雅黑"/>
                <w:bCs/>
                <w:sz w:val="24"/>
                <w:szCs w:val="24"/>
              </w:rPr>
            </w:pPr>
            <w:r>
              <w:rPr>
                <w:rFonts w:hint="eastAsia" w:ascii="宋体" w:hAnsi="宋体" w:cs="微软雅黑"/>
                <w:bCs/>
                <w:sz w:val="24"/>
                <w:szCs w:val="24"/>
              </w:rPr>
              <w:t>采购内容</w:t>
            </w:r>
          </w:p>
        </w:tc>
      </w:tr>
      <w:tr w14:paraId="1950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837" w:type="dxa"/>
            <w:noWrap w:val="0"/>
            <w:vAlign w:val="center"/>
          </w:tcPr>
          <w:p w14:paraId="4BF810C5">
            <w:pPr>
              <w:spacing w:line="480" w:lineRule="exact"/>
              <w:jc w:val="center"/>
              <w:rPr>
                <w:rFonts w:ascii="宋体" w:hAnsi="宋体"/>
                <w:sz w:val="24"/>
                <w:szCs w:val="24"/>
              </w:rPr>
            </w:pPr>
            <w:r>
              <w:rPr>
                <w:rFonts w:hint="eastAsia" w:ascii="宋体" w:hAnsi="宋体"/>
                <w:sz w:val="24"/>
                <w:szCs w:val="24"/>
              </w:rPr>
              <w:t>1</w:t>
            </w:r>
          </w:p>
        </w:tc>
        <w:tc>
          <w:tcPr>
            <w:tcW w:w="2016" w:type="dxa"/>
            <w:noWrap w:val="0"/>
            <w:vAlign w:val="center"/>
          </w:tcPr>
          <w:p w14:paraId="7039AC44">
            <w:pPr>
              <w:spacing w:line="480" w:lineRule="exact"/>
              <w:jc w:val="center"/>
              <w:rPr>
                <w:rFonts w:ascii="宋体" w:hAnsi="宋体" w:cs="微软雅黑"/>
                <w:bCs/>
                <w:szCs w:val="24"/>
              </w:rPr>
            </w:pPr>
            <w:r>
              <w:rPr>
                <w:rFonts w:hint="eastAsia" w:ascii="宋体" w:hAnsi="宋体" w:eastAsia="宋体" w:cs="微软雅黑"/>
                <w:bCs/>
                <w:sz w:val="24"/>
                <w:szCs w:val="24"/>
              </w:rPr>
              <w:t>案例数据和知识研发</w:t>
            </w:r>
          </w:p>
        </w:tc>
        <w:tc>
          <w:tcPr>
            <w:tcW w:w="6884" w:type="dxa"/>
            <w:noWrap w:val="0"/>
            <w:vAlign w:val="top"/>
          </w:tcPr>
          <w:p w14:paraId="3A7BE84F">
            <w:pPr>
              <w:spacing w:line="480" w:lineRule="exact"/>
              <w:jc w:val="left"/>
              <w:rPr>
                <w:rFonts w:hint="eastAsia" w:ascii="宋体" w:hAnsi="宋体" w:eastAsia="宋体" w:cs="微软雅黑"/>
                <w:bCs/>
                <w:sz w:val="24"/>
                <w:szCs w:val="24"/>
              </w:rPr>
            </w:pPr>
            <w:r>
              <w:rPr>
                <w:rFonts w:hint="eastAsia" w:ascii="宋体" w:hAnsi="宋体" w:eastAsia="宋体" w:cs="微软雅黑"/>
                <w:bCs/>
                <w:sz w:val="24"/>
                <w:szCs w:val="24"/>
              </w:rPr>
              <w:t>开展对</w:t>
            </w:r>
            <w:r>
              <w:rPr>
                <w:rFonts w:hint="eastAsia" w:ascii="宋体" w:hAnsi="宋体" w:eastAsia="宋体" w:cs="微软雅黑"/>
                <w:bCs/>
                <w:sz w:val="24"/>
                <w:szCs w:val="24"/>
                <w:lang w:val="en-US"/>
              </w:rPr>
              <w:t>卢氏蜂蜜</w:t>
            </w:r>
            <w:r>
              <w:rPr>
                <w:rFonts w:hint="eastAsia" w:ascii="宋体" w:hAnsi="宋体" w:eastAsia="宋体" w:cs="微软雅黑"/>
                <w:bCs/>
                <w:sz w:val="24"/>
                <w:szCs w:val="24"/>
              </w:rPr>
              <w:t>分布区调查，开展</w:t>
            </w:r>
            <w:r>
              <w:rPr>
                <w:rFonts w:hint="eastAsia" w:ascii="宋体" w:hAnsi="宋体" w:eastAsia="宋体" w:cs="微软雅黑"/>
                <w:bCs/>
                <w:sz w:val="24"/>
                <w:szCs w:val="24"/>
                <w:lang w:val="en-US"/>
              </w:rPr>
              <w:t>卢氏蜂蜜</w:t>
            </w:r>
            <w:r>
              <w:rPr>
                <w:rFonts w:hint="eastAsia" w:ascii="宋体" w:hAnsi="宋体" w:eastAsia="宋体" w:cs="微软雅黑"/>
                <w:bCs/>
                <w:sz w:val="24"/>
                <w:szCs w:val="24"/>
              </w:rPr>
              <w:t>生境相关的气候、土壤、水、</w:t>
            </w:r>
            <w:r>
              <w:rPr>
                <w:rFonts w:hint="eastAsia" w:ascii="宋体" w:hAnsi="宋体" w:eastAsia="宋体" w:cs="微软雅黑"/>
                <w:bCs/>
                <w:sz w:val="24"/>
                <w:szCs w:val="24"/>
                <w:lang w:val="en-US"/>
              </w:rPr>
              <w:t>花类型、花期</w:t>
            </w:r>
            <w:r>
              <w:rPr>
                <w:rFonts w:hint="eastAsia" w:ascii="宋体" w:hAnsi="宋体" w:eastAsia="宋体" w:cs="微软雅黑"/>
                <w:bCs/>
                <w:sz w:val="24"/>
                <w:szCs w:val="24"/>
              </w:rPr>
              <w:t>等现状调查，完成典型地区土壤、水资源、</w:t>
            </w:r>
            <w:r>
              <w:rPr>
                <w:rFonts w:hint="eastAsia" w:ascii="宋体" w:hAnsi="宋体" w:eastAsia="宋体" w:cs="微软雅黑"/>
                <w:bCs/>
                <w:sz w:val="24"/>
                <w:szCs w:val="24"/>
                <w:lang w:val="en-US"/>
              </w:rPr>
              <w:t>蜂蜜</w:t>
            </w:r>
            <w:r>
              <w:rPr>
                <w:rFonts w:hint="eastAsia" w:ascii="宋体" w:hAnsi="宋体" w:eastAsia="宋体" w:cs="微软雅黑"/>
                <w:bCs/>
                <w:sz w:val="24"/>
                <w:szCs w:val="24"/>
              </w:rPr>
              <w:t>测试等数据生产，通过</w:t>
            </w:r>
            <w:r>
              <w:rPr>
                <w:rFonts w:hint="eastAsia" w:ascii="宋体" w:hAnsi="宋体" w:cs="微软雅黑"/>
                <w:bCs/>
                <w:sz w:val="24"/>
                <w:szCs w:val="24"/>
                <w:lang w:val="en-US" w:eastAsia="zh-CN"/>
              </w:rPr>
              <w:t>卢氏蜂蜜优质地理产品生境保护与可持续发展</w:t>
            </w:r>
            <w:r>
              <w:rPr>
                <w:rFonts w:hint="eastAsia" w:ascii="宋体" w:hAnsi="宋体" w:eastAsia="宋体" w:cs="微软雅黑"/>
                <w:bCs/>
                <w:sz w:val="24"/>
                <w:szCs w:val="24"/>
              </w:rPr>
              <w:t>案例评审与发布。</w:t>
            </w:r>
          </w:p>
        </w:tc>
      </w:tr>
      <w:tr w14:paraId="53DE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37" w:type="dxa"/>
            <w:noWrap w:val="0"/>
            <w:vAlign w:val="center"/>
          </w:tcPr>
          <w:p w14:paraId="3A13E393">
            <w:pPr>
              <w:spacing w:line="480" w:lineRule="exact"/>
              <w:jc w:val="center"/>
              <w:rPr>
                <w:rFonts w:ascii="宋体" w:hAnsi="宋体"/>
                <w:sz w:val="24"/>
                <w:szCs w:val="24"/>
              </w:rPr>
            </w:pPr>
            <w:r>
              <w:rPr>
                <w:rFonts w:hint="eastAsia" w:ascii="宋体" w:hAnsi="宋体"/>
                <w:sz w:val="24"/>
                <w:szCs w:val="24"/>
              </w:rPr>
              <w:t>2</w:t>
            </w:r>
          </w:p>
        </w:tc>
        <w:tc>
          <w:tcPr>
            <w:tcW w:w="2016" w:type="dxa"/>
            <w:noWrap w:val="0"/>
            <w:vAlign w:val="center"/>
          </w:tcPr>
          <w:p w14:paraId="1F513246">
            <w:pPr>
              <w:pStyle w:val="13"/>
              <w:widowControl/>
              <w:adjustRightInd w:val="0"/>
              <w:snapToGrid w:val="0"/>
              <w:spacing w:line="480" w:lineRule="exact"/>
              <w:jc w:val="center"/>
              <w:rPr>
                <w:rFonts w:hint="eastAsia" w:ascii="宋体" w:hAnsi="宋体" w:eastAsia="宋体" w:cs="微软雅黑"/>
                <w:bCs/>
                <w:kern w:val="2"/>
                <w:sz w:val="24"/>
                <w:szCs w:val="24"/>
                <w:lang w:val="en-US" w:eastAsia="zh-CN" w:bidi="ar-SA"/>
              </w:rPr>
            </w:pPr>
            <w:r>
              <w:rPr>
                <w:rFonts w:hint="eastAsia" w:ascii="宋体" w:hAnsi="宋体" w:eastAsia="宋体" w:cs="微软雅黑"/>
                <w:bCs/>
                <w:kern w:val="2"/>
                <w:sz w:val="24"/>
                <w:szCs w:val="24"/>
                <w:lang w:val="en-US" w:eastAsia="zh-CN" w:bidi="ar-SA"/>
              </w:rPr>
              <w:t>案例标准研发</w:t>
            </w:r>
          </w:p>
        </w:tc>
        <w:tc>
          <w:tcPr>
            <w:tcW w:w="6884" w:type="dxa"/>
            <w:noWrap w:val="0"/>
            <w:vAlign w:val="center"/>
          </w:tcPr>
          <w:p w14:paraId="3E0C5C96">
            <w:pPr>
              <w:spacing w:line="480" w:lineRule="exact"/>
              <w:jc w:val="left"/>
              <w:rPr>
                <w:rFonts w:hint="eastAsia" w:ascii="宋体" w:hAnsi="宋体" w:eastAsia="宋体" w:cs="微软雅黑"/>
                <w:bCs/>
                <w:sz w:val="24"/>
                <w:szCs w:val="24"/>
              </w:rPr>
            </w:pPr>
            <w:r>
              <w:rPr>
                <w:rFonts w:hint="eastAsia" w:ascii="宋体" w:hAnsi="宋体" w:eastAsia="宋体" w:cs="微软雅黑"/>
                <w:bCs/>
                <w:sz w:val="24"/>
                <w:szCs w:val="24"/>
              </w:rPr>
              <w:t>对标国家生态环境、</w:t>
            </w:r>
            <w:r>
              <w:rPr>
                <w:rFonts w:hint="eastAsia" w:ascii="宋体" w:hAnsi="宋体" w:eastAsia="宋体" w:cs="微软雅黑"/>
                <w:bCs/>
                <w:sz w:val="24"/>
                <w:szCs w:val="24"/>
                <w:lang w:val="en-US"/>
              </w:rPr>
              <w:t>蜂蜜</w:t>
            </w:r>
            <w:r>
              <w:rPr>
                <w:rFonts w:hint="eastAsia" w:ascii="宋体" w:hAnsi="宋体" w:eastAsia="宋体" w:cs="微软雅黑"/>
                <w:bCs/>
                <w:sz w:val="24"/>
                <w:szCs w:val="24"/>
              </w:rPr>
              <w:t>等相关国家标准、欧盟标准，制定卢氏蜂蜜优质地理产品生境保护与可持续发展案例团体标准。</w:t>
            </w:r>
          </w:p>
        </w:tc>
      </w:tr>
      <w:tr w14:paraId="2A7C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837" w:type="dxa"/>
            <w:noWrap w:val="0"/>
            <w:vAlign w:val="center"/>
          </w:tcPr>
          <w:p w14:paraId="67C5DE22">
            <w:pPr>
              <w:spacing w:line="480" w:lineRule="exact"/>
              <w:jc w:val="center"/>
              <w:rPr>
                <w:rFonts w:ascii="宋体" w:hAnsi="宋体"/>
                <w:sz w:val="24"/>
                <w:szCs w:val="24"/>
              </w:rPr>
            </w:pPr>
            <w:r>
              <w:rPr>
                <w:rFonts w:hint="eastAsia" w:ascii="宋体" w:hAnsi="宋体"/>
                <w:sz w:val="24"/>
                <w:szCs w:val="24"/>
              </w:rPr>
              <w:t>3</w:t>
            </w:r>
          </w:p>
        </w:tc>
        <w:tc>
          <w:tcPr>
            <w:tcW w:w="2016" w:type="dxa"/>
            <w:noWrap w:val="0"/>
            <w:vAlign w:val="center"/>
          </w:tcPr>
          <w:p w14:paraId="18136615">
            <w:pPr>
              <w:spacing w:line="480" w:lineRule="exact"/>
              <w:jc w:val="center"/>
              <w:rPr>
                <w:rFonts w:hint="eastAsia" w:ascii="宋体" w:hAnsi="宋体" w:eastAsia="宋体" w:cs="微软雅黑"/>
                <w:bCs/>
                <w:sz w:val="24"/>
                <w:szCs w:val="24"/>
                <w:lang w:val="en-US"/>
              </w:rPr>
            </w:pPr>
            <w:r>
              <w:rPr>
                <w:rFonts w:hint="eastAsia" w:ascii="宋体" w:hAnsi="宋体" w:eastAsia="宋体" w:cs="微软雅黑"/>
                <w:bCs/>
                <w:sz w:val="24"/>
                <w:szCs w:val="24"/>
                <w:lang w:val="en-US"/>
              </w:rPr>
              <w:t>地标生境地面站</w:t>
            </w:r>
          </w:p>
        </w:tc>
        <w:tc>
          <w:tcPr>
            <w:tcW w:w="6884" w:type="dxa"/>
            <w:noWrap w:val="0"/>
            <w:vAlign w:val="center"/>
          </w:tcPr>
          <w:p w14:paraId="4391D4F9">
            <w:pPr>
              <w:spacing w:line="480" w:lineRule="exact"/>
              <w:jc w:val="left"/>
              <w:rPr>
                <w:rFonts w:hint="eastAsia" w:ascii="宋体" w:hAnsi="宋体" w:eastAsia="宋体" w:cs="微软雅黑"/>
                <w:bCs/>
                <w:sz w:val="24"/>
                <w:szCs w:val="24"/>
              </w:rPr>
            </w:pPr>
            <w:r>
              <w:rPr>
                <w:rFonts w:hint="eastAsia" w:ascii="宋体" w:hAnsi="宋体" w:eastAsia="宋体" w:cs="微软雅黑"/>
                <w:bCs/>
                <w:sz w:val="24"/>
                <w:szCs w:val="24"/>
              </w:rPr>
              <w:t>在卢氏蜂蜜优质地理产品生境保护与可持续发展案例典型地段，设置地标生境主要指标实时开放信息地面站</w:t>
            </w:r>
            <w:r>
              <w:rPr>
                <w:rFonts w:hint="eastAsia" w:ascii="宋体" w:hAnsi="宋体" w:cs="微软雅黑"/>
                <w:bCs/>
                <w:sz w:val="24"/>
                <w:szCs w:val="24"/>
                <w:lang w:eastAsia="zh-CN"/>
              </w:rPr>
              <w:t>，</w:t>
            </w:r>
            <w:r>
              <w:rPr>
                <w:rFonts w:hint="eastAsia" w:ascii="宋体" w:hAnsi="宋体" w:eastAsia="宋体" w:cs="微软雅黑"/>
                <w:bCs/>
                <w:sz w:val="24"/>
                <w:szCs w:val="24"/>
              </w:rPr>
              <w:t>主要指标包括能够反映案例良好生态环境并在大众中随时可以查询到的近实时信息。</w:t>
            </w:r>
          </w:p>
        </w:tc>
      </w:tr>
      <w:tr w14:paraId="3478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837" w:type="dxa"/>
            <w:noWrap w:val="0"/>
            <w:vAlign w:val="center"/>
          </w:tcPr>
          <w:p w14:paraId="147D2231">
            <w:pPr>
              <w:spacing w:line="48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2016" w:type="dxa"/>
            <w:noWrap w:val="0"/>
            <w:vAlign w:val="center"/>
          </w:tcPr>
          <w:p w14:paraId="1610A02B">
            <w:pPr>
              <w:spacing w:line="480" w:lineRule="exact"/>
              <w:jc w:val="center"/>
              <w:rPr>
                <w:rFonts w:hint="eastAsia" w:ascii="宋体" w:hAnsi="宋体" w:eastAsia="宋体" w:cs="微软雅黑"/>
                <w:bCs/>
                <w:sz w:val="24"/>
                <w:szCs w:val="24"/>
                <w:lang w:val="en-US"/>
              </w:rPr>
            </w:pPr>
            <w:r>
              <w:rPr>
                <w:rFonts w:hint="eastAsia" w:ascii="宋体" w:hAnsi="宋体" w:eastAsia="宋体" w:cs="微软雅黑"/>
                <w:bCs/>
                <w:sz w:val="24"/>
                <w:szCs w:val="24"/>
                <w:lang w:val="en-US"/>
              </w:rPr>
              <w:t>溯源系统与品牌建设</w:t>
            </w:r>
          </w:p>
        </w:tc>
        <w:tc>
          <w:tcPr>
            <w:tcW w:w="6884" w:type="dxa"/>
            <w:noWrap w:val="0"/>
            <w:vAlign w:val="center"/>
          </w:tcPr>
          <w:p w14:paraId="4D612820">
            <w:pPr>
              <w:spacing w:line="480" w:lineRule="exact"/>
              <w:jc w:val="left"/>
              <w:rPr>
                <w:rFonts w:hint="eastAsia" w:ascii="宋体" w:hAnsi="宋体" w:eastAsia="宋体" w:cs="微软雅黑"/>
                <w:bCs/>
                <w:sz w:val="24"/>
                <w:szCs w:val="24"/>
              </w:rPr>
            </w:pPr>
            <w:r>
              <w:rPr>
                <w:rFonts w:hint="eastAsia" w:ascii="宋体" w:hAnsi="宋体" w:eastAsia="宋体" w:cs="微软雅黑"/>
                <w:bCs/>
                <w:sz w:val="24"/>
                <w:szCs w:val="24"/>
              </w:rPr>
              <w:t>开展卢氏蜂蜜优质地理产品生境保护与可持续发展案例科学家团队组成、评审、标识、出版、传播、知识产权授权与保护、与民生对接等。开展中英文双语出版和传播模式，在全球变化科学研究数据出版系统世界数据中心、科创中国—地标生境案例集群网上设立独有、永久性网址予以传播和推介。</w:t>
            </w:r>
          </w:p>
        </w:tc>
      </w:tr>
    </w:tbl>
    <w:p w14:paraId="29704527">
      <w:pPr>
        <w:rPr>
          <w:rFonts w:hint="eastAsia" w:ascii="宋体" w:hAnsi="宋体" w:eastAsia="宋体"/>
          <w:b/>
          <w:bCs/>
          <w:color w:val="auto"/>
          <w:sz w:val="44"/>
          <w:szCs w:val="44"/>
          <w:highlight w:val="none"/>
        </w:rPr>
      </w:pPr>
      <w:bookmarkStart w:id="167" w:name="评审标准"/>
      <w:bookmarkEnd w:id="167"/>
      <w:bookmarkStart w:id="168" w:name="_Toc19915"/>
      <w:r>
        <w:rPr>
          <w:rFonts w:hint="eastAsia" w:ascii="宋体" w:hAnsi="宋体" w:eastAsia="宋体"/>
          <w:b/>
          <w:bCs/>
          <w:color w:val="auto"/>
          <w:sz w:val="44"/>
          <w:szCs w:val="44"/>
          <w:highlight w:val="none"/>
        </w:rPr>
        <w:br w:type="page"/>
      </w:r>
    </w:p>
    <w:p w14:paraId="6BEEBE27">
      <w:pPr>
        <w:snapToGrid w:val="0"/>
        <w:spacing w:beforeAutospacing="0" w:afterAutospacing="0" w:line="360" w:lineRule="auto"/>
        <w:jc w:val="center"/>
        <w:outlineLvl w:val="0"/>
        <w:rPr>
          <w:rFonts w:ascii="宋体" w:hAnsi="宋体" w:eastAsia="宋体"/>
          <w:b/>
          <w:bCs/>
          <w:color w:val="auto"/>
          <w:kern w:val="0"/>
          <w:sz w:val="24"/>
          <w:szCs w:val="24"/>
          <w:highlight w:val="none"/>
        </w:rPr>
      </w:pPr>
      <w:r>
        <w:rPr>
          <w:rFonts w:hint="eastAsia" w:ascii="宋体" w:hAnsi="宋体" w:eastAsia="宋体"/>
          <w:b/>
          <w:bCs/>
          <w:color w:val="auto"/>
          <w:sz w:val="44"/>
          <w:szCs w:val="44"/>
          <w:highlight w:val="none"/>
        </w:rPr>
        <w:t>第</w:t>
      </w:r>
      <w:r>
        <w:rPr>
          <w:rFonts w:hint="eastAsia" w:ascii="宋体" w:hAnsi="宋体"/>
          <w:b/>
          <w:bCs/>
          <w:color w:val="auto"/>
          <w:sz w:val="44"/>
          <w:szCs w:val="44"/>
          <w:highlight w:val="none"/>
          <w:lang w:eastAsia="zh-CN"/>
        </w:rPr>
        <w:t>四</w:t>
      </w:r>
      <w:r>
        <w:rPr>
          <w:rFonts w:hint="eastAsia" w:ascii="宋体" w:hAnsi="宋体" w:eastAsia="宋体"/>
          <w:b/>
          <w:bCs/>
          <w:color w:val="auto"/>
          <w:sz w:val="44"/>
          <w:szCs w:val="44"/>
          <w:highlight w:val="none"/>
        </w:rPr>
        <w:t>章  评审标准</w:t>
      </w:r>
      <w:bookmarkEnd w:id="168"/>
    </w:p>
    <w:p w14:paraId="3305063D">
      <w:pPr>
        <w:spacing w:beforeAutospacing="0" w:afterAutospacing="0" w:line="360" w:lineRule="auto"/>
        <w:ind w:firstLine="48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 xml:space="preserve">1. </w:t>
      </w:r>
      <w:r>
        <w:rPr>
          <w:rFonts w:hint="eastAsia" w:ascii="宋体" w:hAnsi="宋体" w:eastAsia="宋体"/>
          <w:b/>
          <w:bCs/>
          <w:color w:val="auto"/>
          <w:sz w:val="24"/>
          <w:szCs w:val="24"/>
          <w:highlight w:val="none"/>
        </w:rPr>
        <w:t>磋商文件的评审、比较和否决</w:t>
      </w:r>
    </w:p>
    <w:p w14:paraId="7FFC6248">
      <w:pPr>
        <w:spacing w:beforeAutospacing="0" w:afterAutospacing="0" w:line="360" w:lineRule="auto"/>
        <w:ind w:firstLine="48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1.1</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将按照竞争性磋商文件的规定，仅对在实质上响应竞争性磋商文件要求的磋商文件进行评估和比较。</w:t>
      </w:r>
    </w:p>
    <w:p w14:paraId="1B1C2EE6">
      <w:pPr>
        <w:spacing w:beforeAutospacing="0" w:afterAutospacing="0" w:line="360" w:lineRule="auto"/>
        <w:ind w:firstLine="48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1.2根据相关法律法规及有关招磋商文件规定，结合本项目具体情况，制定本次招标评审标准。并按照“公平、公正、科学、择优”的原则进行评标。采用百分制综合评估法进行评比。</w:t>
      </w:r>
    </w:p>
    <w:p w14:paraId="2D7ECBA6">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1.3在评审过程中，</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可以以书面形式要求磋商供应商就磋商文件中含义不明确的内容进行书面说明并提供相关材料；</w:t>
      </w:r>
      <w:r>
        <w:rPr>
          <w:rFonts w:hint="eastAsia" w:ascii="宋体" w:hAnsi="宋体" w:eastAsia="宋体"/>
          <w:b w:val="0"/>
          <w:bCs w:val="0"/>
          <w:color w:val="auto"/>
          <w:spacing w:val="-6"/>
          <w:sz w:val="24"/>
          <w:szCs w:val="24"/>
          <w:highlight w:val="none"/>
        </w:rPr>
        <w:t>凡遇到竞争性磋商文件中无界定或界定不清、前后不一致使</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pacing w:val="-6"/>
          <w:sz w:val="24"/>
          <w:szCs w:val="24"/>
          <w:highlight w:val="none"/>
        </w:rPr>
        <w:t>成员</w:t>
      </w:r>
      <w:r>
        <w:rPr>
          <w:rFonts w:hint="eastAsia" w:ascii="宋体" w:hAnsi="宋体" w:eastAsia="宋体"/>
          <w:b w:val="0"/>
          <w:bCs w:val="0"/>
          <w:color w:val="auto"/>
          <w:sz w:val="24"/>
          <w:szCs w:val="24"/>
          <w:highlight w:val="none"/>
        </w:rPr>
        <w:t>意见</w:t>
      </w:r>
      <w:r>
        <w:rPr>
          <w:rFonts w:hint="eastAsia" w:ascii="宋体" w:hAnsi="宋体" w:eastAsia="宋体"/>
          <w:b w:val="0"/>
          <w:bCs w:val="0"/>
          <w:color w:val="auto"/>
          <w:spacing w:val="-6"/>
          <w:sz w:val="24"/>
          <w:szCs w:val="24"/>
          <w:highlight w:val="none"/>
        </w:rPr>
        <w:t>有分歧且又难于协商一致的问题，均由</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pacing w:val="-6"/>
          <w:sz w:val="24"/>
          <w:szCs w:val="24"/>
          <w:highlight w:val="none"/>
        </w:rPr>
        <w:t>予以表决，获半数以上同意的即为通过，未获半数同意的即为否决</w:t>
      </w:r>
      <w:r>
        <w:rPr>
          <w:rFonts w:hint="eastAsia" w:ascii="宋体" w:hAnsi="宋体" w:eastAsia="宋体"/>
          <w:b w:val="0"/>
          <w:bCs w:val="0"/>
          <w:color w:val="auto"/>
          <w:sz w:val="24"/>
          <w:szCs w:val="24"/>
          <w:highlight w:val="none"/>
        </w:rPr>
        <w:t>。</w:t>
      </w:r>
    </w:p>
    <w:p w14:paraId="63C3E272">
      <w:pPr>
        <w:spacing w:beforeAutospacing="0" w:afterAutospacing="0" w:line="360" w:lineRule="auto"/>
        <w:ind w:firstLine="480"/>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1.4评标时，投标报价是评标的重要依据，但不是唯一依据，</w:t>
      </w:r>
      <w:r>
        <w:rPr>
          <w:rFonts w:hint="eastAsia" w:ascii="宋体" w:hAnsi="宋体" w:eastAsia="宋体"/>
          <w:b w:val="0"/>
          <w:bCs w:val="0"/>
          <w:color w:val="auto"/>
          <w:sz w:val="24"/>
          <w:szCs w:val="24"/>
          <w:highlight w:val="none"/>
        </w:rPr>
        <w:t>采购人不承诺将合同授予报价最低或最高的磋商供应商。</w:t>
      </w:r>
    </w:p>
    <w:p w14:paraId="15E6AEAA">
      <w:pPr>
        <w:spacing w:beforeAutospacing="0" w:afterAutospacing="0" w:line="360" w:lineRule="auto"/>
        <w:ind w:firstLine="480"/>
        <w:rPr>
          <w:rFonts w:hint="eastAsia" w:ascii="宋体" w:hAnsi="宋体" w:eastAsia="宋体"/>
          <w:b/>
          <w:bCs/>
          <w:color w:val="auto"/>
          <w:sz w:val="24"/>
          <w:szCs w:val="24"/>
          <w:highlight w:val="none"/>
        </w:rPr>
      </w:pPr>
      <w:r>
        <w:rPr>
          <w:rFonts w:hint="eastAsia" w:ascii="宋体" w:hAnsi="宋体" w:eastAsia="宋体"/>
          <w:b w:val="0"/>
          <w:bCs w:val="0"/>
          <w:color w:val="auto"/>
          <w:sz w:val="24"/>
          <w:szCs w:val="24"/>
          <w:highlight w:val="none"/>
        </w:rPr>
        <w:t>1.5</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依据竞争性磋商文件中规定的评标标准和方法，对磋商文件进行评审和比较，向采购人提出书面评标报告，并推荐合格的成交候选人。采购人根据</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提出的书面评标报告和推荐的成交候选人按序确</w:t>
      </w:r>
      <w:r>
        <w:rPr>
          <w:rFonts w:hint="eastAsia" w:ascii="宋体" w:hAnsi="宋体" w:eastAsia="宋体"/>
          <w:color w:val="auto"/>
          <w:sz w:val="24"/>
          <w:szCs w:val="24"/>
          <w:highlight w:val="none"/>
        </w:rPr>
        <w:t>定成交人。</w:t>
      </w:r>
    </w:p>
    <w:p w14:paraId="4BB39AC9">
      <w:pPr>
        <w:spacing w:beforeAutospacing="0" w:after="120" w:afterAutospacing="0"/>
        <w:ind w:left="1"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 评审程序</w:t>
      </w:r>
    </w:p>
    <w:p w14:paraId="5BCEDE68">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2.1 资格审查</w:t>
      </w:r>
    </w:p>
    <w:p w14:paraId="449B2ACD">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本项目采用资格后审</w:t>
      </w:r>
    </w:p>
    <w:p w14:paraId="78D90809">
      <w:pPr>
        <w:spacing w:beforeAutospacing="0" w:afterAutospacing="0" w:line="360" w:lineRule="auto"/>
        <w:ind w:firstLine="480"/>
        <w:rPr>
          <w:rFonts w:hint="eastAsia" w:ascii="宋体" w:hAnsi="宋体" w:eastAsia="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按照竞争性磋商文件第二章磋商供应商须知前附表要求，对磋商供应商的磋商文件进行资格评审，有一项不符合的，视为未通过资格审查，按废标处理，符合的进入下一评标程序。</w:t>
      </w:r>
      <w:r>
        <w:rPr>
          <w:rFonts w:hint="eastAsia" w:ascii="宋体" w:hAnsi="宋体" w:eastAsia="宋体"/>
          <w:b w:val="0"/>
          <w:bCs w:val="0"/>
          <w:color w:val="auto"/>
          <w:sz w:val="24"/>
          <w:szCs w:val="24"/>
          <w:highlight w:val="none"/>
          <w:lang w:eastAsia="zh-CN"/>
        </w:rPr>
        <w:t>资格评审以响应文件为准，其上传资料真实性由供应商自行承担，同时，供应商要完善主体库。</w:t>
      </w:r>
    </w:p>
    <w:p w14:paraId="6E787C09">
      <w:pPr>
        <w:spacing w:beforeAutospacing="0" w:afterAutospacing="0" w:line="360" w:lineRule="auto"/>
        <w:ind w:firstLine="48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3</w:t>
      </w:r>
      <w:r>
        <w:rPr>
          <w:rFonts w:hint="eastAsia" w:ascii="宋体" w:hAnsi="宋体" w:eastAsia="宋体"/>
          <w:b/>
          <w:bCs/>
          <w:color w:val="auto"/>
          <w:kern w:val="0"/>
          <w:sz w:val="24"/>
          <w:szCs w:val="24"/>
          <w:highlight w:val="none"/>
          <w:lang w:val="en-US" w:eastAsia="zh-CN"/>
        </w:rPr>
        <w:t>.</w:t>
      </w:r>
      <w:r>
        <w:rPr>
          <w:rFonts w:hint="eastAsia" w:ascii="宋体" w:hAnsi="宋体" w:eastAsia="宋体"/>
          <w:b/>
          <w:bCs/>
          <w:color w:val="auto"/>
          <w:kern w:val="0"/>
          <w:sz w:val="24"/>
          <w:szCs w:val="24"/>
          <w:highlight w:val="none"/>
        </w:rPr>
        <w:t>评标具体方法和标准</w:t>
      </w:r>
    </w:p>
    <w:p w14:paraId="263391F6">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本次评审采用综合评分法，即在通过资格性审查及初步审查的供应商最大限度地满足采购文件实质性要求的前提下，按照采购文件规定的评分办法表中的各项因素，由各专家独立评审打分，汇总专家各项评审结果即为供应商的最终得分；磋商小组按照供应商的得分从高到低的顺序推荐3 名成交候选供应商；若最终得分相同，报价低的优先，报价相同技术标得分高的优先，技术标得分也相同，由采购人自主决定。</w:t>
      </w:r>
    </w:p>
    <w:p w14:paraId="02E628D8">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p>
    <w:p w14:paraId="35C05EEE">
      <w:pPr>
        <w:spacing w:beforeAutospacing="0" w:afterAutospacing="0" w:line="360" w:lineRule="auto"/>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评分办法前附表</w:t>
      </w:r>
    </w:p>
    <w:tbl>
      <w:tblPr>
        <w:tblStyle w:val="16"/>
        <w:tblW w:w="0" w:type="auto"/>
        <w:jc w:val="center"/>
        <w:tblLayout w:type="fixed"/>
        <w:tblCellMar>
          <w:top w:w="0" w:type="dxa"/>
          <w:left w:w="108" w:type="dxa"/>
          <w:bottom w:w="0" w:type="dxa"/>
          <w:right w:w="108" w:type="dxa"/>
        </w:tblCellMar>
      </w:tblPr>
      <w:tblGrid>
        <w:gridCol w:w="1202"/>
        <w:gridCol w:w="2176"/>
        <w:gridCol w:w="6060"/>
      </w:tblGrid>
      <w:tr w14:paraId="63A064BF">
        <w:tblPrEx>
          <w:tblCellMar>
            <w:top w:w="0" w:type="dxa"/>
            <w:left w:w="108" w:type="dxa"/>
            <w:bottom w:w="0" w:type="dxa"/>
            <w:right w:w="108" w:type="dxa"/>
          </w:tblCellMar>
        </w:tblPrEx>
        <w:trPr>
          <w:trHeight w:val="566" w:hRule="atLeast"/>
          <w:jc w:val="center"/>
        </w:trPr>
        <w:tc>
          <w:tcPr>
            <w:tcW w:w="1202" w:type="dxa"/>
            <w:tcBorders>
              <w:top w:val="single" w:color="000000" w:sz="4" w:space="0"/>
              <w:left w:val="single" w:color="000000" w:sz="4" w:space="0"/>
              <w:bottom w:val="single" w:color="000000" w:sz="4" w:space="0"/>
              <w:right w:val="single" w:color="000000" w:sz="4" w:space="0"/>
            </w:tcBorders>
            <w:vAlign w:val="center"/>
          </w:tcPr>
          <w:p w14:paraId="5611376E">
            <w:pPr>
              <w:spacing w:beforeAutospacing="0" w:afterAutospacing="0" w:line="360" w:lineRule="auto"/>
              <w:jc w:val="center"/>
              <w:rPr>
                <w:rFonts w:hint="eastAsia" w:ascii="宋体" w:hAnsi="宋体" w:eastAsia="宋体"/>
                <w:b/>
                <w:bCs/>
                <w:color w:val="auto"/>
                <w:szCs w:val="20"/>
                <w:highlight w:val="none"/>
              </w:rPr>
            </w:pPr>
            <w:r>
              <w:rPr>
                <w:rFonts w:hint="eastAsia" w:ascii="宋体" w:hAnsi="宋体" w:eastAsia="宋体"/>
                <w:b/>
                <w:bCs/>
                <w:color w:val="auto"/>
                <w:szCs w:val="20"/>
                <w:highlight w:val="none"/>
              </w:rPr>
              <w:t>条款</w:t>
            </w:r>
          </w:p>
        </w:tc>
        <w:tc>
          <w:tcPr>
            <w:tcW w:w="2176" w:type="dxa"/>
            <w:tcBorders>
              <w:top w:val="single" w:color="000000" w:sz="4" w:space="0"/>
              <w:left w:val="nil"/>
              <w:bottom w:val="single" w:color="000000" w:sz="4" w:space="0"/>
              <w:right w:val="single" w:color="000000" w:sz="4" w:space="0"/>
            </w:tcBorders>
            <w:vAlign w:val="center"/>
          </w:tcPr>
          <w:p w14:paraId="72D61B47">
            <w:pPr>
              <w:spacing w:beforeAutospacing="0" w:afterAutospacing="0" w:line="360" w:lineRule="auto"/>
              <w:jc w:val="center"/>
              <w:rPr>
                <w:rFonts w:hint="eastAsia" w:ascii="宋体" w:hAnsi="宋体" w:eastAsia="宋体"/>
                <w:b/>
                <w:bCs/>
                <w:color w:val="auto"/>
                <w:szCs w:val="20"/>
                <w:highlight w:val="none"/>
              </w:rPr>
            </w:pPr>
            <w:r>
              <w:rPr>
                <w:rFonts w:hint="eastAsia" w:ascii="宋体" w:hAnsi="宋体" w:eastAsia="宋体"/>
                <w:b/>
                <w:bCs/>
                <w:color w:val="auto"/>
                <w:szCs w:val="20"/>
                <w:highlight w:val="none"/>
              </w:rPr>
              <w:t>评审因素</w:t>
            </w:r>
          </w:p>
        </w:tc>
        <w:tc>
          <w:tcPr>
            <w:tcW w:w="6060" w:type="dxa"/>
            <w:tcBorders>
              <w:top w:val="single" w:color="000000" w:sz="4" w:space="0"/>
              <w:left w:val="nil"/>
              <w:bottom w:val="single" w:color="000000" w:sz="4" w:space="0"/>
              <w:right w:val="single" w:color="000000" w:sz="4" w:space="0"/>
            </w:tcBorders>
            <w:vAlign w:val="center"/>
          </w:tcPr>
          <w:p w14:paraId="202BE64A">
            <w:pPr>
              <w:spacing w:beforeAutospacing="0" w:afterAutospacing="0" w:line="360" w:lineRule="auto"/>
              <w:jc w:val="center"/>
              <w:rPr>
                <w:rFonts w:hint="eastAsia" w:ascii="宋体" w:hAnsi="宋体" w:eastAsia="宋体"/>
                <w:b/>
                <w:bCs/>
                <w:color w:val="auto"/>
                <w:szCs w:val="20"/>
                <w:highlight w:val="none"/>
              </w:rPr>
            </w:pPr>
            <w:r>
              <w:rPr>
                <w:rFonts w:hint="eastAsia" w:ascii="宋体" w:hAnsi="宋体" w:eastAsia="宋体"/>
                <w:b/>
                <w:bCs/>
                <w:color w:val="auto"/>
                <w:szCs w:val="20"/>
                <w:highlight w:val="none"/>
              </w:rPr>
              <w:t>评审标准</w:t>
            </w:r>
          </w:p>
        </w:tc>
      </w:tr>
      <w:tr w14:paraId="76DBC3DA">
        <w:tblPrEx>
          <w:tblCellMar>
            <w:top w:w="0" w:type="dxa"/>
            <w:left w:w="108" w:type="dxa"/>
            <w:bottom w:w="0" w:type="dxa"/>
            <w:right w:w="108" w:type="dxa"/>
          </w:tblCellMar>
        </w:tblPrEx>
        <w:trPr>
          <w:trHeight w:val="566" w:hRule="atLeast"/>
          <w:jc w:val="center"/>
        </w:trPr>
        <w:tc>
          <w:tcPr>
            <w:tcW w:w="1202" w:type="dxa"/>
            <w:vMerge w:val="restart"/>
            <w:tcBorders>
              <w:top w:val="single" w:color="000000" w:sz="4" w:space="0"/>
              <w:left w:val="single" w:color="000000" w:sz="4" w:space="0"/>
              <w:right w:val="single" w:color="000000" w:sz="4" w:space="0"/>
            </w:tcBorders>
            <w:vAlign w:val="center"/>
          </w:tcPr>
          <w:p w14:paraId="3F3973A4">
            <w:pPr>
              <w:spacing w:beforeAutospacing="0" w:afterAutospacing="0"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形式评审标准</w:t>
            </w:r>
          </w:p>
        </w:tc>
        <w:tc>
          <w:tcPr>
            <w:tcW w:w="2176" w:type="dxa"/>
            <w:tcBorders>
              <w:top w:val="single" w:color="000000" w:sz="4" w:space="0"/>
              <w:left w:val="nil"/>
              <w:bottom w:val="single" w:color="000000" w:sz="4" w:space="0"/>
              <w:right w:val="single" w:color="000000" w:sz="4" w:space="0"/>
            </w:tcBorders>
            <w:vAlign w:val="center"/>
          </w:tcPr>
          <w:p w14:paraId="38FEDA55">
            <w:pPr>
              <w:spacing w:line="500" w:lineRule="exact"/>
              <w:jc w:val="left"/>
              <w:rPr>
                <w:rFonts w:hint="eastAsia" w:ascii="宋体" w:hAnsi="宋体" w:eastAsia="宋体"/>
                <w:b/>
                <w:bCs/>
                <w:color w:val="auto"/>
                <w:szCs w:val="20"/>
                <w:highlight w:val="none"/>
              </w:rPr>
            </w:pPr>
            <w:r>
              <w:rPr>
                <w:rFonts w:hint="eastAsia" w:asciiTheme="majorEastAsia" w:hAnsiTheme="majorEastAsia" w:eastAsiaTheme="majorEastAsia" w:cstheme="majorEastAsia"/>
                <w:bCs/>
                <w:color w:val="auto"/>
                <w:sz w:val="24"/>
                <w:szCs w:val="24"/>
                <w:highlight w:val="none"/>
              </w:rPr>
              <w:t>供应商名称</w:t>
            </w:r>
          </w:p>
        </w:tc>
        <w:tc>
          <w:tcPr>
            <w:tcW w:w="6060" w:type="dxa"/>
            <w:tcBorders>
              <w:top w:val="single" w:color="000000" w:sz="4" w:space="0"/>
              <w:left w:val="nil"/>
              <w:bottom w:val="single" w:color="000000" w:sz="4" w:space="0"/>
              <w:right w:val="single" w:color="000000" w:sz="4" w:space="0"/>
            </w:tcBorders>
            <w:vAlign w:val="center"/>
          </w:tcPr>
          <w:p w14:paraId="7655B18A">
            <w:pPr>
              <w:spacing w:line="500" w:lineRule="exact"/>
              <w:jc w:val="both"/>
              <w:rPr>
                <w:rFonts w:hint="eastAsia" w:ascii="宋体" w:hAnsi="宋体" w:eastAsia="宋体"/>
                <w:b/>
                <w:bCs/>
                <w:color w:val="auto"/>
                <w:szCs w:val="20"/>
                <w:highlight w:val="none"/>
              </w:rPr>
            </w:pPr>
            <w:r>
              <w:rPr>
                <w:rFonts w:hint="eastAsia" w:asciiTheme="majorEastAsia" w:hAnsiTheme="majorEastAsia" w:eastAsiaTheme="majorEastAsia" w:cstheme="majorEastAsia"/>
                <w:bCs/>
                <w:color w:val="auto"/>
                <w:sz w:val="24"/>
                <w:szCs w:val="24"/>
                <w:highlight w:val="none"/>
              </w:rPr>
              <w:t>与营业执照一致</w:t>
            </w:r>
          </w:p>
        </w:tc>
      </w:tr>
      <w:tr w14:paraId="36B82742">
        <w:tblPrEx>
          <w:tblCellMar>
            <w:top w:w="0" w:type="dxa"/>
            <w:left w:w="108" w:type="dxa"/>
            <w:bottom w:w="0" w:type="dxa"/>
            <w:right w:w="108" w:type="dxa"/>
          </w:tblCellMar>
        </w:tblPrEx>
        <w:trPr>
          <w:trHeight w:val="695" w:hRule="atLeast"/>
          <w:jc w:val="center"/>
        </w:trPr>
        <w:tc>
          <w:tcPr>
            <w:tcW w:w="1202" w:type="dxa"/>
            <w:vMerge w:val="continue"/>
            <w:tcBorders>
              <w:left w:val="single" w:color="000000" w:sz="4" w:space="0"/>
              <w:right w:val="single" w:color="000000" w:sz="4" w:space="0"/>
            </w:tcBorders>
            <w:vAlign w:val="center"/>
          </w:tcPr>
          <w:p w14:paraId="7AF57109">
            <w:pPr>
              <w:widowControl w:val="0"/>
              <w:spacing w:line="500" w:lineRule="exact"/>
              <w:jc w:val="both"/>
              <w:rPr>
                <w:rFonts w:hint="eastAsia" w:asciiTheme="majorEastAsia" w:hAnsiTheme="majorEastAsia" w:eastAsiaTheme="majorEastAsia" w:cstheme="majorEastAsia"/>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14:paraId="1F0D479D">
            <w:pPr>
              <w:spacing w:line="500" w:lineRule="exact"/>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响应文件签字盖章</w:t>
            </w:r>
          </w:p>
        </w:tc>
        <w:tc>
          <w:tcPr>
            <w:tcW w:w="6060" w:type="dxa"/>
            <w:tcBorders>
              <w:top w:val="single" w:color="000000" w:sz="4" w:space="0"/>
              <w:left w:val="nil"/>
              <w:bottom w:val="single" w:color="000000" w:sz="4" w:space="0"/>
              <w:right w:val="single" w:color="000000" w:sz="4" w:space="0"/>
            </w:tcBorders>
            <w:vAlign w:val="center"/>
          </w:tcPr>
          <w:p w14:paraId="35600FC4">
            <w:pPr>
              <w:spacing w:line="500" w:lineRule="exact"/>
              <w:jc w:val="both"/>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符</w:t>
            </w:r>
            <w:r>
              <w:rPr>
                <w:rFonts w:hint="eastAsia" w:asciiTheme="majorEastAsia" w:hAnsiTheme="majorEastAsia" w:eastAsiaTheme="majorEastAsia" w:cstheme="majorEastAsia"/>
                <w:bCs/>
                <w:color w:val="auto"/>
                <w:sz w:val="24"/>
                <w:szCs w:val="24"/>
                <w:highlight w:val="none"/>
                <w:lang w:val="en-US"/>
              </w:rPr>
              <w:t>合竞争性磋商文件要求的签章或标注的内容</w:t>
            </w:r>
          </w:p>
        </w:tc>
      </w:tr>
      <w:tr w14:paraId="1C482413">
        <w:tblPrEx>
          <w:tblCellMar>
            <w:top w:w="0" w:type="dxa"/>
            <w:left w:w="108" w:type="dxa"/>
            <w:bottom w:w="0" w:type="dxa"/>
            <w:right w:w="108" w:type="dxa"/>
          </w:tblCellMar>
        </w:tblPrEx>
        <w:trPr>
          <w:trHeight w:val="566" w:hRule="atLeast"/>
          <w:jc w:val="center"/>
        </w:trPr>
        <w:tc>
          <w:tcPr>
            <w:tcW w:w="1202" w:type="dxa"/>
            <w:vMerge w:val="continue"/>
            <w:tcBorders>
              <w:left w:val="single" w:color="000000" w:sz="4" w:space="0"/>
              <w:right w:val="single" w:color="000000" w:sz="4" w:space="0"/>
            </w:tcBorders>
            <w:vAlign w:val="center"/>
          </w:tcPr>
          <w:p w14:paraId="47408F93">
            <w:pPr>
              <w:widowControl w:val="0"/>
              <w:spacing w:line="500" w:lineRule="exact"/>
              <w:jc w:val="both"/>
              <w:rPr>
                <w:rFonts w:hint="eastAsia" w:asciiTheme="majorEastAsia" w:hAnsiTheme="majorEastAsia" w:eastAsiaTheme="majorEastAsia" w:cstheme="majorEastAsia"/>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14:paraId="5684AEE7">
            <w:pPr>
              <w:spacing w:line="500" w:lineRule="exact"/>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响应文件格式</w:t>
            </w:r>
          </w:p>
        </w:tc>
        <w:tc>
          <w:tcPr>
            <w:tcW w:w="6060" w:type="dxa"/>
            <w:tcBorders>
              <w:top w:val="single" w:color="000000" w:sz="4" w:space="0"/>
              <w:left w:val="nil"/>
              <w:bottom w:val="single" w:color="000000" w:sz="4" w:space="0"/>
              <w:right w:val="single" w:color="000000" w:sz="4" w:space="0"/>
            </w:tcBorders>
            <w:vAlign w:val="center"/>
          </w:tcPr>
          <w:p w14:paraId="18CDD93F">
            <w:pPr>
              <w:spacing w:line="500" w:lineRule="exact"/>
              <w:jc w:val="both"/>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符合“响应文件格式”的要求</w:t>
            </w:r>
          </w:p>
        </w:tc>
      </w:tr>
      <w:tr w14:paraId="0FDD3F30">
        <w:tblPrEx>
          <w:tblCellMar>
            <w:top w:w="0" w:type="dxa"/>
            <w:left w:w="108" w:type="dxa"/>
            <w:bottom w:w="0" w:type="dxa"/>
            <w:right w:w="108" w:type="dxa"/>
          </w:tblCellMar>
        </w:tblPrEx>
        <w:trPr>
          <w:trHeight w:val="566" w:hRule="atLeast"/>
          <w:jc w:val="center"/>
        </w:trPr>
        <w:tc>
          <w:tcPr>
            <w:tcW w:w="1202" w:type="dxa"/>
            <w:vMerge w:val="continue"/>
            <w:tcBorders>
              <w:left w:val="single" w:color="000000" w:sz="4" w:space="0"/>
              <w:bottom w:val="single" w:color="000000" w:sz="4" w:space="0"/>
              <w:right w:val="single" w:color="000000" w:sz="4" w:space="0"/>
            </w:tcBorders>
            <w:vAlign w:val="center"/>
          </w:tcPr>
          <w:p w14:paraId="485587AE">
            <w:pPr>
              <w:widowControl w:val="0"/>
              <w:spacing w:line="500" w:lineRule="exact"/>
              <w:jc w:val="both"/>
              <w:rPr>
                <w:rFonts w:hint="eastAsia" w:asciiTheme="majorEastAsia" w:hAnsiTheme="majorEastAsia" w:eastAsiaTheme="majorEastAsia" w:cstheme="majorEastAsia"/>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14:paraId="38C67B78">
            <w:pPr>
              <w:spacing w:line="500" w:lineRule="exact"/>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报价唯一</w:t>
            </w:r>
          </w:p>
        </w:tc>
        <w:tc>
          <w:tcPr>
            <w:tcW w:w="6060" w:type="dxa"/>
            <w:tcBorders>
              <w:top w:val="single" w:color="000000" w:sz="4" w:space="0"/>
              <w:left w:val="nil"/>
              <w:bottom w:val="single" w:color="000000" w:sz="4" w:space="0"/>
              <w:right w:val="single" w:color="000000" w:sz="4" w:space="0"/>
            </w:tcBorders>
            <w:vAlign w:val="center"/>
          </w:tcPr>
          <w:p w14:paraId="5C1C84D5">
            <w:pPr>
              <w:spacing w:line="500" w:lineRule="exact"/>
              <w:jc w:val="both"/>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rPr>
              <w:t>只能有一个有效报价</w:t>
            </w:r>
          </w:p>
        </w:tc>
      </w:tr>
      <w:tr w14:paraId="59B3C79D">
        <w:tblPrEx>
          <w:tblCellMar>
            <w:top w:w="0" w:type="dxa"/>
            <w:left w:w="108" w:type="dxa"/>
            <w:bottom w:w="0" w:type="dxa"/>
            <w:right w:w="108" w:type="dxa"/>
          </w:tblCellMar>
        </w:tblPrEx>
        <w:trPr>
          <w:trHeight w:val="1253" w:hRule="atLeast"/>
          <w:jc w:val="center"/>
        </w:trPr>
        <w:tc>
          <w:tcPr>
            <w:tcW w:w="1202" w:type="dxa"/>
            <w:vMerge w:val="restart"/>
            <w:tcBorders>
              <w:top w:val="nil"/>
              <w:left w:val="single" w:color="000000" w:sz="4" w:space="0"/>
              <w:right w:val="single" w:color="000000" w:sz="4" w:space="0"/>
            </w:tcBorders>
            <w:vAlign w:val="center"/>
          </w:tcPr>
          <w:p w14:paraId="3842BD77">
            <w:pPr>
              <w:spacing w:beforeAutospacing="0" w:afterAutospacing="0"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资格评审标准</w:t>
            </w:r>
          </w:p>
        </w:tc>
        <w:tc>
          <w:tcPr>
            <w:tcW w:w="2176" w:type="dxa"/>
            <w:tcBorders>
              <w:top w:val="single" w:color="000000" w:sz="4" w:space="0"/>
              <w:left w:val="nil"/>
              <w:bottom w:val="single" w:color="000000" w:sz="4" w:space="0"/>
              <w:right w:val="single" w:color="000000" w:sz="4" w:space="0"/>
            </w:tcBorders>
            <w:vAlign w:val="center"/>
          </w:tcPr>
          <w:p w14:paraId="7B006DFB">
            <w:pPr>
              <w:spacing w:beforeAutospacing="0" w:afterAutospacing="0" w:line="360" w:lineRule="auto"/>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营业执照</w:t>
            </w:r>
          </w:p>
        </w:tc>
        <w:tc>
          <w:tcPr>
            <w:tcW w:w="6060" w:type="dxa"/>
            <w:tcBorders>
              <w:top w:val="single" w:color="000000" w:sz="4" w:space="0"/>
              <w:left w:val="nil"/>
              <w:bottom w:val="single" w:color="000000" w:sz="4" w:space="0"/>
              <w:right w:val="single" w:color="000000" w:sz="4" w:space="0"/>
            </w:tcBorders>
            <w:vAlign w:val="center"/>
          </w:tcPr>
          <w:p w14:paraId="2C25EDA4">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供应商须具有合法有效的营业执照或事业单位法人证书；</w:t>
            </w:r>
          </w:p>
        </w:tc>
      </w:tr>
      <w:tr w14:paraId="614288F7">
        <w:tblPrEx>
          <w:tblCellMar>
            <w:top w:w="0" w:type="dxa"/>
            <w:left w:w="108" w:type="dxa"/>
            <w:bottom w:w="0" w:type="dxa"/>
            <w:right w:w="108" w:type="dxa"/>
          </w:tblCellMar>
        </w:tblPrEx>
        <w:trPr>
          <w:trHeight w:val="838" w:hRule="atLeast"/>
          <w:jc w:val="center"/>
        </w:trPr>
        <w:tc>
          <w:tcPr>
            <w:tcW w:w="1202" w:type="dxa"/>
            <w:vMerge w:val="continue"/>
            <w:tcBorders>
              <w:left w:val="single" w:color="000000" w:sz="4" w:space="0"/>
              <w:right w:val="single" w:color="000000" w:sz="4" w:space="0"/>
            </w:tcBorders>
            <w:vAlign w:val="center"/>
          </w:tcPr>
          <w:p w14:paraId="09993F8C">
            <w:pPr>
              <w:spacing w:beforeAutospacing="0" w:afterAutospacing="0" w:line="360" w:lineRule="auto"/>
              <w:jc w:val="center"/>
              <w:rPr>
                <w:rFonts w:hint="eastAsia" w:ascii="宋体" w:hAnsi="宋体" w:eastAsia="宋体"/>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14:paraId="1A82598C">
            <w:pPr>
              <w:spacing w:beforeAutospacing="0" w:afterAutospacing="0" w:line="360" w:lineRule="auto"/>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资格要求</w:t>
            </w:r>
          </w:p>
        </w:tc>
        <w:tc>
          <w:tcPr>
            <w:tcW w:w="6060" w:type="dxa"/>
            <w:tcBorders>
              <w:top w:val="single" w:color="000000" w:sz="4" w:space="0"/>
              <w:left w:val="nil"/>
              <w:bottom w:val="single" w:color="000000" w:sz="4" w:space="0"/>
              <w:right w:val="single" w:color="000000" w:sz="4" w:space="0"/>
            </w:tcBorders>
            <w:vAlign w:val="center"/>
          </w:tcPr>
          <w:p w14:paraId="1632C0D7">
            <w:pPr>
              <w:tabs>
                <w:tab w:val="left" w:pos="712"/>
              </w:tabs>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具有履行合同所必需的设备和专业技术能力（提供承诺书，格式自拟）；</w:t>
            </w:r>
          </w:p>
        </w:tc>
      </w:tr>
      <w:tr w14:paraId="3F037E9B">
        <w:tblPrEx>
          <w:tblCellMar>
            <w:top w:w="0" w:type="dxa"/>
            <w:left w:w="108" w:type="dxa"/>
            <w:bottom w:w="0" w:type="dxa"/>
            <w:right w:w="108" w:type="dxa"/>
          </w:tblCellMar>
        </w:tblPrEx>
        <w:trPr>
          <w:trHeight w:val="1396" w:hRule="atLeast"/>
          <w:jc w:val="center"/>
        </w:trPr>
        <w:tc>
          <w:tcPr>
            <w:tcW w:w="1202" w:type="dxa"/>
            <w:vMerge w:val="continue"/>
            <w:tcBorders>
              <w:left w:val="single" w:color="000000" w:sz="4" w:space="0"/>
              <w:right w:val="single" w:color="000000" w:sz="4" w:space="0"/>
            </w:tcBorders>
            <w:vAlign w:val="center"/>
          </w:tcPr>
          <w:p w14:paraId="0BF9D85D">
            <w:pPr>
              <w:jc w:val="center"/>
              <w:rPr>
                <w:rFonts w:ascii="宋体" w:hAnsi="宋体" w:eastAsia="宋体"/>
                <w:color w:val="auto"/>
                <w:sz w:val="24"/>
                <w:szCs w:val="24"/>
                <w:highlight w:val="none"/>
              </w:rPr>
            </w:pPr>
          </w:p>
        </w:tc>
        <w:tc>
          <w:tcPr>
            <w:tcW w:w="2176" w:type="dxa"/>
            <w:tcBorders>
              <w:top w:val="single" w:color="000000" w:sz="4" w:space="0"/>
              <w:left w:val="nil"/>
              <w:right w:val="single" w:color="000000" w:sz="4" w:space="0"/>
            </w:tcBorders>
            <w:vAlign w:val="center"/>
          </w:tcPr>
          <w:p w14:paraId="159761BE">
            <w:pPr>
              <w:spacing w:beforeAutospacing="0" w:afterAutospacing="0" w:line="273"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承诺及查询</w:t>
            </w:r>
          </w:p>
        </w:tc>
        <w:tc>
          <w:tcPr>
            <w:tcW w:w="6060" w:type="dxa"/>
            <w:tcBorders>
              <w:top w:val="single" w:color="000000" w:sz="4" w:space="0"/>
              <w:left w:val="nil"/>
              <w:bottom w:val="single" w:color="000000" w:sz="4" w:space="0"/>
              <w:right w:val="single" w:color="000000" w:sz="4" w:space="0"/>
            </w:tcBorders>
            <w:vAlign w:val="center"/>
          </w:tcPr>
          <w:p w14:paraId="3E1FD86B">
            <w:pPr>
              <w:spacing w:beforeAutospacing="0" w:afterAutospacing="0" w:line="360" w:lineRule="auto"/>
              <w:rPr>
                <w:rFonts w:hint="eastAsia"/>
                <w:bCs/>
                <w:color w:val="auto"/>
                <w:sz w:val="24"/>
                <w:szCs w:val="24"/>
                <w:highlight w:val="none"/>
                <w:lang w:val="en-US"/>
              </w:rPr>
            </w:pPr>
            <w:r>
              <w:rPr>
                <w:rFonts w:hint="eastAsia"/>
                <w:bCs/>
                <w:color w:val="auto"/>
                <w:sz w:val="24"/>
                <w:szCs w:val="24"/>
                <w:highlight w:val="none"/>
                <w:lang w:val="en-US"/>
              </w:rPr>
              <w:t>参加政府采购活动前3年内无行贿犯罪记录商业贿赂、不正当竞争行为、骗取中标、严重违约等问题；开标时提供投标企业出具无行贿犯罪记录在中国裁判文书网自行查询或自行承诺（查询对象为企业、法定代表人）及企业注册地工商管理部门出具的无商业贿赂和不正当竞争证明（开具时间在有效期内），若当地工商管理部门不办理此项业务，供应商须自行出具本企业无商业贿赂和不正当竞争行为承诺书；</w:t>
            </w:r>
          </w:p>
        </w:tc>
      </w:tr>
      <w:tr w14:paraId="6D22E0E6">
        <w:tblPrEx>
          <w:tblCellMar>
            <w:top w:w="0" w:type="dxa"/>
            <w:left w:w="108" w:type="dxa"/>
            <w:bottom w:w="0" w:type="dxa"/>
            <w:right w:w="108" w:type="dxa"/>
          </w:tblCellMar>
        </w:tblPrEx>
        <w:trPr>
          <w:trHeight w:val="3845" w:hRule="atLeast"/>
          <w:jc w:val="center"/>
        </w:trPr>
        <w:tc>
          <w:tcPr>
            <w:tcW w:w="1202" w:type="dxa"/>
            <w:vMerge w:val="restart"/>
            <w:tcBorders>
              <w:left w:val="single" w:color="000000" w:sz="4" w:space="0"/>
              <w:right w:val="single" w:color="000000" w:sz="4" w:space="0"/>
            </w:tcBorders>
            <w:vAlign w:val="center"/>
          </w:tcPr>
          <w:p w14:paraId="5C9AA2CC">
            <w:pPr>
              <w:jc w:val="center"/>
              <w:rPr>
                <w:rFonts w:ascii="宋体" w:hAnsi="宋体" w:eastAsia="宋体"/>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14:paraId="3004FB79">
            <w:pPr>
              <w:spacing w:beforeAutospacing="0" w:afterAutospacing="0" w:line="273"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企业信用</w:t>
            </w:r>
          </w:p>
        </w:tc>
        <w:tc>
          <w:tcPr>
            <w:tcW w:w="6060" w:type="dxa"/>
            <w:tcBorders>
              <w:top w:val="single" w:color="000000" w:sz="4" w:space="0"/>
              <w:left w:val="nil"/>
              <w:bottom w:val="single" w:color="000000" w:sz="4" w:space="0"/>
              <w:right w:val="single" w:color="000000" w:sz="4" w:space="0"/>
            </w:tcBorders>
            <w:vAlign w:val="center"/>
          </w:tcPr>
          <w:p w14:paraId="26329615">
            <w:pPr>
              <w:spacing w:beforeAutospacing="0" w:afterAutospacing="0" w:line="360" w:lineRule="auto"/>
              <w:rPr>
                <w:rFonts w:hint="eastAsia" w:eastAsia="宋体"/>
                <w:bCs/>
                <w:color w:val="auto"/>
                <w:sz w:val="24"/>
                <w:szCs w:val="24"/>
                <w:highlight w:val="none"/>
                <w:lang w:val="en-US" w:eastAsia="zh-CN"/>
              </w:rPr>
            </w:pPr>
            <w:r>
              <w:rPr>
                <w:rFonts w:hint="eastAsia"/>
                <w:bCs/>
                <w:color w:val="auto"/>
                <w:sz w:val="24"/>
                <w:szCs w:val="24"/>
                <w:highlight w:val="none"/>
                <w:lang w:val="en-US"/>
              </w:rPr>
              <w:t>企业没有被列入“信用中国”网站的“失信被执行人”、“重大税收违法失信主体”及“中国政府采购网”网站的“政府采购严重违法失信行为记录名单”的投标人（查询渠道：“信用中国”网站（www.creditchina.gov.cn）、中国政府采购网（www.ccgp.gov.cn）。</w:t>
            </w:r>
            <w:r>
              <w:rPr>
                <w:rFonts w:hint="eastAsia"/>
                <w:bCs/>
                <w:color w:val="auto"/>
                <w:sz w:val="24"/>
                <w:szCs w:val="24"/>
                <w:highlight w:val="none"/>
                <w:lang w:val="en-US" w:eastAsia="zh-CN"/>
              </w:rPr>
              <w:t>（</w:t>
            </w:r>
            <w:r>
              <w:rPr>
                <w:rFonts w:hint="eastAsia"/>
                <w:bCs/>
                <w:color w:val="auto"/>
                <w:sz w:val="24"/>
                <w:szCs w:val="24"/>
                <w:highlight w:val="none"/>
                <w:lang w:val="en-US"/>
              </w:rPr>
              <w:t>注：査询时间必须是磋商公告发布以后开标时间以前，并提供网站查询网页截图，查询结果清晰可见</w:t>
            </w:r>
            <w:r>
              <w:rPr>
                <w:rFonts w:hint="eastAsia"/>
                <w:bCs/>
                <w:color w:val="auto"/>
                <w:sz w:val="24"/>
                <w:szCs w:val="24"/>
                <w:highlight w:val="none"/>
                <w:lang w:val="en-US" w:eastAsia="zh-CN"/>
              </w:rPr>
              <w:t>）</w:t>
            </w:r>
          </w:p>
        </w:tc>
      </w:tr>
      <w:tr w14:paraId="5C6F53DC">
        <w:tblPrEx>
          <w:tblCellMar>
            <w:top w:w="0" w:type="dxa"/>
            <w:left w:w="108" w:type="dxa"/>
            <w:bottom w:w="0" w:type="dxa"/>
            <w:right w:w="108" w:type="dxa"/>
          </w:tblCellMar>
        </w:tblPrEx>
        <w:trPr>
          <w:trHeight w:val="895" w:hRule="atLeast"/>
          <w:jc w:val="center"/>
        </w:trPr>
        <w:tc>
          <w:tcPr>
            <w:tcW w:w="1202" w:type="dxa"/>
            <w:vMerge w:val="continue"/>
            <w:tcBorders>
              <w:left w:val="single" w:color="000000" w:sz="4" w:space="0"/>
              <w:bottom w:val="single" w:color="auto" w:sz="4" w:space="0"/>
              <w:right w:val="single" w:color="000000" w:sz="4" w:space="0"/>
            </w:tcBorders>
            <w:vAlign w:val="center"/>
          </w:tcPr>
          <w:p w14:paraId="2986331C">
            <w:pPr>
              <w:jc w:val="center"/>
              <w:rPr>
                <w:rFonts w:ascii="宋体" w:hAnsi="宋体" w:eastAsia="宋体"/>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14:paraId="1DAEB0FB">
            <w:pPr>
              <w:keepNext w:val="0"/>
              <w:keepLines w:val="0"/>
              <w:pageBreakBefore w:val="0"/>
              <w:widowControl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color w:val="auto"/>
                <w:sz w:val="24"/>
                <w:szCs w:val="24"/>
                <w:highlight w:val="none"/>
                <w:lang w:val="en-US" w:eastAsia="zh-CN"/>
              </w:rPr>
            </w:pPr>
            <w:r>
              <w:rPr>
                <w:rFonts w:hint="eastAsia" w:ascii="宋体" w:hAnsi="宋体" w:eastAsia="宋体" w:cs="宋体"/>
                <w:color w:val="auto"/>
                <w:sz w:val="24"/>
                <w:szCs w:val="24"/>
                <w:lang w:val="en-US" w:eastAsia="zh-CN"/>
              </w:rPr>
              <w:t>若为联合体投标</w:t>
            </w:r>
          </w:p>
        </w:tc>
        <w:tc>
          <w:tcPr>
            <w:tcW w:w="6060" w:type="dxa"/>
            <w:tcBorders>
              <w:top w:val="single" w:color="000000" w:sz="4" w:space="0"/>
              <w:left w:val="nil"/>
              <w:bottom w:val="single" w:color="000000" w:sz="4" w:space="0"/>
              <w:right w:val="single" w:color="000000" w:sz="4" w:space="0"/>
            </w:tcBorders>
            <w:vAlign w:val="center"/>
          </w:tcPr>
          <w:p w14:paraId="53A816FA">
            <w:pPr>
              <w:spacing w:beforeAutospacing="0" w:afterAutospacing="0" w:line="360" w:lineRule="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本次磋商接受联合体投标，联合体投标，应满足以下要求：</w:t>
            </w:r>
          </w:p>
          <w:p w14:paraId="0D1EFD13">
            <w:pPr>
              <w:spacing w:beforeAutospacing="0" w:afterAutospacing="0" w:line="360" w:lineRule="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1）联合体成员不超过2家（含联合体牵头人）；</w:t>
            </w:r>
          </w:p>
          <w:p w14:paraId="7C5E2762">
            <w:pPr>
              <w:spacing w:beforeAutospacing="0" w:afterAutospacing="0" w:line="360" w:lineRule="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2）若联合体投标成员同时承担编制任务的，联合体各方均须满足上述供应商资格要求；</w:t>
            </w:r>
          </w:p>
          <w:p w14:paraId="55E2F2F5">
            <w:pPr>
              <w:spacing w:beforeAutospacing="0" w:afterAutospacing="0" w:line="360" w:lineRule="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3）联合体各方应签订联合体协议书明确各方权利义务；</w:t>
            </w:r>
          </w:p>
          <w:p w14:paraId="10F07315">
            <w:pPr>
              <w:spacing w:beforeAutospacing="0" w:afterAutospacing="0" w:line="360" w:lineRule="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4）联合体各方签订共同投标协议后，联合体各方不得再以自己名义单独（或与其他单位组成新的联合体）参与同一标段下的投标；</w:t>
            </w:r>
          </w:p>
          <w:p w14:paraId="175C78B5">
            <w:pPr>
              <w:spacing w:beforeAutospacing="0" w:afterAutospacing="0" w:line="360" w:lineRule="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5）联合体中标后联合体各方应当共同与采购人签订合同，为履行合同向招标人承担连带责任；</w:t>
            </w:r>
          </w:p>
          <w:p w14:paraId="1E9CD650">
            <w:pPr>
              <w:spacing w:beforeAutospacing="0" w:afterAutospacing="0" w:line="360" w:lineRule="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6）联合体的牵头人应被授权作为联合体各方的代表，承担责任和接受指令；</w:t>
            </w:r>
          </w:p>
          <w:p w14:paraId="52412D62">
            <w:pPr>
              <w:spacing w:beforeAutospacing="0" w:afterAutospacing="0" w:line="360" w:lineRule="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7）获取磋商文件时，应以联合体牵头人的名义获取，并以联合体牵头人的名义递交响应文件；联合体牵头人法定代表人或其授权代表负责签署本次投标相关资料，其他联合体成员必须予以认可。</w:t>
            </w:r>
          </w:p>
        </w:tc>
      </w:tr>
      <w:tr w14:paraId="45BF2646">
        <w:tblPrEx>
          <w:tblCellMar>
            <w:top w:w="0" w:type="dxa"/>
            <w:left w:w="108" w:type="dxa"/>
            <w:bottom w:w="0" w:type="dxa"/>
            <w:right w:w="108" w:type="dxa"/>
          </w:tblCellMar>
        </w:tblPrEx>
        <w:trPr>
          <w:trHeight w:val="628" w:hRule="atLeast"/>
          <w:jc w:val="center"/>
        </w:trPr>
        <w:tc>
          <w:tcPr>
            <w:tcW w:w="1202" w:type="dxa"/>
            <w:vMerge w:val="continue"/>
            <w:tcBorders>
              <w:left w:val="single" w:color="000000" w:sz="4" w:space="0"/>
              <w:bottom w:val="single" w:color="auto" w:sz="4" w:space="0"/>
              <w:right w:val="single" w:color="000000" w:sz="4" w:space="0"/>
            </w:tcBorders>
            <w:vAlign w:val="center"/>
          </w:tcPr>
          <w:p w14:paraId="64C96F74">
            <w:pPr>
              <w:jc w:val="center"/>
              <w:rPr>
                <w:rFonts w:ascii="宋体" w:hAnsi="宋体" w:eastAsia="宋体"/>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14:paraId="53697EFE">
            <w:pPr>
              <w:keepNext w:val="0"/>
              <w:keepLines w:val="0"/>
              <w:pageBreakBefore w:val="0"/>
              <w:widowControl w:val="0"/>
              <w:kinsoku/>
              <w:overflowPunct/>
              <w:topLinePunct w:val="0"/>
              <w:autoSpaceDE/>
              <w:autoSpaceDN/>
              <w:bidi w:val="0"/>
              <w:adjustRightInd/>
              <w:snapToGrid/>
              <w:spacing w:beforeAutospacing="0" w:afterAutospacing="0" w:line="360" w:lineRule="auto"/>
              <w:jc w:val="center"/>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其它</w:t>
            </w:r>
          </w:p>
        </w:tc>
        <w:tc>
          <w:tcPr>
            <w:tcW w:w="6060" w:type="dxa"/>
            <w:tcBorders>
              <w:top w:val="single" w:color="000000" w:sz="4" w:space="0"/>
              <w:left w:val="nil"/>
              <w:bottom w:val="single" w:color="000000" w:sz="4" w:space="0"/>
              <w:right w:val="single" w:color="000000" w:sz="4" w:space="0"/>
            </w:tcBorders>
            <w:vAlign w:val="center"/>
          </w:tcPr>
          <w:p w14:paraId="230EFDB3">
            <w:pPr>
              <w:numPr>
                <w:ilvl w:val="0"/>
                <w:numId w:val="3"/>
              </w:numPr>
              <w:snapToGrid w:val="0"/>
              <w:spacing w:line="500" w:lineRule="exact"/>
              <w:jc w:val="both"/>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本项目磋商实行资格后审。</w:t>
            </w:r>
          </w:p>
          <w:p w14:paraId="503452B8">
            <w:pPr>
              <w:numPr>
                <w:ilvl w:val="0"/>
                <w:numId w:val="3"/>
              </w:numPr>
              <w:snapToGrid w:val="0"/>
              <w:spacing w:line="500" w:lineRule="exact"/>
              <w:jc w:val="both"/>
              <w:textAlignment w:val="baseline"/>
              <w:rPr>
                <w:rFonts w:hint="default" w:ascii="宋体" w:hAnsi="宋体" w:eastAsia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 xml:space="preserve">竞争性磋商文件规定的其他资格审查资料           </w:t>
            </w:r>
          </w:p>
        </w:tc>
      </w:tr>
      <w:tr w14:paraId="30CC1C9C">
        <w:tblPrEx>
          <w:tblCellMar>
            <w:top w:w="0" w:type="dxa"/>
            <w:left w:w="108" w:type="dxa"/>
            <w:bottom w:w="0" w:type="dxa"/>
            <w:right w:w="108" w:type="dxa"/>
          </w:tblCellMar>
        </w:tblPrEx>
        <w:trPr>
          <w:trHeight w:val="613" w:hRule="atLeast"/>
          <w:jc w:val="center"/>
        </w:trPr>
        <w:tc>
          <w:tcPr>
            <w:tcW w:w="1202" w:type="dxa"/>
            <w:vMerge w:val="restart"/>
            <w:tcBorders>
              <w:top w:val="single" w:color="auto" w:sz="4" w:space="0"/>
              <w:left w:val="single" w:color="auto" w:sz="4" w:space="0"/>
              <w:right w:val="single" w:color="auto" w:sz="4" w:space="0"/>
            </w:tcBorders>
            <w:vAlign w:val="center"/>
          </w:tcPr>
          <w:p w14:paraId="66A4E049">
            <w:pPr>
              <w:jc w:val="center"/>
              <w:rPr>
                <w:rFonts w:ascii="宋体" w:hAnsi="宋体" w:eastAsia="宋体"/>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响应性评审标准</w:t>
            </w:r>
          </w:p>
        </w:tc>
        <w:tc>
          <w:tcPr>
            <w:tcW w:w="2176" w:type="dxa"/>
            <w:tcBorders>
              <w:top w:val="single" w:color="000000" w:sz="4" w:space="0"/>
              <w:left w:val="single" w:color="auto" w:sz="4" w:space="0"/>
              <w:bottom w:val="single" w:color="000000" w:sz="4" w:space="0"/>
              <w:right w:val="single" w:color="000000" w:sz="4" w:space="0"/>
            </w:tcBorders>
            <w:vAlign w:val="center"/>
          </w:tcPr>
          <w:p w14:paraId="693546CD">
            <w:pPr>
              <w:widowControl w:val="0"/>
              <w:spacing w:line="500" w:lineRule="exact"/>
              <w:jc w:val="center"/>
              <w:rPr>
                <w:rFonts w:hint="eastAsia" w:ascii="宋体" w:hAnsi="宋体"/>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服务内容</w:t>
            </w:r>
          </w:p>
        </w:tc>
        <w:tc>
          <w:tcPr>
            <w:tcW w:w="6060" w:type="dxa"/>
            <w:tcBorders>
              <w:top w:val="single" w:color="000000" w:sz="4" w:space="0"/>
              <w:left w:val="nil"/>
              <w:bottom w:val="single" w:color="000000" w:sz="4" w:space="0"/>
              <w:right w:val="single" w:color="000000" w:sz="4" w:space="0"/>
            </w:tcBorders>
            <w:vAlign w:val="center"/>
          </w:tcPr>
          <w:p w14:paraId="37A61BEE">
            <w:pPr>
              <w:widowControl w:val="0"/>
              <w:spacing w:line="500" w:lineRule="exact"/>
              <w:jc w:val="both"/>
              <w:rPr>
                <w:rFonts w:hint="eastAsia" w:asciiTheme="minorEastAsia" w:hAnsiTheme="minorEastAsia" w:eastAsiaTheme="minorEastAsia" w:cstheme="minorEastAsia"/>
                <w:bCs/>
                <w:color w:val="auto"/>
                <w:sz w:val="24"/>
                <w:szCs w:val="24"/>
                <w:highlight w:val="none"/>
              </w:rPr>
            </w:pPr>
            <w:r>
              <w:rPr>
                <w:rFonts w:hint="eastAsia" w:asciiTheme="majorEastAsia" w:hAnsiTheme="majorEastAsia" w:eastAsiaTheme="majorEastAsia" w:cstheme="majorEastAsia"/>
                <w:color w:val="auto"/>
                <w:sz w:val="24"/>
                <w:szCs w:val="24"/>
                <w:highlight w:val="none"/>
              </w:rPr>
              <w:t>符合磋商文件要求</w:t>
            </w:r>
          </w:p>
        </w:tc>
      </w:tr>
      <w:tr w14:paraId="3871F667">
        <w:tblPrEx>
          <w:tblCellMar>
            <w:top w:w="0" w:type="dxa"/>
            <w:left w:w="108" w:type="dxa"/>
            <w:bottom w:w="0" w:type="dxa"/>
            <w:right w:w="108" w:type="dxa"/>
          </w:tblCellMar>
        </w:tblPrEx>
        <w:trPr>
          <w:trHeight w:val="613" w:hRule="atLeast"/>
          <w:jc w:val="center"/>
        </w:trPr>
        <w:tc>
          <w:tcPr>
            <w:tcW w:w="1202" w:type="dxa"/>
            <w:vMerge w:val="continue"/>
            <w:tcBorders>
              <w:left w:val="single" w:color="auto" w:sz="4" w:space="0"/>
              <w:right w:val="single" w:color="auto" w:sz="4" w:space="0"/>
            </w:tcBorders>
            <w:vAlign w:val="center"/>
          </w:tcPr>
          <w:p w14:paraId="47EA59FC">
            <w:pPr>
              <w:jc w:val="both"/>
              <w:rPr>
                <w:rFonts w:ascii="宋体" w:hAnsi="宋体" w:eastAsia="宋体"/>
                <w:color w:val="auto"/>
                <w:sz w:val="24"/>
                <w:szCs w:val="24"/>
                <w:highlight w:val="none"/>
              </w:rPr>
            </w:pPr>
          </w:p>
        </w:tc>
        <w:tc>
          <w:tcPr>
            <w:tcW w:w="2176" w:type="dxa"/>
            <w:tcBorders>
              <w:top w:val="single" w:color="000000" w:sz="4" w:space="0"/>
              <w:left w:val="single" w:color="auto" w:sz="4" w:space="0"/>
              <w:bottom w:val="single" w:color="000000" w:sz="4" w:space="0"/>
              <w:right w:val="single" w:color="000000" w:sz="4" w:space="0"/>
            </w:tcBorders>
            <w:vAlign w:val="center"/>
          </w:tcPr>
          <w:p w14:paraId="46F31660">
            <w:pPr>
              <w:widowControl w:val="0"/>
              <w:spacing w:line="5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服务周期</w:t>
            </w:r>
          </w:p>
        </w:tc>
        <w:tc>
          <w:tcPr>
            <w:tcW w:w="6060" w:type="dxa"/>
            <w:tcBorders>
              <w:top w:val="single" w:color="000000" w:sz="4" w:space="0"/>
              <w:left w:val="nil"/>
              <w:bottom w:val="single" w:color="000000" w:sz="4" w:space="0"/>
              <w:right w:val="single" w:color="000000" w:sz="4" w:space="0"/>
            </w:tcBorders>
            <w:vAlign w:val="center"/>
          </w:tcPr>
          <w:p w14:paraId="22A0DEDB">
            <w:pPr>
              <w:widowControl w:val="0"/>
              <w:spacing w:line="5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符合磋商文件要求</w:t>
            </w:r>
          </w:p>
        </w:tc>
      </w:tr>
      <w:tr w14:paraId="7F273B06">
        <w:tblPrEx>
          <w:tblCellMar>
            <w:top w:w="0" w:type="dxa"/>
            <w:left w:w="108" w:type="dxa"/>
            <w:bottom w:w="0" w:type="dxa"/>
            <w:right w:w="108" w:type="dxa"/>
          </w:tblCellMar>
        </w:tblPrEx>
        <w:trPr>
          <w:trHeight w:val="613" w:hRule="atLeast"/>
          <w:jc w:val="center"/>
        </w:trPr>
        <w:tc>
          <w:tcPr>
            <w:tcW w:w="1202" w:type="dxa"/>
            <w:vMerge w:val="continue"/>
            <w:tcBorders>
              <w:left w:val="single" w:color="auto" w:sz="4" w:space="0"/>
              <w:right w:val="single" w:color="auto" w:sz="4" w:space="0"/>
            </w:tcBorders>
            <w:vAlign w:val="center"/>
          </w:tcPr>
          <w:p w14:paraId="6BDCB276">
            <w:pPr>
              <w:jc w:val="both"/>
              <w:rPr>
                <w:rFonts w:ascii="宋体" w:hAnsi="宋体" w:eastAsia="宋体"/>
                <w:color w:val="auto"/>
                <w:sz w:val="24"/>
                <w:szCs w:val="24"/>
                <w:highlight w:val="none"/>
              </w:rPr>
            </w:pPr>
          </w:p>
        </w:tc>
        <w:tc>
          <w:tcPr>
            <w:tcW w:w="2176" w:type="dxa"/>
            <w:tcBorders>
              <w:top w:val="single" w:color="000000" w:sz="4" w:space="0"/>
              <w:left w:val="single" w:color="auto" w:sz="4" w:space="0"/>
              <w:bottom w:val="single" w:color="000000" w:sz="4" w:space="0"/>
              <w:right w:val="single" w:color="000000" w:sz="4" w:space="0"/>
            </w:tcBorders>
            <w:vAlign w:val="center"/>
          </w:tcPr>
          <w:p w14:paraId="792B655C">
            <w:pPr>
              <w:widowControl w:val="0"/>
              <w:spacing w:line="5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质量要求</w:t>
            </w:r>
          </w:p>
        </w:tc>
        <w:tc>
          <w:tcPr>
            <w:tcW w:w="6060" w:type="dxa"/>
            <w:tcBorders>
              <w:top w:val="single" w:color="000000" w:sz="4" w:space="0"/>
              <w:left w:val="nil"/>
              <w:bottom w:val="single" w:color="000000" w:sz="4" w:space="0"/>
              <w:right w:val="single" w:color="000000" w:sz="4" w:space="0"/>
            </w:tcBorders>
            <w:vAlign w:val="center"/>
          </w:tcPr>
          <w:p w14:paraId="047BCB9D">
            <w:pPr>
              <w:widowControl w:val="0"/>
              <w:spacing w:line="5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符合磋商文件要求</w:t>
            </w:r>
          </w:p>
        </w:tc>
      </w:tr>
      <w:tr w14:paraId="1331E1B1">
        <w:tblPrEx>
          <w:tblCellMar>
            <w:top w:w="0" w:type="dxa"/>
            <w:left w:w="108" w:type="dxa"/>
            <w:bottom w:w="0" w:type="dxa"/>
            <w:right w:w="108" w:type="dxa"/>
          </w:tblCellMar>
        </w:tblPrEx>
        <w:trPr>
          <w:trHeight w:val="613" w:hRule="atLeast"/>
          <w:jc w:val="center"/>
        </w:trPr>
        <w:tc>
          <w:tcPr>
            <w:tcW w:w="1202" w:type="dxa"/>
            <w:vMerge w:val="continue"/>
            <w:tcBorders>
              <w:left w:val="single" w:color="auto" w:sz="4" w:space="0"/>
              <w:right w:val="single" w:color="auto" w:sz="4" w:space="0"/>
            </w:tcBorders>
            <w:vAlign w:val="center"/>
          </w:tcPr>
          <w:p w14:paraId="183998CD">
            <w:pPr>
              <w:jc w:val="both"/>
              <w:rPr>
                <w:rFonts w:ascii="宋体" w:hAnsi="宋体" w:eastAsia="宋体"/>
                <w:color w:val="auto"/>
                <w:sz w:val="24"/>
                <w:szCs w:val="24"/>
                <w:highlight w:val="none"/>
              </w:rPr>
            </w:pPr>
          </w:p>
        </w:tc>
        <w:tc>
          <w:tcPr>
            <w:tcW w:w="2176" w:type="dxa"/>
            <w:tcBorders>
              <w:top w:val="single" w:color="000000" w:sz="4" w:space="0"/>
              <w:left w:val="single" w:color="auto" w:sz="4" w:space="0"/>
              <w:bottom w:val="single" w:color="000000" w:sz="4" w:space="0"/>
              <w:right w:val="single" w:color="000000" w:sz="4" w:space="0"/>
            </w:tcBorders>
            <w:vAlign w:val="center"/>
          </w:tcPr>
          <w:p w14:paraId="2D49A69D">
            <w:pPr>
              <w:widowControl w:val="0"/>
              <w:spacing w:line="5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磋商有效期</w:t>
            </w:r>
          </w:p>
        </w:tc>
        <w:tc>
          <w:tcPr>
            <w:tcW w:w="6060" w:type="dxa"/>
            <w:tcBorders>
              <w:top w:val="single" w:color="000000" w:sz="4" w:space="0"/>
              <w:left w:val="nil"/>
              <w:bottom w:val="single" w:color="000000" w:sz="4" w:space="0"/>
              <w:right w:val="single" w:color="000000" w:sz="4" w:space="0"/>
            </w:tcBorders>
            <w:vAlign w:val="center"/>
          </w:tcPr>
          <w:p w14:paraId="2DAF8B06">
            <w:pPr>
              <w:widowControl w:val="0"/>
              <w:spacing w:line="5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符合磋商文件要求</w:t>
            </w:r>
          </w:p>
        </w:tc>
      </w:tr>
      <w:tr w14:paraId="7AAC980B">
        <w:tblPrEx>
          <w:tblCellMar>
            <w:top w:w="0" w:type="dxa"/>
            <w:left w:w="108" w:type="dxa"/>
            <w:bottom w:w="0" w:type="dxa"/>
            <w:right w:w="108" w:type="dxa"/>
          </w:tblCellMar>
        </w:tblPrEx>
        <w:trPr>
          <w:trHeight w:val="621" w:hRule="atLeast"/>
          <w:jc w:val="center"/>
        </w:trPr>
        <w:tc>
          <w:tcPr>
            <w:tcW w:w="1202" w:type="dxa"/>
            <w:vMerge w:val="continue"/>
            <w:tcBorders>
              <w:left w:val="single" w:color="auto" w:sz="4" w:space="0"/>
              <w:bottom w:val="single" w:color="auto" w:sz="4" w:space="0"/>
              <w:right w:val="single" w:color="auto" w:sz="4" w:space="0"/>
            </w:tcBorders>
            <w:vAlign w:val="center"/>
          </w:tcPr>
          <w:p w14:paraId="4259359C">
            <w:pPr>
              <w:jc w:val="both"/>
              <w:rPr>
                <w:rFonts w:ascii="宋体" w:hAnsi="宋体" w:eastAsia="宋体"/>
                <w:color w:val="auto"/>
                <w:sz w:val="24"/>
                <w:szCs w:val="24"/>
                <w:highlight w:val="none"/>
              </w:rPr>
            </w:pPr>
          </w:p>
        </w:tc>
        <w:tc>
          <w:tcPr>
            <w:tcW w:w="2176" w:type="dxa"/>
            <w:tcBorders>
              <w:top w:val="single" w:color="000000" w:sz="4" w:space="0"/>
              <w:left w:val="single" w:color="auto" w:sz="4" w:space="0"/>
              <w:bottom w:val="single" w:color="000000" w:sz="4" w:space="0"/>
              <w:right w:val="single" w:color="000000" w:sz="4" w:space="0"/>
            </w:tcBorders>
            <w:vAlign w:val="center"/>
          </w:tcPr>
          <w:p w14:paraId="311F3C33">
            <w:pPr>
              <w:widowControl w:val="0"/>
              <w:spacing w:line="5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磋商报价</w:t>
            </w:r>
          </w:p>
        </w:tc>
        <w:tc>
          <w:tcPr>
            <w:tcW w:w="6060" w:type="dxa"/>
            <w:tcBorders>
              <w:top w:val="single" w:color="000000" w:sz="4" w:space="0"/>
              <w:left w:val="nil"/>
              <w:bottom w:val="single" w:color="000000" w:sz="4" w:space="0"/>
              <w:right w:val="single" w:color="000000" w:sz="4" w:space="0"/>
            </w:tcBorders>
            <w:vAlign w:val="center"/>
          </w:tcPr>
          <w:p w14:paraId="11DBCA4C">
            <w:pPr>
              <w:widowControl w:val="0"/>
              <w:spacing w:line="5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磋商供应商的报价不能超出磋商预算价</w:t>
            </w:r>
          </w:p>
        </w:tc>
      </w:tr>
    </w:tbl>
    <w:p w14:paraId="6BA3834F">
      <w:pPr>
        <w:rPr>
          <w:rFonts w:ascii="Times New Roman" w:hAnsi="Times New Roman" w:eastAsia="宋体"/>
          <w:vanish/>
          <w:color w:val="auto"/>
          <w:szCs w:val="20"/>
          <w:highlight w:val="none"/>
        </w:rPr>
      </w:pPr>
    </w:p>
    <w:p w14:paraId="192A2DFE">
      <w:pPr>
        <w:spacing w:line="600" w:lineRule="exact"/>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4.评分标准</w:t>
      </w:r>
    </w:p>
    <w:p w14:paraId="3B610A95">
      <w:pPr>
        <w:spacing w:line="6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4.1政策落实</w:t>
      </w:r>
    </w:p>
    <w:p w14:paraId="6CBE15B9">
      <w:pPr>
        <w:spacing w:line="6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扣除：本项目非专门面向中小企业、监狱企业及残疾人福利性单位采购项目。财政部关于进一步加大政府采购支持中小企业力度的通知(财库〔2022〕19号)、《政府采购促进中小企业发展管理办法》（财库﹝2020﹞46号）、财政部、司法部关于政府采购支持监狱企业发展有关问题的通知（财库[2014]68号）、《三部门联合发布关于促进残疾人就业政府采购政策的通知》（财库[2017]141号）的要求，对小型、微型企业、监狱企业及残疾人福利性单位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7603CAE4">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参加政府采购活动的中小企业应当</w:t>
      </w:r>
      <w:r>
        <w:rPr>
          <w:rFonts w:hint="eastAsia" w:cs="宋体"/>
          <w:color w:val="auto"/>
          <w:sz w:val="24"/>
          <w:szCs w:val="24"/>
          <w:lang w:val="en-US" w:eastAsia="zh-CN"/>
        </w:rPr>
        <w:t>应当按照《政府采购促进中小企业发展管理办</w:t>
      </w:r>
      <w:r>
        <w:rPr>
          <w:rFonts w:hint="eastAsia" w:ascii="宋体" w:hAnsi="宋体" w:eastAsia="宋体" w:cs="宋体"/>
          <w:color w:val="auto"/>
          <w:sz w:val="24"/>
          <w:szCs w:val="24"/>
          <w:lang w:val="en-US" w:eastAsia="zh-CN"/>
        </w:rPr>
        <w:t>法》（财库〔2020〕46号）的规定提供《中小企业声明函》（中小企业划型标准详见《关于印发中小企业划型标准规定的通知》工信部联企业〔2011〕300号）。投标供应商为大型企业的不适用本款规定</w:t>
      </w:r>
      <w:r>
        <w:rPr>
          <w:rFonts w:hint="eastAsia" w:ascii="宋体" w:hAnsi="宋体" w:eastAsia="宋体" w:cs="宋体"/>
          <w:color w:val="auto"/>
          <w:sz w:val="24"/>
          <w:szCs w:val="24"/>
          <w:highlight w:val="none"/>
          <w:lang w:val="en-US" w:eastAsia="zh-CN"/>
        </w:rPr>
        <w:t>；监狱企业应当提供由省级以上监狱管理局、戒毒管理局（含新疆生产建设兵团）出具的属于监狱企业的证明文件；残疾人福利性单位应当提供《残疾人福利性单位声明函》。</w:t>
      </w:r>
    </w:p>
    <w:p w14:paraId="2F11DD32">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jc w:val="left"/>
        <w:textAlignment w:val="auto"/>
        <w:rPr>
          <w:rFonts w:hint="eastAsia"/>
          <w:color w:val="auto"/>
          <w:lang w:val="en-US" w:eastAsia="zh-CN"/>
        </w:rPr>
      </w:pPr>
      <w:r>
        <w:rPr>
          <w:rFonts w:hint="eastAsia" w:ascii="宋体" w:hAnsi="宋体" w:eastAsia="宋体" w:cs="宋体"/>
          <w:color w:val="auto"/>
          <w:sz w:val="24"/>
          <w:szCs w:val="24"/>
          <w:lang w:val="en-US" w:eastAsia="zh-CN"/>
        </w:rPr>
        <w:t>同一投标供应商，中小微企业产品和监狱企业产品价格扣除优惠只享受一次，不得重复享受</w:t>
      </w:r>
      <w:r>
        <w:rPr>
          <w:rFonts w:hint="eastAsia" w:ascii="宋体" w:hAnsi="宋体" w:cs="宋体"/>
          <w:color w:val="auto"/>
          <w:sz w:val="24"/>
          <w:szCs w:val="24"/>
          <w:lang w:val="en-US" w:eastAsia="zh-CN"/>
        </w:rPr>
        <w:t>。</w:t>
      </w:r>
    </w:p>
    <w:p w14:paraId="3ADA61FF">
      <w:pPr>
        <w:wordWrap w:val="0"/>
        <w:spacing w:beforeAutospacing="0" w:afterAutospacing="0" w:line="600" w:lineRule="exact"/>
        <w:ind w:firstLine="480" w:firstLineChars="200"/>
        <w:rPr>
          <w:rFonts w:ascii="宋体" w:hAnsi="宋体" w:eastAsia="宋体"/>
          <w:bCs/>
          <w:color w:val="auto"/>
          <w:kern w:val="0"/>
          <w:sz w:val="24"/>
          <w:szCs w:val="28"/>
          <w:highlight w:val="none"/>
        </w:rPr>
      </w:pPr>
      <w:r>
        <w:rPr>
          <w:rFonts w:hint="eastAsia" w:ascii="宋体" w:hAnsi="宋体"/>
          <w:bCs/>
          <w:color w:val="auto"/>
          <w:kern w:val="0"/>
          <w:sz w:val="24"/>
          <w:szCs w:val="28"/>
          <w:highlight w:val="none"/>
          <w:lang w:val="en-US" w:eastAsia="zh-CN"/>
        </w:rPr>
        <w:t>4.</w:t>
      </w:r>
      <w:r>
        <w:rPr>
          <w:rFonts w:ascii="宋体" w:hAnsi="宋体" w:eastAsia="宋体"/>
          <w:bCs/>
          <w:color w:val="auto"/>
          <w:kern w:val="0"/>
          <w:sz w:val="24"/>
          <w:szCs w:val="28"/>
          <w:highlight w:val="none"/>
        </w:rPr>
        <w:t>2本次招标采用综合评分法评标，评标因素和所占权重为：</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92"/>
        <w:gridCol w:w="1741"/>
        <w:gridCol w:w="5772"/>
        <w:gridCol w:w="951"/>
      </w:tblGrid>
      <w:tr w14:paraId="75127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1292" w:type="dxa"/>
            <w:shd w:val="clear" w:color="auto" w:fill="FFFFFF"/>
            <w:vAlign w:val="center"/>
          </w:tcPr>
          <w:p w14:paraId="3AB11A58">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评分</w:t>
            </w:r>
          </w:p>
          <w:p w14:paraId="3145023C">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因素</w:t>
            </w:r>
          </w:p>
        </w:tc>
        <w:tc>
          <w:tcPr>
            <w:tcW w:w="1741" w:type="dxa"/>
            <w:shd w:val="clear" w:color="auto" w:fill="FFFFFF"/>
            <w:vAlign w:val="center"/>
          </w:tcPr>
          <w:p w14:paraId="1DB4A86A">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评分内容</w:t>
            </w:r>
          </w:p>
        </w:tc>
        <w:tc>
          <w:tcPr>
            <w:tcW w:w="5772" w:type="dxa"/>
            <w:shd w:val="clear" w:color="auto" w:fill="FFFFFF"/>
            <w:vAlign w:val="center"/>
          </w:tcPr>
          <w:p w14:paraId="3FC7A878">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评分标准</w:t>
            </w:r>
          </w:p>
        </w:tc>
        <w:tc>
          <w:tcPr>
            <w:tcW w:w="951" w:type="dxa"/>
            <w:shd w:val="clear" w:color="auto" w:fill="FFFFFF"/>
            <w:vAlign w:val="center"/>
          </w:tcPr>
          <w:p w14:paraId="5AFE3B61">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分值</w:t>
            </w:r>
          </w:p>
        </w:tc>
      </w:tr>
      <w:tr w14:paraId="70E97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385" w:hRule="atLeast"/>
          <w:jc w:val="center"/>
        </w:trPr>
        <w:tc>
          <w:tcPr>
            <w:tcW w:w="1292" w:type="dxa"/>
            <w:shd w:val="clear" w:color="auto" w:fill="FFFFFF"/>
            <w:vAlign w:val="center"/>
          </w:tcPr>
          <w:p w14:paraId="31788AE6">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报价</w:t>
            </w:r>
          </w:p>
          <w:p w14:paraId="4F30EA89">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w:t>
            </w:r>
            <w:r>
              <w:rPr>
                <w:rFonts w:hint="eastAsia" w:ascii="宋体" w:hAnsi="宋体"/>
                <w:bCs/>
                <w:color w:val="auto"/>
                <w:kern w:val="0"/>
                <w:sz w:val="24"/>
                <w:szCs w:val="24"/>
                <w:highlight w:val="none"/>
                <w:lang w:val="en-US" w:eastAsia="zh-CN"/>
              </w:rPr>
              <w:t>20</w:t>
            </w:r>
            <w:r>
              <w:rPr>
                <w:rFonts w:hint="eastAsia" w:ascii="宋体" w:hAnsi="宋体" w:eastAsia="宋体"/>
                <w:bCs/>
                <w:color w:val="auto"/>
                <w:kern w:val="0"/>
                <w:sz w:val="24"/>
                <w:szCs w:val="24"/>
                <w:highlight w:val="none"/>
              </w:rPr>
              <w:t>分)</w:t>
            </w:r>
          </w:p>
        </w:tc>
        <w:tc>
          <w:tcPr>
            <w:tcW w:w="1741" w:type="dxa"/>
            <w:shd w:val="clear" w:color="auto" w:fill="FFFFFF"/>
            <w:vAlign w:val="center"/>
          </w:tcPr>
          <w:p w14:paraId="32841E9C">
            <w:pPr>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磋商报价的评审（</w:t>
            </w:r>
            <w:r>
              <w:rPr>
                <w:rFonts w:hint="eastAsia" w:ascii="宋体" w:hAnsi="宋体" w:eastAsia="宋体"/>
                <w:bCs/>
                <w:color w:val="auto"/>
                <w:kern w:val="0"/>
                <w:sz w:val="24"/>
                <w:szCs w:val="24"/>
                <w:highlight w:val="none"/>
                <w:lang w:val="en-US" w:eastAsia="zh-CN"/>
              </w:rPr>
              <w:t>2</w:t>
            </w:r>
            <w:r>
              <w:rPr>
                <w:rFonts w:hint="eastAsia" w:ascii="宋体" w:hAnsi="宋体" w:eastAsia="宋体"/>
                <w:bCs/>
                <w:color w:val="auto"/>
                <w:kern w:val="0"/>
                <w:sz w:val="24"/>
                <w:szCs w:val="24"/>
                <w:highlight w:val="none"/>
              </w:rPr>
              <w:t>0分）</w:t>
            </w:r>
          </w:p>
        </w:tc>
        <w:tc>
          <w:tcPr>
            <w:tcW w:w="5772" w:type="dxa"/>
            <w:shd w:val="clear" w:color="auto" w:fill="FFFFFF"/>
            <w:vAlign w:val="center"/>
          </w:tcPr>
          <w:p w14:paraId="1350290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1、价格分采用低价优先法计算，即通过资格性和初步审查且第二轮投标价格最低的投标报价为评标基准价，其价格得分为满分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p w14:paraId="015E301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其他投标供应商的价格分统一按照下列公式计算：</w:t>
            </w:r>
          </w:p>
          <w:p w14:paraId="6E4DB884">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报价得分＝（评标基准价/投标报价）×</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×100％</w:t>
            </w:r>
          </w:p>
          <w:p w14:paraId="0EABC67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7594E7E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3、超出采购人预算价的响应报价为无效报价。</w:t>
            </w:r>
          </w:p>
          <w:p w14:paraId="1D7D168E">
            <w:pPr>
              <w:spacing w:line="360" w:lineRule="auto"/>
              <w:rPr>
                <w:rFonts w:hint="eastAsia" w:ascii="宋体" w:hAnsi="宋体" w:eastAsia="宋体"/>
                <w:bCs/>
                <w:color w:val="auto"/>
                <w:kern w:val="0"/>
                <w:sz w:val="24"/>
                <w:szCs w:val="24"/>
                <w:highlight w:val="none"/>
              </w:rPr>
            </w:pPr>
            <w:r>
              <w:rPr>
                <w:rFonts w:hint="eastAsia" w:ascii="宋体" w:hAnsi="宋体" w:eastAsia="宋体" w:cs="宋体"/>
                <w:color w:val="auto"/>
                <w:sz w:val="24"/>
                <w:szCs w:val="24"/>
                <w:highlight w:val="none"/>
                <w:lang w:val="en-US" w:eastAsia="zh-CN"/>
              </w:rPr>
              <w:t>注：价格分计算保留小数点后二位。</w:t>
            </w:r>
          </w:p>
        </w:tc>
        <w:tc>
          <w:tcPr>
            <w:tcW w:w="951" w:type="dxa"/>
            <w:shd w:val="clear" w:color="auto" w:fill="FFFFFF"/>
            <w:vAlign w:val="center"/>
          </w:tcPr>
          <w:p w14:paraId="2FDE02B3">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0-</w:t>
            </w:r>
            <w:r>
              <w:rPr>
                <w:rFonts w:hint="eastAsia" w:ascii="宋体" w:hAnsi="宋体"/>
                <w:bCs/>
                <w:color w:val="auto"/>
                <w:kern w:val="0"/>
                <w:sz w:val="24"/>
                <w:szCs w:val="24"/>
                <w:highlight w:val="none"/>
                <w:lang w:val="en-US" w:eastAsia="zh-CN"/>
              </w:rPr>
              <w:t>20</w:t>
            </w:r>
            <w:r>
              <w:rPr>
                <w:rFonts w:hint="eastAsia" w:ascii="宋体" w:hAnsi="宋体" w:eastAsia="宋体"/>
                <w:bCs/>
                <w:color w:val="auto"/>
                <w:kern w:val="0"/>
                <w:sz w:val="24"/>
                <w:szCs w:val="24"/>
                <w:highlight w:val="none"/>
              </w:rPr>
              <w:t>分</w:t>
            </w:r>
          </w:p>
        </w:tc>
      </w:tr>
      <w:tr w14:paraId="0A03B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010" w:hRule="atLeast"/>
          <w:jc w:val="center"/>
        </w:trPr>
        <w:tc>
          <w:tcPr>
            <w:tcW w:w="1292" w:type="dxa"/>
            <w:vMerge w:val="restart"/>
            <w:shd w:val="clear" w:color="auto" w:fill="FFFFFF"/>
            <w:vAlign w:val="center"/>
          </w:tcPr>
          <w:p w14:paraId="639E5D64">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技术</w:t>
            </w:r>
            <w:r>
              <w:rPr>
                <w:rFonts w:ascii="宋体" w:hAnsi="宋体"/>
                <w:bCs/>
                <w:color w:val="auto"/>
                <w:kern w:val="0"/>
                <w:sz w:val="24"/>
                <w:szCs w:val="24"/>
                <w:highlight w:val="none"/>
              </w:rPr>
              <w:br w:type="textWrapping"/>
            </w:r>
            <w:r>
              <w:rPr>
                <w:rFonts w:hint="eastAsia" w:ascii="宋体" w:hAnsi="宋体"/>
                <w:bCs/>
                <w:color w:val="auto"/>
                <w:kern w:val="0"/>
                <w:sz w:val="24"/>
                <w:szCs w:val="24"/>
                <w:highlight w:val="none"/>
              </w:rPr>
              <w:t>（</w:t>
            </w:r>
            <w:r>
              <w:rPr>
                <w:rFonts w:hint="eastAsia" w:ascii="宋体" w:hAnsi="宋体"/>
                <w:bCs/>
                <w:color w:val="auto"/>
                <w:kern w:val="0"/>
                <w:sz w:val="24"/>
                <w:szCs w:val="24"/>
                <w:highlight w:val="none"/>
                <w:lang w:val="en-US" w:eastAsia="zh-CN"/>
              </w:rPr>
              <w:t>5</w:t>
            </w:r>
            <w:r>
              <w:rPr>
                <w:rFonts w:hint="eastAsia" w:ascii="宋体" w:hAnsi="宋体"/>
                <w:bCs/>
                <w:color w:val="auto"/>
                <w:kern w:val="0"/>
                <w:sz w:val="24"/>
                <w:szCs w:val="24"/>
                <w:highlight w:val="none"/>
              </w:rPr>
              <w:t>0分）</w:t>
            </w:r>
          </w:p>
        </w:tc>
        <w:tc>
          <w:tcPr>
            <w:tcW w:w="1741" w:type="dxa"/>
            <w:shd w:val="clear" w:color="auto" w:fill="FFFFFF"/>
            <w:vAlign w:val="center"/>
          </w:tcPr>
          <w:p w14:paraId="2B7CF77B">
            <w:pPr>
              <w:pageBreakBefore w:val="0"/>
              <w:shd w:val="clear" w:color="auto" w:fill="auto"/>
              <w:kinsoku/>
              <w:wordWrap/>
              <w:overflowPunct/>
              <w:topLinePunct w:val="0"/>
              <w:bidi w:val="0"/>
              <w:spacing w:beforeAutospacing="0" w:afterAutospacing="0" w:line="360" w:lineRule="auto"/>
              <w:ind w:left="0" w:leftChars="0" w:right="0" w:rightChars="0"/>
              <w:jc w:val="center"/>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实施方案</w:t>
            </w:r>
            <w:r>
              <w:rPr>
                <w:rFonts w:hint="eastAsia" w:ascii="宋体" w:hAnsi="宋体" w:eastAsia="宋体" w:cs="宋体"/>
                <w:bCs/>
                <w:sz w:val="24"/>
                <w:szCs w:val="24"/>
                <w:highlight w:val="none"/>
                <w:lang w:val="en-US" w:eastAsia="zh-CN" w:bidi="ar"/>
              </w:rPr>
              <w:br w:type="textWrapping"/>
            </w:r>
            <w:r>
              <w:rPr>
                <w:rFonts w:hint="eastAsia" w:ascii="宋体" w:hAnsi="宋体" w:eastAsia="宋体" w:cs="宋体"/>
                <w:bCs/>
                <w:sz w:val="24"/>
                <w:szCs w:val="24"/>
                <w:highlight w:val="none"/>
                <w:lang w:val="en-US" w:eastAsia="zh-CN" w:bidi="ar"/>
              </w:rPr>
              <w:t>（8分）</w:t>
            </w:r>
          </w:p>
        </w:tc>
        <w:tc>
          <w:tcPr>
            <w:tcW w:w="5772" w:type="dxa"/>
            <w:shd w:val="clear" w:color="auto" w:fill="FFFFFF"/>
            <w:vAlign w:val="center"/>
          </w:tcPr>
          <w:p w14:paraId="2D558BAC">
            <w:pPr>
              <w:pageBreakBefore w:val="0"/>
              <w:shd w:val="clear" w:color="auto" w:fill="auto"/>
              <w:kinsoku/>
              <w:wordWrap/>
              <w:overflowPunct/>
              <w:topLinePunct w:val="0"/>
              <w:bidi w:val="0"/>
              <w:spacing w:beforeAutospacing="0" w:afterAutospacing="0" w:line="360" w:lineRule="auto"/>
              <w:ind w:left="0" w:leftChars="0" w:right="0" w:rightChars="0"/>
              <w:jc w:val="both"/>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根据供应商对本项目实施方案，包括但不限于主要工作内容、工作方法、技术路线、队伍组织、实施步骤等方面进行综合评分：</w:t>
            </w:r>
          </w:p>
          <w:p w14:paraId="61AF9AED">
            <w:pPr>
              <w:pageBreakBefore w:val="0"/>
              <w:shd w:val="clear" w:color="auto" w:fill="auto"/>
              <w:kinsoku/>
              <w:wordWrap/>
              <w:overflowPunct/>
              <w:topLinePunct w:val="0"/>
              <w:bidi w:val="0"/>
              <w:spacing w:beforeAutospacing="0" w:afterAutospacing="0" w:line="360" w:lineRule="auto"/>
              <w:ind w:left="0" w:leftChars="0" w:right="0" w:rightChars="0"/>
              <w:jc w:val="both"/>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实施方案工作内容详细精确，工作方法可行性强，工作流程及时间安排，技术路线清晰，队伍组织科学性强，实施步骤合理高效，得8分。</w:t>
            </w:r>
          </w:p>
          <w:p w14:paraId="1CA5E98D">
            <w:pPr>
              <w:pageBreakBefore w:val="0"/>
              <w:shd w:val="clear" w:color="auto" w:fill="auto"/>
              <w:kinsoku/>
              <w:wordWrap/>
              <w:overflowPunct/>
              <w:topLinePunct w:val="0"/>
              <w:bidi w:val="0"/>
              <w:spacing w:beforeAutospacing="0" w:afterAutospacing="0" w:line="360" w:lineRule="auto"/>
              <w:ind w:left="0" w:leftChars="0" w:right="0" w:rightChars="0"/>
              <w:jc w:val="both"/>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实施方案工作内容描述准确，工作方法比较可行，工作流程及时间安排，技术路线比较准确，队伍组织和实施步骤安排比较合理，得4分。</w:t>
            </w:r>
          </w:p>
          <w:p w14:paraId="1EF35515">
            <w:pPr>
              <w:pageBreakBefore w:val="0"/>
              <w:shd w:val="clear" w:color="auto" w:fill="auto"/>
              <w:kinsoku/>
              <w:wordWrap/>
              <w:overflowPunct/>
              <w:topLinePunct w:val="0"/>
              <w:bidi w:val="0"/>
              <w:spacing w:beforeAutospacing="0" w:afterAutospacing="0" w:line="360" w:lineRule="auto"/>
              <w:ind w:left="0" w:leftChars="0" w:right="0" w:rightChars="0"/>
              <w:jc w:val="both"/>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实施方案工作内容描述简单，工作方法可行性不强，工作流程及时间安排，技术路线不够全面，队伍组织科学性不合理，得1分。</w:t>
            </w:r>
          </w:p>
          <w:p w14:paraId="7AA3BD16">
            <w:pPr>
              <w:pageBreakBefore w:val="0"/>
              <w:shd w:val="clear" w:color="auto" w:fill="auto"/>
              <w:kinsoku/>
              <w:wordWrap/>
              <w:overflowPunct/>
              <w:topLinePunct w:val="0"/>
              <w:bidi w:val="0"/>
              <w:spacing w:beforeAutospacing="0" w:afterAutospacing="0" w:line="360" w:lineRule="auto"/>
              <w:ind w:left="0" w:leftChars="0" w:right="0" w:rightChars="0"/>
              <w:jc w:val="both"/>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未提供方案得0分</w:t>
            </w:r>
          </w:p>
        </w:tc>
        <w:tc>
          <w:tcPr>
            <w:tcW w:w="951" w:type="dxa"/>
            <w:shd w:val="clear" w:color="auto" w:fill="FFFFFF"/>
            <w:vAlign w:val="center"/>
          </w:tcPr>
          <w:p w14:paraId="7FB36BEB">
            <w:pPr>
              <w:jc w:val="center"/>
              <w:rPr>
                <w:rFonts w:hint="default"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8</w:t>
            </w:r>
            <w:r>
              <w:rPr>
                <w:rFonts w:hint="eastAsia" w:ascii="宋体" w:hAnsi="宋体"/>
                <w:bCs/>
                <w:color w:val="auto"/>
                <w:kern w:val="0"/>
                <w:sz w:val="24"/>
                <w:szCs w:val="24"/>
                <w:highlight w:val="none"/>
              </w:rPr>
              <w:t>分</w:t>
            </w:r>
          </w:p>
        </w:tc>
      </w:tr>
      <w:tr w14:paraId="06594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327" w:hRule="atLeast"/>
          <w:jc w:val="center"/>
        </w:trPr>
        <w:tc>
          <w:tcPr>
            <w:tcW w:w="1292" w:type="dxa"/>
            <w:vMerge w:val="continue"/>
            <w:shd w:val="clear" w:color="auto" w:fill="FFFFFF"/>
            <w:vAlign w:val="center"/>
          </w:tcPr>
          <w:p w14:paraId="0A34BC54">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30C3ADAF">
            <w:pPr>
              <w:pageBreakBefore w:val="0"/>
              <w:shd w:val="clear" w:color="auto" w:fill="auto"/>
              <w:kinsoku/>
              <w:wordWrap/>
              <w:overflowPunct/>
              <w:topLinePunct w:val="0"/>
              <w:bidi w:val="0"/>
              <w:spacing w:beforeAutospacing="0" w:afterAutospacing="0" w:line="360" w:lineRule="auto"/>
              <w:ind w:left="0" w:leftChars="0" w:right="0" w:rightChars="0"/>
              <w:jc w:val="center"/>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对本项目的认识、理解</w:t>
            </w:r>
          </w:p>
          <w:p w14:paraId="68FF2D6C">
            <w:pPr>
              <w:pageBreakBefore w:val="0"/>
              <w:shd w:val="clear" w:color="auto" w:fill="auto"/>
              <w:kinsoku/>
              <w:wordWrap/>
              <w:overflowPunct/>
              <w:topLinePunct w:val="0"/>
              <w:bidi w:val="0"/>
              <w:spacing w:beforeAutospacing="0" w:afterAutospacing="0" w:line="360" w:lineRule="auto"/>
              <w:ind w:left="0" w:leftChars="0" w:right="0" w:rightChars="0"/>
              <w:jc w:val="center"/>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（6分）</w:t>
            </w:r>
          </w:p>
        </w:tc>
        <w:tc>
          <w:tcPr>
            <w:tcW w:w="5772" w:type="dxa"/>
            <w:shd w:val="clear" w:color="auto" w:fill="FFFFFF"/>
            <w:vAlign w:val="center"/>
          </w:tcPr>
          <w:p w14:paraId="1DF17A1D">
            <w:pPr>
              <w:pageBreakBefore w:val="0"/>
              <w:shd w:val="clear" w:color="auto" w:fill="auto"/>
              <w:kinsoku/>
              <w:wordWrap/>
              <w:overflowPunct/>
              <w:topLinePunct w:val="0"/>
              <w:bidi w:val="0"/>
              <w:spacing w:beforeAutospacing="0" w:afterAutospacing="0" w:line="360" w:lineRule="auto"/>
              <w:ind w:left="0" w:leftChars="0" w:right="0" w:rightChars="0"/>
              <w:jc w:val="both"/>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根据供应商对本项目背景、现状、工作重点、工作难点、预期效果的理解和认识等方面进行综合评分：对项目背景及现状理解透彻、具体、全面，工作思路及重点、难点分析清晰，针对性强，可行性强，得6分。对项目背景及现状理解清晰、具体，工作思路及重点、难点分析较清晰，针对性较强，可行性较强，得3分。3.对项目背景及现状理解不全面，工作思路及重点、难点分析基本完整，针对性不强，得1分。未提供方案得0分</w:t>
            </w:r>
          </w:p>
        </w:tc>
        <w:tc>
          <w:tcPr>
            <w:tcW w:w="951" w:type="dxa"/>
            <w:shd w:val="clear" w:color="auto" w:fill="FFFFFF"/>
            <w:vAlign w:val="center"/>
          </w:tcPr>
          <w:p w14:paraId="352383E7">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6</w:t>
            </w:r>
            <w:r>
              <w:rPr>
                <w:rFonts w:hint="eastAsia" w:ascii="宋体" w:hAnsi="宋体"/>
                <w:bCs/>
                <w:color w:val="auto"/>
                <w:kern w:val="0"/>
                <w:sz w:val="24"/>
                <w:szCs w:val="24"/>
                <w:highlight w:val="none"/>
              </w:rPr>
              <w:t>分</w:t>
            </w:r>
          </w:p>
        </w:tc>
      </w:tr>
      <w:tr w14:paraId="43180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327" w:hRule="atLeast"/>
          <w:jc w:val="center"/>
        </w:trPr>
        <w:tc>
          <w:tcPr>
            <w:tcW w:w="1292" w:type="dxa"/>
            <w:vMerge w:val="continue"/>
            <w:shd w:val="clear" w:color="auto" w:fill="FFFFFF"/>
            <w:vAlign w:val="center"/>
          </w:tcPr>
          <w:p w14:paraId="5C498E1A">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22432AF5">
            <w:pPr>
              <w:pageBreakBefore w:val="0"/>
              <w:shd w:val="clear" w:color="auto" w:fill="auto"/>
              <w:kinsoku/>
              <w:wordWrap/>
              <w:overflowPunct/>
              <w:topLinePunct w:val="0"/>
              <w:bidi w:val="0"/>
              <w:spacing w:beforeAutospacing="0" w:afterAutospacing="0" w:line="360" w:lineRule="auto"/>
              <w:ind w:left="0" w:leftChars="0" w:right="0" w:rightChars="0"/>
              <w:jc w:val="center"/>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重点难点进行分析、合理化建议(6分)</w:t>
            </w:r>
          </w:p>
        </w:tc>
        <w:tc>
          <w:tcPr>
            <w:tcW w:w="5772" w:type="dxa"/>
            <w:shd w:val="clear" w:color="auto" w:fill="FFFFFF"/>
            <w:vAlign w:val="center"/>
          </w:tcPr>
          <w:p w14:paraId="01D44B62">
            <w:pPr>
              <w:pageBreakBefore w:val="0"/>
              <w:shd w:val="clear" w:color="auto" w:fill="auto"/>
              <w:kinsoku/>
              <w:wordWrap/>
              <w:overflowPunct/>
              <w:topLinePunct w:val="0"/>
              <w:bidi w:val="0"/>
              <w:spacing w:beforeAutospacing="0" w:afterAutospacing="0" w:line="360" w:lineRule="auto"/>
              <w:ind w:left="0" w:leftChars="0" w:right="0" w:rightChars="0"/>
              <w:jc w:val="both"/>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（1）重点难点分析；（2）应对措施；（3）相关的合理化建议。</w:t>
            </w:r>
          </w:p>
          <w:p w14:paraId="5D76370D">
            <w:pPr>
              <w:pageBreakBefore w:val="0"/>
              <w:shd w:val="clear" w:color="auto" w:fill="auto"/>
              <w:kinsoku/>
              <w:wordWrap/>
              <w:overflowPunct/>
              <w:topLinePunct w:val="0"/>
              <w:bidi w:val="0"/>
              <w:spacing w:beforeAutospacing="0" w:afterAutospacing="0" w:line="360" w:lineRule="auto"/>
              <w:ind w:left="0" w:leftChars="0" w:right="0" w:rightChars="0"/>
              <w:jc w:val="both"/>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以上方案的三点内容全面具体、针对性强、可操作性强，得6分；</w:t>
            </w:r>
          </w:p>
          <w:p w14:paraId="4759D33F">
            <w:pPr>
              <w:pageBreakBefore w:val="0"/>
              <w:shd w:val="clear" w:color="auto" w:fill="auto"/>
              <w:kinsoku/>
              <w:wordWrap/>
              <w:overflowPunct/>
              <w:topLinePunct w:val="0"/>
              <w:bidi w:val="0"/>
              <w:spacing w:beforeAutospacing="0" w:afterAutospacing="0" w:line="360" w:lineRule="auto"/>
              <w:ind w:left="0" w:leftChars="0" w:right="0" w:rightChars="0"/>
              <w:jc w:val="both"/>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以上方案的三点内容较全面、针对性较强、可操作性较强，得3分；</w:t>
            </w:r>
          </w:p>
          <w:p w14:paraId="21209601">
            <w:pPr>
              <w:pageBreakBefore w:val="0"/>
              <w:shd w:val="clear" w:color="auto" w:fill="auto"/>
              <w:kinsoku/>
              <w:wordWrap/>
              <w:overflowPunct/>
              <w:topLinePunct w:val="0"/>
              <w:bidi w:val="0"/>
              <w:spacing w:beforeAutospacing="0" w:afterAutospacing="0" w:line="360" w:lineRule="auto"/>
              <w:ind w:left="0" w:leftChars="0" w:right="0" w:rightChars="0"/>
              <w:jc w:val="both"/>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以上方案的三点内容完整性、针对性、可操作性均不强，得1分。</w:t>
            </w:r>
          </w:p>
          <w:p w14:paraId="4D009E8C">
            <w:pPr>
              <w:pageBreakBefore w:val="0"/>
              <w:shd w:val="clear" w:color="auto" w:fill="auto"/>
              <w:kinsoku/>
              <w:wordWrap/>
              <w:overflowPunct/>
              <w:topLinePunct w:val="0"/>
              <w:bidi w:val="0"/>
              <w:spacing w:beforeAutospacing="0" w:afterAutospacing="0" w:line="360" w:lineRule="auto"/>
              <w:ind w:left="0" w:leftChars="0" w:right="0" w:rightChars="0"/>
              <w:jc w:val="both"/>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cs="宋体"/>
                <w:bCs/>
                <w:sz w:val="24"/>
                <w:szCs w:val="24"/>
                <w:highlight w:val="none"/>
                <w:lang w:val="en-US" w:eastAsia="zh-CN" w:bidi="ar"/>
              </w:rPr>
              <w:t>未提供方案得0分。</w:t>
            </w:r>
          </w:p>
        </w:tc>
        <w:tc>
          <w:tcPr>
            <w:tcW w:w="951" w:type="dxa"/>
            <w:shd w:val="clear" w:color="auto" w:fill="FFFFFF"/>
            <w:vAlign w:val="center"/>
          </w:tcPr>
          <w:p w14:paraId="0ABC3A7F">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6</w:t>
            </w:r>
            <w:r>
              <w:rPr>
                <w:rFonts w:hint="eastAsia" w:ascii="宋体" w:hAnsi="宋体"/>
                <w:bCs/>
                <w:color w:val="auto"/>
                <w:kern w:val="0"/>
                <w:sz w:val="24"/>
                <w:szCs w:val="24"/>
                <w:highlight w:val="none"/>
              </w:rPr>
              <w:t>分</w:t>
            </w:r>
          </w:p>
        </w:tc>
      </w:tr>
      <w:tr w14:paraId="5CE7A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327" w:hRule="atLeast"/>
          <w:jc w:val="center"/>
        </w:trPr>
        <w:tc>
          <w:tcPr>
            <w:tcW w:w="1292" w:type="dxa"/>
            <w:vMerge w:val="continue"/>
            <w:shd w:val="clear" w:color="auto" w:fill="FFFFFF"/>
            <w:vAlign w:val="center"/>
          </w:tcPr>
          <w:p w14:paraId="0D147D66">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2C24EE4F">
            <w:pPr>
              <w:pageBreakBefore w:val="0"/>
              <w:shd w:val="clear" w:color="auto" w:fill="auto"/>
              <w:kinsoku/>
              <w:wordWrap/>
              <w:overflowPunct/>
              <w:topLinePunct w:val="0"/>
              <w:bidi w:val="0"/>
              <w:spacing w:beforeAutospacing="0" w:afterAutospacing="0" w:line="360" w:lineRule="auto"/>
              <w:ind w:left="0" w:leftChars="0" w:right="0" w:rightChars="0"/>
              <w:jc w:val="center"/>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质量保障方案 （6分）</w:t>
            </w:r>
          </w:p>
        </w:tc>
        <w:tc>
          <w:tcPr>
            <w:tcW w:w="5772" w:type="dxa"/>
            <w:shd w:val="clear" w:color="auto" w:fill="FFFFFF"/>
            <w:vAlign w:val="center"/>
          </w:tcPr>
          <w:p w14:paraId="460CA2D8">
            <w:pPr>
              <w:pageBreakBefore w:val="0"/>
              <w:shd w:val="clear" w:color="auto" w:fill="auto"/>
              <w:kinsoku/>
              <w:wordWrap/>
              <w:overflowPunct/>
              <w:topLinePunct w:val="0"/>
              <w:bidi w:val="0"/>
              <w:spacing w:beforeAutospacing="0" w:afterAutospacing="0" w:line="360" w:lineRule="auto"/>
              <w:ind w:left="0" w:leftChars="0" w:right="0" w:rightChars="0"/>
              <w:jc w:val="both"/>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根据投标人提供的实现项目要求、服务质量目标的保证措施，成果文件质量保证措施，具有有效的质量控制机制及监督机制，服务过程中所遇问题解决保障措施，实事求是且满足项目需求的程度等进行综合评分：具有有效的质量控制机制及监督机制，解决问题的保障措施，完全满足项目需求得6分；具有较有效的质量控制机制及监督机制，解决问题保障措施，基本满足项目需求的得3分；具有简单的质量控制机制及监督机制，解决问题保障措施，简单足项目需求的得1分；</w:t>
            </w:r>
          </w:p>
          <w:p w14:paraId="5AAC4F0A">
            <w:pPr>
              <w:pageBreakBefore w:val="0"/>
              <w:shd w:val="clear" w:color="auto" w:fill="auto"/>
              <w:kinsoku/>
              <w:wordWrap/>
              <w:overflowPunct/>
              <w:topLinePunct w:val="0"/>
              <w:bidi w:val="0"/>
              <w:spacing w:beforeAutospacing="0" w:afterAutospacing="0" w:line="360" w:lineRule="auto"/>
              <w:ind w:left="0" w:leftChars="0" w:right="0" w:rightChars="0"/>
              <w:jc w:val="both"/>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cs="宋体"/>
                <w:bCs/>
                <w:sz w:val="24"/>
                <w:szCs w:val="24"/>
                <w:highlight w:val="none"/>
                <w:lang w:val="en-US" w:eastAsia="zh-CN" w:bidi="ar"/>
              </w:rPr>
              <w:t>未针对本项描述的，不得分。</w:t>
            </w:r>
          </w:p>
        </w:tc>
        <w:tc>
          <w:tcPr>
            <w:tcW w:w="951" w:type="dxa"/>
            <w:shd w:val="clear" w:color="auto" w:fill="FFFFFF"/>
            <w:vAlign w:val="center"/>
          </w:tcPr>
          <w:p w14:paraId="0E49F4C0">
            <w:pPr>
              <w:jc w:val="center"/>
              <w:rPr>
                <w:rFonts w:hint="eastAsia" w:ascii="宋体" w:hAnsi="宋体" w:eastAsia="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6</w:t>
            </w:r>
            <w:r>
              <w:rPr>
                <w:rFonts w:hint="eastAsia" w:ascii="宋体" w:hAnsi="宋体"/>
                <w:bCs/>
                <w:color w:val="auto"/>
                <w:kern w:val="0"/>
                <w:sz w:val="24"/>
                <w:szCs w:val="24"/>
                <w:highlight w:val="none"/>
              </w:rPr>
              <w:t>分</w:t>
            </w:r>
          </w:p>
        </w:tc>
      </w:tr>
      <w:tr w14:paraId="4618E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095" w:hRule="atLeast"/>
          <w:jc w:val="center"/>
        </w:trPr>
        <w:tc>
          <w:tcPr>
            <w:tcW w:w="1292" w:type="dxa"/>
            <w:vMerge w:val="continue"/>
            <w:shd w:val="clear" w:color="auto" w:fill="FFFFFF"/>
            <w:vAlign w:val="center"/>
          </w:tcPr>
          <w:p w14:paraId="065E4942">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2F075142">
            <w:pPr>
              <w:pageBreakBefore w:val="0"/>
              <w:shd w:val="clear" w:color="auto" w:fill="auto"/>
              <w:kinsoku/>
              <w:wordWrap/>
              <w:overflowPunct/>
              <w:topLinePunct w:val="0"/>
              <w:bidi w:val="0"/>
              <w:spacing w:beforeAutospacing="0" w:afterAutospacing="0" w:line="360" w:lineRule="auto"/>
              <w:ind w:left="0" w:leftChars="0" w:right="0" w:rightChars="0"/>
              <w:jc w:val="center"/>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人员配置</w:t>
            </w:r>
            <w:r>
              <w:rPr>
                <w:rFonts w:hint="eastAsia" w:ascii="宋体" w:hAnsi="宋体" w:eastAsia="宋体" w:cs="宋体"/>
                <w:bCs/>
                <w:sz w:val="24"/>
                <w:szCs w:val="24"/>
                <w:highlight w:val="none"/>
                <w:lang w:val="en-US" w:eastAsia="zh-CN" w:bidi="ar"/>
              </w:rPr>
              <w:br w:type="textWrapping"/>
            </w:r>
            <w:r>
              <w:rPr>
                <w:rFonts w:hint="eastAsia" w:ascii="宋体" w:hAnsi="宋体" w:eastAsia="宋体" w:cs="宋体"/>
                <w:bCs/>
                <w:sz w:val="24"/>
                <w:szCs w:val="24"/>
                <w:highlight w:val="none"/>
                <w:lang w:val="en-US" w:eastAsia="zh-CN" w:bidi="ar"/>
              </w:rPr>
              <w:t>（6分）</w:t>
            </w:r>
          </w:p>
        </w:tc>
        <w:tc>
          <w:tcPr>
            <w:tcW w:w="5772" w:type="dxa"/>
            <w:shd w:val="clear" w:color="auto" w:fill="FFFFFF"/>
            <w:vAlign w:val="center"/>
          </w:tcPr>
          <w:p w14:paraId="5C34D925">
            <w:pPr>
              <w:pageBreakBefore w:val="0"/>
              <w:shd w:val="clear" w:color="auto" w:fill="auto"/>
              <w:kinsoku/>
              <w:wordWrap/>
              <w:overflowPunct/>
              <w:topLinePunct w:val="0"/>
              <w:bidi w:val="0"/>
              <w:spacing w:beforeAutospacing="0" w:afterAutospacing="0" w:line="360" w:lineRule="auto"/>
              <w:ind w:left="0" w:leftChars="0" w:right="0" w:rightChars="0"/>
              <w:jc w:val="both"/>
              <w:textAlignment w:val="auto"/>
              <w:rPr>
                <w:rFonts w:hint="default"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eastAsia="zh-CN" w:bidi="ar"/>
              </w:rPr>
              <w:t>依据服务团队的组织分工安排、详细的人员配备、组织架构、职能分工、岗位职责等情况进行横向比较，全面的得</w:t>
            </w:r>
            <w:r>
              <w:rPr>
                <w:rFonts w:hint="eastAsia" w:ascii="宋体" w:hAnsi="宋体" w:eastAsia="宋体" w:cs="宋体"/>
                <w:bCs/>
                <w:sz w:val="24"/>
                <w:szCs w:val="24"/>
                <w:highlight w:val="none"/>
                <w:lang w:val="en-US" w:eastAsia="zh-CN" w:bidi="ar"/>
              </w:rPr>
              <w:t>6</w:t>
            </w:r>
            <w:r>
              <w:rPr>
                <w:rFonts w:hint="eastAsia" w:ascii="宋体" w:hAnsi="宋体" w:eastAsia="宋体" w:cs="宋体"/>
                <w:bCs/>
                <w:sz w:val="24"/>
                <w:szCs w:val="24"/>
                <w:highlight w:val="none"/>
                <w:lang w:eastAsia="zh-CN" w:bidi="ar"/>
              </w:rPr>
              <w:t>分，相对全面的得3分，</w:t>
            </w:r>
            <w:r>
              <w:rPr>
                <w:rFonts w:hint="eastAsia" w:ascii="宋体" w:hAnsi="宋体" w:eastAsia="宋体" w:cs="宋体"/>
                <w:bCs/>
                <w:sz w:val="24"/>
                <w:szCs w:val="24"/>
                <w:highlight w:val="none"/>
                <w:lang w:val="en-US" w:eastAsia="zh-CN" w:bidi="ar"/>
              </w:rPr>
              <w:t>基本可行</w:t>
            </w:r>
            <w:r>
              <w:rPr>
                <w:rFonts w:hint="eastAsia" w:ascii="宋体" w:hAnsi="宋体" w:eastAsia="宋体" w:cs="宋体"/>
                <w:bCs/>
                <w:sz w:val="24"/>
                <w:szCs w:val="24"/>
                <w:highlight w:val="none"/>
                <w:lang w:eastAsia="zh-CN" w:bidi="ar"/>
              </w:rPr>
              <w:t>的得1分，缺项不得分。</w:t>
            </w:r>
          </w:p>
        </w:tc>
        <w:tc>
          <w:tcPr>
            <w:tcW w:w="951" w:type="dxa"/>
            <w:shd w:val="clear" w:color="auto" w:fill="FFFFFF"/>
            <w:vAlign w:val="center"/>
          </w:tcPr>
          <w:p w14:paraId="6457611E">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6</w:t>
            </w:r>
            <w:r>
              <w:rPr>
                <w:rFonts w:hint="eastAsia" w:ascii="宋体" w:hAnsi="宋体"/>
                <w:bCs/>
                <w:color w:val="auto"/>
                <w:kern w:val="0"/>
                <w:sz w:val="24"/>
                <w:szCs w:val="24"/>
                <w:highlight w:val="none"/>
              </w:rPr>
              <w:t>分</w:t>
            </w:r>
          </w:p>
        </w:tc>
      </w:tr>
      <w:tr w14:paraId="4583E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8" w:hRule="atLeast"/>
          <w:jc w:val="center"/>
        </w:trPr>
        <w:tc>
          <w:tcPr>
            <w:tcW w:w="1292" w:type="dxa"/>
            <w:vMerge w:val="continue"/>
            <w:shd w:val="clear" w:color="auto" w:fill="FFFFFF"/>
            <w:vAlign w:val="center"/>
          </w:tcPr>
          <w:p w14:paraId="70666FB8">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51302ED9">
            <w:pPr>
              <w:pageBreakBefore w:val="0"/>
              <w:shd w:val="clear" w:color="auto" w:fill="auto"/>
              <w:kinsoku/>
              <w:wordWrap/>
              <w:overflowPunct/>
              <w:topLinePunct w:val="0"/>
              <w:bidi w:val="0"/>
              <w:spacing w:beforeAutospacing="0" w:afterAutospacing="0" w:line="360" w:lineRule="auto"/>
              <w:ind w:left="0" w:leftChars="0" w:right="0" w:rightChars="0"/>
              <w:jc w:val="center"/>
              <w:textAlignment w:val="auto"/>
              <w:rPr>
                <w:rFonts w:hint="eastAsia" w:ascii="宋体" w:hAnsi="宋体" w:eastAsia="宋体" w:cs="宋体"/>
                <w:bCs/>
                <w:sz w:val="24"/>
                <w:szCs w:val="24"/>
                <w:highlight w:val="none"/>
                <w:lang w:bidi="ar"/>
              </w:rPr>
            </w:pPr>
            <w:r>
              <w:rPr>
                <w:rFonts w:hint="eastAsia" w:ascii="宋体" w:hAnsi="宋体" w:eastAsia="宋体" w:cs="宋体"/>
                <w:bCs/>
                <w:sz w:val="24"/>
                <w:szCs w:val="24"/>
                <w:highlight w:val="none"/>
                <w:lang w:bidi="ar"/>
              </w:rPr>
              <w:t>进度保障措施</w:t>
            </w:r>
          </w:p>
          <w:p w14:paraId="4FF966DF">
            <w:pPr>
              <w:pageBreakBefore w:val="0"/>
              <w:shd w:val="clear" w:color="auto" w:fill="auto"/>
              <w:kinsoku/>
              <w:wordWrap/>
              <w:overflowPunct/>
              <w:topLinePunct w:val="0"/>
              <w:bidi w:val="0"/>
              <w:spacing w:beforeAutospacing="0" w:afterAutospacing="0" w:line="360" w:lineRule="auto"/>
              <w:ind w:left="0" w:leftChars="0" w:right="0" w:rightChars="0"/>
              <w:jc w:val="center"/>
              <w:textAlignment w:val="auto"/>
              <w:rPr>
                <w:rFonts w:hint="eastAsia" w:ascii="宋体" w:hAnsi="宋体" w:eastAsia="宋体"/>
                <w:bCs/>
                <w:color w:val="auto"/>
                <w:kern w:val="0"/>
                <w:sz w:val="24"/>
                <w:szCs w:val="24"/>
                <w:highlight w:val="none"/>
              </w:rPr>
            </w:pPr>
            <w:r>
              <w:rPr>
                <w:rFonts w:hint="eastAsia" w:ascii="宋体" w:hAnsi="宋体" w:eastAsia="宋体" w:cs="宋体"/>
                <w:bCs/>
                <w:sz w:val="24"/>
                <w:szCs w:val="24"/>
                <w:highlight w:val="none"/>
                <w:lang w:bidi="ar"/>
              </w:rPr>
              <w:t>（</w:t>
            </w:r>
            <w:r>
              <w:rPr>
                <w:rFonts w:hint="eastAsia" w:ascii="宋体" w:hAnsi="宋体" w:eastAsia="宋体" w:cs="宋体"/>
                <w:bCs/>
                <w:sz w:val="24"/>
                <w:szCs w:val="24"/>
                <w:highlight w:val="none"/>
                <w:lang w:val="en-US" w:eastAsia="zh-CN" w:bidi="ar"/>
              </w:rPr>
              <w:t>6</w:t>
            </w:r>
            <w:r>
              <w:rPr>
                <w:rFonts w:hint="eastAsia" w:ascii="宋体" w:hAnsi="宋体" w:eastAsia="宋体" w:cs="宋体"/>
                <w:bCs/>
                <w:sz w:val="24"/>
                <w:szCs w:val="24"/>
                <w:highlight w:val="none"/>
                <w:lang w:bidi="ar"/>
              </w:rPr>
              <w:t>分）</w:t>
            </w:r>
          </w:p>
        </w:tc>
        <w:tc>
          <w:tcPr>
            <w:tcW w:w="5772" w:type="dxa"/>
            <w:shd w:val="clear" w:color="auto" w:fill="FFFFFF"/>
            <w:vAlign w:val="center"/>
          </w:tcPr>
          <w:p w14:paraId="0659AC1E">
            <w:pPr>
              <w:pageBreakBefore w:val="0"/>
              <w:shd w:val="clear" w:color="auto" w:fill="auto"/>
              <w:kinsoku/>
              <w:wordWrap/>
              <w:overflowPunct/>
              <w:topLinePunct w:val="0"/>
              <w:bidi w:val="0"/>
              <w:spacing w:beforeAutospacing="0" w:afterAutospacing="0" w:line="360" w:lineRule="auto"/>
              <w:ind w:left="0" w:leftChars="0" w:right="0" w:rightChars="0"/>
              <w:jc w:val="both"/>
              <w:textAlignment w:val="auto"/>
              <w:rPr>
                <w:rFonts w:hint="eastAsia" w:ascii="宋体" w:hAnsi="宋体" w:eastAsia="宋体" w:cs="宋体"/>
                <w:bCs/>
                <w:sz w:val="24"/>
                <w:szCs w:val="24"/>
                <w:highlight w:val="none"/>
                <w:lang w:eastAsia="zh-CN" w:bidi="ar"/>
              </w:rPr>
            </w:pPr>
            <w:r>
              <w:rPr>
                <w:rFonts w:hint="eastAsia" w:ascii="宋体" w:hAnsi="宋体" w:eastAsia="宋体" w:cs="宋体"/>
                <w:bCs/>
                <w:sz w:val="24"/>
                <w:szCs w:val="24"/>
                <w:highlight w:val="none"/>
                <w:lang w:eastAsia="zh-CN" w:bidi="ar"/>
              </w:rPr>
              <w:t>根据投标人提出的项目进度安排方案，服务工作的时间、人员及组织安排，服务工作关键节点、进度等进行综合评分：项目进度安排方案合理可行，服务工作的时间、人员及组织安排科学全面，服务工作关键节点、进度描述全面清晰时间安排完全满足项目需求得</w:t>
            </w:r>
            <w:r>
              <w:rPr>
                <w:rFonts w:hint="eastAsia" w:ascii="宋体" w:hAnsi="宋体" w:eastAsia="宋体" w:cs="宋体"/>
                <w:bCs/>
                <w:sz w:val="24"/>
                <w:szCs w:val="24"/>
                <w:highlight w:val="none"/>
                <w:lang w:val="en-US" w:eastAsia="zh-CN" w:bidi="ar"/>
              </w:rPr>
              <w:t>6</w:t>
            </w:r>
            <w:r>
              <w:rPr>
                <w:rFonts w:hint="eastAsia" w:ascii="宋体" w:hAnsi="宋体" w:eastAsia="宋体" w:cs="宋体"/>
                <w:bCs/>
                <w:sz w:val="24"/>
                <w:szCs w:val="24"/>
                <w:highlight w:val="none"/>
                <w:lang w:eastAsia="zh-CN" w:bidi="ar"/>
              </w:rPr>
              <w:t>分；项目进度安排方案</w:t>
            </w:r>
            <w:r>
              <w:rPr>
                <w:rFonts w:hint="eastAsia" w:ascii="宋体" w:hAnsi="宋体" w:eastAsia="宋体" w:cs="宋体"/>
                <w:bCs/>
                <w:sz w:val="24"/>
                <w:szCs w:val="24"/>
                <w:highlight w:val="none"/>
                <w:lang w:val="en-US" w:eastAsia="zh-CN" w:bidi="ar"/>
              </w:rPr>
              <w:t>基本</w:t>
            </w:r>
            <w:r>
              <w:rPr>
                <w:rFonts w:hint="eastAsia" w:ascii="宋体" w:hAnsi="宋体" w:eastAsia="宋体" w:cs="宋体"/>
                <w:bCs/>
                <w:sz w:val="24"/>
                <w:szCs w:val="24"/>
                <w:highlight w:val="none"/>
                <w:lang w:eastAsia="zh-CN" w:bidi="ar"/>
              </w:rPr>
              <w:t>合理可行，服务工作的时间、人员及组织安排</w:t>
            </w:r>
            <w:r>
              <w:rPr>
                <w:rFonts w:hint="eastAsia" w:ascii="宋体" w:hAnsi="宋体" w:eastAsia="宋体" w:cs="宋体"/>
                <w:bCs/>
                <w:sz w:val="24"/>
                <w:szCs w:val="24"/>
                <w:highlight w:val="none"/>
                <w:lang w:val="en-US" w:eastAsia="zh-CN" w:bidi="ar"/>
              </w:rPr>
              <w:t>基本</w:t>
            </w:r>
            <w:r>
              <w:rPr>
                <w:rFonts w:hint="eastAsia" w:ascii="宋体" w:hAnsi="宋体" w:eastAsia="宋体" w:cs="宋体"/>
                <w:bCs/>
                <w:sz w:val="24"/>
                <w:szCs w:val="24"/>
                <w:highlight w:val="none"/>
                <w:lang w:eastAsia="zh-CN" w:bidi="ar"/>
              </w:rPr>
              <w:t>全面，服务工作关键节点、进度描述清晰，时间安排满足项目需求得</w:t>
            </w:r>
            <w:r>
              <w:rPr>
                <w:rFonts w:hint="eastAsia" w:ascii="宋体" w:hAnsi="宋体" w:eastAsia="宋体" w:cs="宋体"/>
                <w:bCs/>
                <w:sz w:val="24"/>
                <w:szCs w:val="24"/>
                <w:highlight w:val="none"/>
                <w:lang w:val="en-US" w:eastAsia="zh-CN" w:bidi="ar"/>
              </w:rPr>
              <w:t>3</w:t>
            </w:r>
            <w:r>
              <w:rPr>
                <w:rFonts w:hint="eastAsia" w:ascii="宋体" w:hAnsi="宋体" w:eastAsia="宋体" w:cs="宋体"/>
                <w:bCs/>
                <w:sz w:val="24"/>
                <w:szCs w:val="24"/>
                <w:highlight w:val="none"/>
                <w:lang w:eastAsia="zh-CN" w:bidi="ar"/>
              </w:rPr>
              <w:t>分；项目进度安排方案一般，服务工作的时间、人员及组织安排一般，服务工作关键节点、进度描述一般，时间安排满足项目基本需求得</w:t>
            </w:r>
            <w:r>
              <w:rPr>
                <w:rFonts w:hint="eastAsia" w:ascii="宋体" w:hAnsi="宋体" w:eastAsia="宋体" w:cs="宋体"/>
                <w:bCs/>
                <w:sz w:val="24"/>
                <w:szCs w:val="24"/>
                <w:highlight w:val="none"/>
                <w:lang w:val="en-US" w:eastAsia="zh-CN" w:bidi="ar"/>
              </w:rPr>
              <w:t>1</w:t>
            </w:r>
            <w:r>
              <w:rPr>
                <w:rFonts w:hint="eastAsia" w:ascii="宋体" w:hAnsi="宋体" w:eastAsia="宋体" w:cs="宋体"/>
                <w:bCs/>
                <w:sz w:val="24"/>
                <w:szCs w:val="24"/>
                <w:highlight w:val="none"/>
                <w:lang w:eastAsia="zh-CN" w:bidi="ar"/>
              </w:rPr>
              <w:t>分；</w:t>
            </w:r>
          </w:p>
          <w:p w14:paraId="2FCCC9AB">
            <w:pPr>
              <w:pageBreakBefore w:val="0"/>
              <w:shd w:val="clear" w:color="auto" w:fill="auto"/>
              <w:kinsoku/>
              <w:wordWrap/>
              <w:overflowPunct/>
              <w:topLinePunct w:val="0"/>
              <w:bidi w:val="0"/>
              <w:spacing w:beforeAutospacing="0" w:afterAutospacing="0" w:line="360" w:lineRule="auto"/>
              <w:ind w:left="0" w:leftChars="0" w:right="0" w:rightChars="0"/>
              <w:jc w:val="both"/>
              <w:textAlignment w:val="auto"/>
              <w:rPr>
                <w:rFonts w:hint="eastAsia" w:ascii="宋体" w:hAnsi="宋体"/>
                <w:bCs/>
                <w:color w:val="auto"/>
                <w:kern w:val="0"/>
                <w:sz w:val="24"/>
                <w:szCs w:val="24"/>
                <w:highlight w:val="none"/>
              </w:rPr>
            </w:pPr>
            <w:r>
              <w:rPr>
                <w:rFonts w:hint="default" w:ascii="宋体" w:hAnsi="宋体" w:eastAsia="宋体" w:cs="宋体"/>
                <w:bCs/>
                <w:sz w:val="24"/>
                <w:szCs w:val="24"/>
                <w:highlight w:val="none"/>
                <w:lang w:val="en-US" w:eastAsia="zh-CN" w:bidi="ar"/>
              </w:rPr>
              <w:t>未针对本项描述的，不得分。</w:t>
            </w:r>
          </w:p>
        </w:tc>
        <w:tc>
          <w:tcPr>
            <w:tcW w:w="951" w:type="dxa"/>
            <w:shd w:val="clear" w:color="auto" w:fill="FFFFFF"/>
            <w:vAlign w:val="center"/>
          </w:tcPr>
          <w:p w14:paraId="1B6493B3">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6</w:t>
            </w:r>
            <w:r>
              <w:rPr>
                <w:rFonts w:hint="eastAsia" w:ascii="宋体" w:hAnsi="宋体"/>
                <w:bCs/>
                <w:color w:val="auto"/>
                <w:kern w:val="0"/>
                <w:sz w:val="24"/>
                <w:szCs w:val="24"/>
                <w:highlight w:val="none"/>
              </w:rPr>
              <w:t>分</w:t>
            </w:r>
          </w:p>
        </w:tc>
      </w:tr>
      <w:tr w14:paraId="3F1CA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0" w:hRule="atLeast"/>
          <w:jc w:val="center"/>
        </w:trPr>
        <w:tc>
          <w:tcPr>
            <w:tcW w:w="1292" w:type="dxa"/>
            <w:vMerge w:val="continue"/>
            <w:shd w:val="clear" w:color="auto" w:fill="FFFFFF"/>
            <w:vAlign w:val="center"/>
          </w:tcPr>
          <w:p w14:paraId="76742D12">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48F2D771">
            <w:pPr>
              <w:pageBreakBefore w:val="0"/>
              <w:shd w:val="clear" w:color="auto" w:fill="auto"/>
              <w:kinsoku/>
              <w:wordWrap/>
              <w:overflowPunct/>
              <w:topLinePunct w:val="0"/>
              <w:autoSpaceDE w:val="0"/>
              <w:autoSpaceDN w:val="0"/>
              <w:bidi w:val="0"/>
              <w:adjustRightInd w:val="0"/>
              <w:spacing w:beforeAutospacing="0" w:afterAutospacing="0" w:line="360" w:lineRule="auto"/>
              <w:ind w:left="0" w:leftChars="0" w:right="0" w:rightChars="0"/>
              <w:jc w:val="center"/>
              <w:textAlignment w:val="auto"/>
              <w:rPr>
                <w:rFonts w:hint="eastAsia" w:ascii="宋体" w:hAnsi="宋体" w:eastAsia="宋体"/>
                <w:bCs/>
                <w:color w:val="auto"/>
                <w:kern w:val="0"/>
                <w:sz w:val="24"/>
                <w:szCs w:val="24"/>
                <w:highlight w:val="none"/>
              </w:rPr>
            </w:pPr>
            <w:r>
              <w:rPr>
                <w:rFonts w:hint="eastAsia" w:ascii="宋体" w:hAnsi="宋体" w:eastAsia="宋体" w:cs="宋体"/>
                <w:sz w:val="24"/>
                <w:szCs w:val="24"/>
                <w:highlight w:val="none"/>
              </w:rPr>
              <w:t>档案管理措施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6分</w:t>
            </w:r>
            <w:r>
              <w:rPr>
                <w:rFonts w:hint="eastAsia" w:ascii="宋体" w:hAnsi="宋体" w:eastAsia="宋体" w:cs="宋体"/>
                <w:sz w:val="24"/>
                <w:szCs w:val="24"/>
                <w:highlight w:val="none"/>
                <w:lang w:eastAsia="zh-CN"/>
              </w:rPr>
              <w:t>）</w:t>
            </w:r>
          </w:p>
        </w:tc>
        <w:tc>
          <w:tcPr>
            <w:tcW w:w="5772" w:type="dxa"/>
            <w:shd w:val="clear" w:color="auto" w:fill="FFFFFF"/>
            <w:vAlign w:val="center"/>
          </w:tcPr>
          <w:p w14:paraId="6D579C79">
            <w:pPr>
              <w:pageBreakBefore w:val="0"/>
              <w:shd w:val="clear" w:color="auto" w:fill="auto"/>
              <w:kinsoku/>
              <w:wordWrap/>
              <w:overflowPunct/>
              <w:topLinePunct w:val="0"/>
              <w:bidi w:val="0"/>
              <w:spacing w:beforeAutospacing="0" w:afterAutospacing="0" w:line="360" w:lineRule="auto"/>
              <w:ind w:right="0" w:rightChars="0"/>
              <w:jc w:val="left"/>
              <w:textAlignment w:val="auto"/>
              <w:rPr>
                <w:rFonts w:hint="eastAsia" w:ascii="宋体" w:hAnsi="宋体"/>
                <w:bCs/>
                <w:color w:val="auto"/>
                <w:kern w:val="0"/>
                <w:sz w:val="24"/>
                <w:szCs w:val="24"/>
                <w:highlight w:val="none"/>
              </w:rPr>
            </w:pPr>
            <w:r>
              <w:rPr>
                <w:rFonts w:hint="eastAsia" w:ascii="宋体" w:hAnsi="宋体" w:eastAsia="宋体" w:cs="宋体"/>
                <w:sz w:val="24"/>
                <w:szCs w:val="24"/>
                <w:highlight w:val="none"/>
              </w:rPr>
              <w:t>依据</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提供的档案管理措施进行打分。档案管理措施和方法全面详细、管理制度切实可行，得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分；档案管理措施和方法较详细、管理制度较可行，得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分；档案管理措施和方法基本详细、管理制度基本可行，得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分；未针对本项描述，得0分。</w:t>
            </w:r>
          </w:p>
        </w:tc>
        <w:tc>
          <w:tcPr>
            <w:tcW w:w="951" w:type="dxa"/>
            <w:shd w:val="clear" w:color="auto" w:fill="FFFFFF"/>
            <w:vAlign w:val="center"/>
          </w:tcPr>
          <w:p w14:paraId="55715598">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6</w:t>
            </w:r>
            <w:r>
              <w:rPr>
                <w:rFonts w:hint="eastAsia" w:ascii="宋体" w:hAnsi="宋体"/>
                <w:bCs/>
                <w:color w:val="auto"/>
                <w:kern w:val="0"/>
                <w:sz w:val="24"/>
                <w:szCs w:val="24"/>
                <w:highlight w:val="none"/>
              </w:rPr>
              <w:t>分</w:t>
            </w:r>
          </w:p>
        </w:tc>
      </w:tr>
      <w:tr w14:paraId="4BA33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6" w:hRule="atLeast"/>
          <w:jc w:val="center"/>
        </w:trPr>
        <w:tc>
          <w:tcPr>
            <w:tcW w:w="1292" w:type="dxa"/>
            <w:vMerge w:val="continue"/>
            <w:shd w:val="clear" w:color="auto" w:fill="FFFFFF"/>
            <w:vAlign w:val="center"/>
          </w:tcPr>
          <w:p w14:paraId="371EB6D2">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7D430BD7">
            <w:pPr>
              <w:pageBreakBefore w:val="0"/>
              <w:shd w:val="clear" w:color="auto" w:fill="auto"/>
              <w:kinsoku/>
              <w:wordWrap/>
              <w:overflowPunct/>
              <w:topLinePunct w:val="0"/>
              <w:autoSpaceDE w:val="0"/>
              <w:autoSpaceDN w:val="0"/>
              <w:bidi w:val="0"/>
              <w:adjustRightInd w:val="0"/>
              <w:spacing w:beforeAutospacing="0" w:afterAutospacing="0" w:line="360" w:lineRule="auto"/>
              <w:ind w:left="0" w:leftChars="0" w:right="0" w:rightChars="0"/>
              <w:jc w:val="center"/>
              <w:textAlignment w:val="auto"/>
              <w:rPr>
                <w:rFonts w:hint="eastAsia" w:ascii="宋体" w:hAnsi="宋体" w:eastAsia="宋体"/>
                <w:bCs/>
                <w:color w:val="auto"/>
                <w:kern w:val="0"/>
                <w:sz w:val="24"/>
                <w:szCs w:val="24"/>
                <w:highlight w:val="none"/>
              </w:rPr>
            </w:pPr>
            <w:r>
              <w:rPr>
                <w:rFonts w:hint="eastAsia" w:ascii="宋体" w:hAnsi="宋体" w:eastAsia="宋体" w:cs="宋体"/>
                <w:sz w:val="24"/>
                <w:szCs w:val="24"/>
                <w:highlight w:val="none"/>
              </w:rPr>
              <w:t>问题沟通反馈及建议方案（</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72" w:type="dxa"/>
            <w:shd w:val="clear" w:color="auto" w:fill="FFFFFF"/>
            <w:vAlign w:val="center"/>
          </w:tcPr>
          <w:p w14:paraId="703FB94B">
            <w:pPr>
              <w:pageBreakBefore w:val="0"/>
              <w:shd w:val="clear" w:color="auto" w:fill="auto"/>
              <w:kinsoku/>
              <w:wordWrap/>
              <w:overflowPunct/>
              <w:topLinePunct w:val="0"/>
              <w:bidi w:val="0"/>
              <w:spacing w:beforeAutospacing="0" w:afterAutospacing="0" w:line="360" w:lineRule="auto"/>
              <w:ind w:right="0" w:rightChars="0"/>
              <w:jc w:val="left"/>
              <w:textAlignment w:val="auto"/>
              <w:rPr>
                <w:rFonts w:hint="eastAsia" w:ascii="宋体" w:hAnsi="宋体"/>
                <w:bCs/>
                <w:color w:val="auto"/>
                <w:kern w:val="0"/>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提出的在服务过程中发现的问题和关键事项的沟通反馈机制，解决问题的途径及对</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长期稳定发展的建议方案等进行综合评分：沟通反馈机制及建议方案内容全面具体且可行性高得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沟通反馈机制及建议方案内容较全面、可行性较高得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沟通反馈机制及建议方案内容一般，可行性一般得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未针对本项描述，得0分。</w:t>
            </w:r>
          </w:p>
        </w:tc>
        <w:tc>
          <w:tcPr>
            <w:tcW w:w="951" w:type="dxa"/>
            <w:shd w:val="clear" w:color="auto" w:fill="FFFFFF"/>
            <w:vAlign w:val="center"/>
          </w:tcPr>
          <w:p w14:paraId="4102D2CF">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6</w:t>
            </w:r>
            <w:r>
              <w:rPr>
                <w:rFonts w:hint="eastAsia" w:ascii="宋体" w:hAnsi="宋体"/>
                <w:bCs/>
                <w:color w:val="auto"/>
                <w:kern w:val="0"/>
                <w:sz w:val="24"/>
                <w:szCs w:val="24"/>
                <w:highlight w:val="none"/>
              </w:rPr>
              <w:t>分</w:t>
            </w:r>
          </w:p>
        </w:tc>
      </w:tr>
      <w:tr w14:paraId="0D21E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1292" w:type="dxa"/>
            <w:vMerge w:val="restart"/>
            <w:shd w:val="clear" w:color="auto" w:fill="FFFFFF"/>
            <w:vAlign w:val="center"/>
          </w:tcPr>
          <w:p w14:paraId="55CE81B4">
            <w:pPr>
              <w:jc w:val="center"/>
              <w:rPr>
                <w:rFonts w:hint="eastAsia" w:ascii="宋体" w:hAnsi="宋体" w:eastAsia="宋体"/>
                <w:color w:val="auto"/>
                <w:kern w:val="0"/>
                <w:sz w:val="24"/>
                <w:szCs w:val="24"/>
                <w:highlight w:val="none"/>
              </w:rPr>
            </w:pPr>
            <w:r>
              <w:rPr>
                <w:rFonts w:hint="eastAsia" w:ascii="宋体" w:hAnsi="宋体"/>
                <w:color w:val="auto"/>
                <w:kern w:val="0"/>
                <w:sz w:val="24"/>
                <w:szCs w:val="24"/>
                <w:highlight w:val="none"/>
              </w:rPr>
              <w:t>商务标（</w:t>
            </w:r>
            <w:r>
              <w:rPr>
                <w:rFonts w:hint="eastAsia" w:ascii="宋体" w:hAnsi="宋体"/>
                <w:color w:val="auto"/>
                <w:kern w:val="0"/>
                <w:sz w:val="24"/>
                <w:szCs w:val="24"/>
                <w:highlight w:val="none"/>
                <w:lang w:val="en-US" w:eastAsia="zh-CN"/>
              </w:rPr>
              <w:t>3</w:t>
            </w:r>
            <w:r>
              <w:rPr>
                <w:rFonts w:hint="eastAsia" w:ascii="宋体" w:hAnsi="宋体"/>
                <w:color w:val="auto"/>
                <w:kern w:val="0"/>
                <w:sz w:val="24"/>
                <w:szCs w:val="24"/>
                <w:highlight w:val="none"/>
              </w:rPr>
              <w:t>0分）</w:t>
            </w:r>
          </w:p>
        </w:tc>
        <w:tc>
          <w:tcPr>
            <w:tcW w:w="1741" w:type="dxa"/>
            <w:shd w:val="clear" w:color="auto" w:fill="FFFFFF"/>
            <w:vAlign w:val="center"/>
          </w:tcPr>
          <w:p w14:paraId="5D1C3C7F">
            <w:pPr>
              <w:rPr>
                <w:rFonts w:hint="eastAsia" w:ascii="宋体" w:hAnsi="宋体" w:eastAsia="宋体"/>
                <w:bCs/>
                <w:color w:val="auto"/>
                <w:kern w:val="0"/>
                <w:sz w:val="24"/>
                <w:szCs w:val="24"/>
                <w:highlight w:val="none"/>
              </w:rPr>
            </w:pPr>
            <w:r>
              <w:rPr>
                <w:rFonts w:hint="eastAsia" w:ascii="宋体" w:hAnsi="宋体"/>
                <w:bCs/>
                <w:color w:val="auto"/>
                <w:kern w:val="0"/>
                <w:sz w:val="24"/>
                <w:szCs w:val="24"/>
                <w:highlight w:val="none"/>
              </w:rPr>
              <w:t>业绩（</w:t>
            </w:r>
            <w:r>
              <w:rPr>
                <w:rFonts w:hint="eastAsia" w:ascii="宋体" w:hAnsi="宋体"/>
                <w:bCs/>
                <w:color w:val="auto"/>
                <w:kern w:val="0"/>
                <w:sz w:val="24"/>
                <w:szCs w:val="24"/>
                <w:highlight w:val="none"/>
                <w:lang w:val="en-US" w:eastAsia="zh-CN"/>
              </w:rPr>
              <w:t>10</w:t>
            </w:r>
            <w:r>
              <w:rPr>
                <w:rFonts w:hint="eastAsia" w:ascii="宋体" w:hAnsi="宋体"/>
                <w:bCs/>
                <w:color w:val="auto"/>
                <w:kern w:val="0"/>
                <w:sz w:val="24"/>
                <w:szCs w:val="24"/>
                <w:highlight w:val="none"/>
              </w:rPr>
              <w:t>分）</w:t>
            </w:r>
          </w:p>
        </w:tc>
        <w:tc>
          <w:tcPr>
            <w:tcW w:w="5772" w:type="dxa"/>
            <w:shd w:val="clear" w:color="auto" w:fill="FFFFFF"/>
            <w:vAlign w:val="center"/>
          </w:tcPr>
          <w:p w14:paraId="5CFB3A04">
            <w:pPr>
              <w:pageBreakBefore w:val="0"/>
              <w:shd w:val="clear" w:color="auto" w:fill="auto"/>
              <w:kinsoku/>
              <w:wordWrap/>
              <w:overflowPunct/>
              <w:topLinePunct w:val="0"/>
              <w:bidi w:val="0"/>
              <w:spacing w:beforeAutospacing="0" w:afterAutospacing="0" w:line="360" w:lineRule="auto"/>
              <w:ind w:right="0" w:righ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供应商2020年以来承担过类似项目业绩，每提供一项得2分，最高得10分。</w:t>
            </w:r>
          </w:p>
          <w:p w14:paraId="3944C86F">
            <w:pPr>
              <w:pageBreakBefore w:val="0"/>
              <w:shd w:val="clear" w:color="auto" w:fill="auto"/>
              <w:kinsoku/>
              <w:wordWrap/>
              <w:overflowPunct/>
              <w:topLinePunct w:val="0"/>
              <w:bidi w:val="0"/>
              <w:spacing w:beforeAutospacing="0" w:afterAutospacing="0" w:line="360" w:lineRule="auto"/>
              <w:ind w:right="0" w:rightChars="0"/>
              <w:jc w:val="left"/>
              <w:textAlignment w:val="auto"/>
              <w:rPr>
                <w:rFonts w:hint="eastAsia" w:ascii="宋体" w:hAnsi="宋体" w:eastAsia="宋体"/>
                <w:bCs/>
                <w:color w:val="auto"/>
                <w:kern w:val="0"/>
                <w:sz w:val="24"/>
                <w:szCs w:val="24"/>
                <w:highlight w:val="none"/>
              </w:rPr>
            </w:pPr>
            <w:r>
              <w:rPr>
                <w:rFonts w:hint="eastAsia" w:ascii="宋体" w:hAnsi="宋体" w:eastAsia="宋体" w:cs="宋体"/>
                <w:sz w:val="24"/>
                <w:szCs w:val="24"/>
                <w:highlight w:val="none"/>
                <w:lang w:val="en-US" w:eastAsia="zh-CN"/>
              </w:rPr>
              <w:t>注：①类似项目是指农产品相关项目。②证明材料以合同协议书或中标（成交）通知书为准，原件扫描件。③业绩以合同签订时间为准，若合同中未注明签订时间不予计分。若以联合体投标的，联合体牵头人及联合体成员的人员均可。</w:t>
            </w:r>
          </w:p>
        </w:tc>
        <w:tc>
          <w:tcPr>
            <w:tcW w:w="951" w:type="dxa"/>
            <w:shd w:val="clear" w:color="auto" w:fill="FFFFFF"/>
            <w:vAlign w:val="center"/>
          </w:tcPr>
          <w:p w14:paraId="11F20864">
            <w:pPr>
              <w:jc w:val="center"/>
              <w:rPr>
                <w:rFonts w:hint="eastAsia" w:ascii="宋体" w:hAnsi="宋体" w:eastAsia="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10</w:t>
            </w:r>
            <w:r>
              <w:rPr>
                <w:rFonts w:hint="eastAsia" w:ascii="宋体" w:hAnsi="宋体"/>
                <w:bCs/>
                <w:color w:val="auto"/>
                <w:kern w:val="0"/>
                <w:sz w:val="24"/>
                <w:szCs w:val="24"/>
                <w:highlight w:val="none"/>
              </w:rPr>
              <w:t>分</w:t>
            </w:r>
          </w:p>
        </w:tc>
      </w:tr>
      <w:tr w14:paraId="63943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144" w:hRule="atLeast"/>
          <w:jc w:val="center"/>
        </w:trPr>
        <w:tc>
          <w:tcPr>
            <w:tcW w:w="1292" w:type="dxa"/>
            <w:vMerge w:val="continue"/>
            <w:shd w:val="clear" w:color="auto" w:fill="FFFFFF"/>
            <w:vAlign w:val="center"/>
          </w:tcPr>
          <w:p w14:paraId="0BECD720">
            <w:pPr>
              <w:jc w:val="center"/>
              <w:rPr>
                <w:rFonts w:hint="eastAsia" w:ascii="宋体" w:hAnsi="宋体" w:eastAsia="宋体"/>
                <w:color w:val="auto"/>
                <w:kern w:val="0"/>
                <w:sz w:val="24"/>
                <w:szCs w:val="24"/>
                <w:highlight w:val="none"/>
              </w:rPr>
            </w:pPr>
          </w:p>
        </w:tc>
        <w:tc>
          <w:tcPr>
            <w:tcW w:w="1741" w:type="dxa"/>
            <w:shd w:val="clear" w:color="auto" w:fill="FFFFFF"/>
            <w:vAlign w:val="center"/>
          </w:tcPr>
          <w:p w14:paraId="058888C4">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项目</w:t>
            </w:r>
            <w:r>
              <w:rPr>
                <w:rFonts w:hint="eastAsia" w:ascii="宋体" w:hAnsi="宋体"/>
                <w:bCs/>
                <w:color w:val="auto"/>
                <w:kern w:val="0"/>
                <w:sz w:val="24"/>
                <w:szCs w:val="24"/>
                <w:highlight w:val="none"/>
                <w:lang w:val="en-US" w:eastAsia="zh-CN"/>
              </w:rPr>
              <w:t>团队</w:t>
            </w:r>
            <w:r>
              <w:rPr>
                <w:rFonts w:ascii="宋体" w:hAnsi="宋体"/>
                <w:bCs/>
                <w:color w:val="auto"/>
                <w:kern w:val="0"/>
                <w:sz w:val="24"/>
                <w:szCs w:val="24"/>
                <w:highlight w:val="none"/>
              </w:rPr>
              <w:br w:type="textWrapping"/>
            </w:r>
            <w:r>
              <w:rPr>
                <w:rFonts w:hint="eastAsia" w:ascii="宋体" w:hAnsi="宋体"/>
                <w:bCs/>
                <w:color w:val="auto"/>
                <w:kern w:val="0"/>
                <w:sz w:val="24"/>
                <w:szCs w:val="24"/>
                <w:highlight w:val="none"/>
              </w:rPr>
              <w:t>（</w:t>
            </w:r>
            <w:r>
              <w:rPr>
                <w:rFonts w:hint="eastAsia" w:ascii="宋体" w:hAnsi="宋体"/>
                <w:bCs/>
                <w:color w:val="auto"/>
                <w:kern w:val="0"/>
                <w:sz w:val="24"/>
                <w:szCs w:val="24"/>
                <w:highlight w:val="none"/>
                <w:lang w:val="en-US" w:eastAsia="zh-CN"/>
              </w:rPr>
              <w:t>8</w:t>
            </w:r>
            <w:r>
              <w:rPr>
                <w:rFonts w:hint="eastAsia" w:ascii="宋体" w:hAnsi="宋体"/>
                <w:bCs/>
                <w:color w:val="auto"/>
                <w:kern w:val="0"/>
                <w:sz w:val="24"/>
                <w:szCs w:val="24"/>
                <w:highlight w:val="none"/>
              </w:rPr>
              <w:t>分）</w:t>
            </w:r>
          </w:p>
        </w:tc>
        <w:tc>
          <w:tcPr>
            <w:tcW w:w="5772" w:type="dxa"/>
            <w:shd w:val="clear" w:color="auto" w:fill="FFFFFF"/>
            <w:vAlign w:val="center"/>
          </w:tcPr>
          <w:p w14:paraId="296AC4CF">
            <w:pP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lang w:val="en-US" w:eastAsia="zh-CN"/>
              </w:rPr>
              <w:t>1、</w:t>
            </w:r>
            <w:r>
              <w:rPr>
                <w:rFonts w:hint="eastAsia" w:ascii="宋体" w:hAnsi="宋体" w:eastAsia="宋体"/>
                <w:bCs/>
                <w:color w:val="auto"/>
                <w:kern w:val="0"/>
                <w:sz w:val="24"/>
                <w:szCs w:val="24"/>
                <w:highlight w:val="none"/>
              </w:rPr>
              <w:t>供应商项目负责人具有</w:t>
            </w:r>
            <w:r>
              <w:rPr>
                <w:rFonts w:hint="eastAsia" w:ascii="宋体" w:hAnsi="宋体"/>
                <w:bCs/>
                <w:color w:val="auto"/>
                <w:kern w:val="0"/>
                <w:sz w:val="24"/>
                <w:szCs w:val="24"/>
                <w:highlight w:val="none"/>
                <w:lang w:val="en-US" w:eastAsia="zh-CN"/>
              </w:rPr>
              <w:t>正</w:t>
            </w:r>
            <w:r>
              <w:rPr>
                <w:rFonts w:hint="eastAsia" w:ascii="宋体" w:hAnsi="宋体" w:eastAsia="宋体"/>
                <w:bCs/>
                <w:color w:val="auto"/>
                <w:kern w:val="0"/>
                <w:sz w:val="24"/>
                <w:szCs w:val="24"/>
                <w:highlight w:val="none"/>
              </w:rPr>
              <w:t>高级职称的（</w:t>
            </w:r>
            <w:r>
              <w:rPr>
                <w:rFonts w:hint="eastAsia" w:ascii="宋体" w:hAnsi="宋体"/>
                <w:bCs/>
                <w:color w:val="auto"/>
                <w:kern w:val="0"/>
                <w:sz w:val="24"/>
                <w:szCs w:val="24"/>
                <w:highlight w:val="none"/>
                <w:lang w:val="en-US" w:eastAsia="zh-CN"/>
              </w:rPr>
              <w:t>地理、</w:t>
            </w:r>
            <w:r>
              <w:rPr>
                <w:rFonts w:hint="eastAsia" w:ascii="宋体" w:hAnsi="宋体" w:eastAsia="宋体"/>
                <w:bCs/>
                <w:color w:val="auto"/>
                <w:kern w:val="0"/>
                <w:sz w:val="24"/>
                <w:szCs w:val="24"/>
                <w:highlight w:val="none"/>
              </w:rPr>
              <w:t>环保、环境、水利、化学等相关任意一项专业）得</w:t>
            </w:r>
            <w:r>
              <w:rPr>
                <w:rFonts w:hint="eastAsia" w:ascii="宋体" w:hAnsi="宋体" w:eastAsia="宋体"/>
                <w:bCs/>
                <w:color w:val="auto"/>
                <w:kern w:val="0"/>
                <w:sz w:val="24"/>
                <w:szCs w:val="24"/>
                <w:highlight w:val="none"/>
                <w:lang w:val="en-US" w:eastAsia="zh-CN"/>
              </w:rPr>
              <w:t>2</w:t>
            </w:r>
            <w:r>
              <w:rPr>
                <w:rFonts w:hint="eastAsia" w:ascii="宋体" w:hAnsi="宋体" w:eastAsia="宋体"/>
                <w:bCs/>
                <w:color w:val="auto"/>
                <w:kern w:val="0"/>
                <w:sz w:val="24"/>
                <w:szCs w:val="24"/>
                <w:highlight w:val="none"/>
              </w:rPr>
              <w:t>分。</w:t>
            </w:r>
          </w:p>
          <w:p w14:paraId="14F572C8">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2、除项目负责人外，每提供一名</w:t>
            </w:r>
            <w:r>
              <w:rPr>
                <w:rFonts w:hint="eastAsia" w:ascii="宋体" w:hAnsi="宋体" w:eastAsia="宋体"/>
                <w:bCs/>
                <w:color w:val="auto"/>
                <w:kern w:val="0"/>
                <w:sz w:val="24"/>
                <w:szCs w:val="24"/>
                <w:highlight w:val="none"/>
              </w:rPr>
              <w:t>具有副高级以上（含副高级）职称的（</w:t>
            </w:r>
            <w:r>
              <w:rPr>
                <w:rFonts w:hint="eastAsia" w:ascii="宋体" w:hAnsi="宋体"/>
                <w:bCs/>
                <w:color w:val="auto"/>
                <w:kern w:val="0"/>
                <w:sz w:val="24"/>
                <w:szCs w:val="24"/>
                <w:highlight w:val="none"/>
                <w:lang w:val="en-US" w:eastAsia="zh-CN"/>
              </w:rPr>
              <w:t>地理、</w:t>
            </w:r>
            <w:r>
              <w:rPr>
                <w:rFonts w:hint="eastAsia" w:ascii="宋体" w:hAnsi="宋体" w:eastAsia="宋体"/>
                <w:bCs/>
                <w:color w:val="auto"/>
                <w:kern w:val="0"/>
                <w:sz w:val="24"/>
                <w:szCs w:val="24"/>
                <w:highlight w:val="none"/>
              </w:rPr>
              <w:t>环保、环境、水利、化学等相关任意一项专业）得</w:t>
            </w:r>
            <w:r>
              <w:rPr>
                <w:rFonts w:hint="eastAsia" w:ascii="宋体" w:hAnsi="宋体" w:eastAsia="宋体"/>
                <w:bCs/>
                <w:color w:val="auto"/>
                <w:kern w:val="0"/>
                <w:sz w:val="24"/>
                <w:szCs w:val="24"/>
                <w:highlight w:val="none"/>
                <w:lang w:val="en-US" w:eastAsia="zh-CN"/>
              </w:rPr>
              <w:t>2分，中级职称（环保、环境、水利、化学等相关任意一项专业）的每人得1分，最多得6分；</w:t>
            </w:r>
          </w:p>
          <w:p w14:paraId="532FF6FF">
            <w:pPr>
              <w:rPr>
                <w:rFonts w:hint="default"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eastAsia="zh-CN"/>
              </w:rPr>
              <w:t>以上人员</w:t>
            </w:r>
            <w:r>
              <w:rPr>
                <w:rFonts w:hint="eastAsia" w:ascii="宋体" w:hAnsi="宋体" w:eastAsia="宋体"/>
                <w:bCs/>
                <w:color w:val="auto"/>
                <w:kern w:val="0"/>
                <w:sz w:val="24"/>
                <w:szCs w:val="24"/>
                <w:highlight w:val="none"/>
              </w:rPr>
              <w:t>不</w:t>
            </w:r>
            <w:r>
              <w:rPr>
                <w:rFonts w:hint="eastAsia" w:ascii="宋体" w:hAnsi="宋体" w:eastAsia="宋体"/>
                <w:bCs/>
                <w:color w:val="auto"/>
                <w:kern w:val="0"/>
                <w:sz w:val="24"/>
                <w:szCs w:val="24"/>
                <w:highlight w:val="none"/>
                <w:lang w:eastAsia="zh-CN"/>
              </w:rPr>
              <w:t>得</w:t>
            </w:r>
            <w:r>
              <w:rPr>
                <w:rFonts w:hint="eastAsia" w:ascii="宋体" w:hAnsi="宋体" w:eastAsia="宋体"/>
                <w:bCs/>
                <w:color w:val="auto"/>
                <w:kern w:val="0"/>
                <w:sz w:val="24"/>
                <w:szCs w:val="24"/>
                <w:highlight w:val="none"/>
              </w:rPr>
              <w:t>重复计分,仅计分一次。</w:t>
            </w:r>
            <w:r>
              <w:rPr>
                <w:rFonts w:hint="eastAsia" w:ascii="宋体" w:hAnsi="宋体"/>
                <w:bCs/>
                <w:color w:val="auto"/>
                <w:kern w:val="0"/>
                <w:sz w:val="24"/>
                <w:szCs w:val="24"/>
                <w:highlight w:val="none"/>
                <w:lang w:val="en-US" w:eastAsia="zh-CN"/>
              </w:rPr>
              <w:t>若以联合体投标的，联合体牵头人及联合体成员的人员均可。</w:t>
            </w:r>
          </w:p>
        </w:tc>
        <w:tc>
          <w:tcPr>
            <w:tcW w:w="951" w:type="dxa"/>
            <w:shd w:val="clear" w:color="auto" w:fill="FFFFFF"/>
            <w:vAlign w:val="center"/>
          </w:tcPr>
          <w:p w14:paraId="21CFCD67">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8</w:t>
            </w:r>
            <w:r>
              <w:rPr>
                <w:rFonts w:hint="eastAsia" w:ascii="宋体" w:hAnsi="宋体"/>
                <w:bCs/>
                <w:color w:val="auto"/>
                <w:kern w:val="0"/>
                <w:sz w:val="24"/>
                <w:szCs w:val="24"/>
                <w:highlight w:val="none"/>
              </w:rPr>
              <w:t>分</w:t>
            </w:r>
          </w:p>
        </w:tc>
      </w:tr>
      <w:tr w14:paraId="640C0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5" w:hRule="atLeast"/>
          <w:jc w:val="center"/>
        </w:trPr>
        <w:tc>
          <w:tcPr>
            <w:tcW w:w="1292" w:type="dxa"/>
            <w:vMerge w:val="continue"/>
            <w:shd w:val="clear" w:color="auto" w:fill="FFFFFF"/>
            <w:vAlign w:val="center"/>
          </w:tcPr>
          <w:p w14:paraId="3BEACABD">
            <w:pPr>
              <w:jc w:val="center"/>
              <w:rPr>
                <w:rFonts w:hint="eastAsia" w:ascii="宋体" w:hAnsi="宋体" w:eastAsia="宋体"/>
                <w:b/>
                <w:color w:val="auto"/>
                <w:kern w:val="0"/>
                <w:sz w:val="24"/>
                <w:szCs w:val="24"/>
                <w:highlight w:val="none"/>
                <w:lang w:val="en-US" w:eastAsia="zh-CN"/>
              </w:rPr>
            </w:pPr>
          </w:p>
        </w:tc>
        <w:tc>
          <w:tcPr>
            <w:tcW w:w="1741" w:type="dxa"/>
            <w:shd w:val="clear" w:color="auto" w:fill="FFFFFF"/>
            <w:vAlign w:val="center"/>
          </w:tcPr>
          <w:p w14:paraId="5804A361">
            <w:pPr>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项目实施期间服务承诺</w:t>
            </w:r>
          </w:p>
          <w:p w14:paraId="05DA6C7B">
            <w:pPr>
              <w:jc w:val="center"/>
              <w:rPr>
                <w:rFonts w:hint="eastAsia" w:ascii="宋体" w:hAnsi="宋体" w:eastAsia="宋体"/>
                <w:bCs/>
                <w:color w:val="auto"/>
                <w:kern w:val="0"/>
                <w:sz w:val="24"/>
                <w:szCs w:val="24"/>
                <w:highlight w:val="none"/>
                <w:lang w:eastAsia="zh-CN"/>
              </w:rPr>
            </w:pPr>
            <w:r>
              <w:rPr>
                <w:rFonts w:hint="eastAsia" w:ascii="宋体" w:hAnsi="宋体" w:eastAsia="宋体"/>
                <w:bCs/>
                <w:color w:val="auto"/>
                <w:kern w:val="0"/>
                <w:sz w:val="24"/>
                <w:szCs w:val="24"/>
                <w:highlight w:val="none"/>
                <w:lang w:eastAsia="zh-CN"/>
              </w:rPr>
              <w:t>（</w:t>
            </w:r>
            <w:r>
              <w:rPr>
                <w:rFonts w:hint="eastAsia" w:ascii="宋体" w:hAnsi="宋体" w:eastAsia="宋体"/>
                <w:bCs/>
                <w:color w:val="auto"/>
                <w:kern w:val="0"/>
                <w:sz w:val="24"/>
                <w:szCs w:val="24"/>
                <w:highlight w:val="none"/>
                <w:lang w:val="en-US" w:eastAsia="zh-CN"/>
              </w:rPr>
              <w:t>6分</w:t>
            </w:r>
            <w:r>
              <w:rPr>
                <w:rFonts w:hint="eastAsia" w:ascii="宋体" w:hAnsi="宋体" w:eastAsia="宋体"/>
                <w:bCs/>
                <w:color w:val="auto"/>
                <w:kern w:val="0"/>
                <w:sz w:val="24"/>
                <w:szCs w:val="24"/>
                <w:highlight w:val="none"/>
                <w:lang w:eastAsia="zh-CN"/>
              </w:rPr>
              <w:t>）</w:t>
            </w:r>
          </w:p>
        </w:tc>
        <w:tc>
          <w:tcPr>
            <w:tcW w:w="5772" w:type="dxa"/>
            <w:shd w:val="clear" w:color="auto" w:fill="FFFFFF"/>
            <w:vAlign w:val="center"/>
          </w:tcPr>
          <w:p w14:paraId="266A7DB4">
            <w:pP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满足采购人要求，并对项目进行所需承诺；</w:t>
            </w:r>
          </w:p>
          <w:p w14:paraId="1EE76521">
            <w:pP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1、服务过程中与相关各方的配合、沟通措施，确保</w:t>
            </w:r>
            <w:r>
              <w:rPr>
                <w:rFonts w:hint="eastAsia" w:ascii="宋体" w:hAnsi="宋体" w:eastAsia="宋体"/>
                <w:bCs/>
                <w:color w:val="auto"/>
                <w:kern w:val="0"/>
                <w:sz w:val="24"/>
                <w:szCs w:val="24"/>
                <w:highlight w:val="none"/>
                <w:lang w:val="en-US" w:eastAsia="zh-CN"/>
              </w:rPr>
              <w:t>案例通过评审发布</w:t>
            </w:r>
            <w:r>
              <w:rPr>
                <w:rFonts w:hint="eastAsia" w:ascii="宋体" w:hAnsi="宋体" w:eastAsia="宋体"/>
                <w:bCs/>
                <w:color w:val="auto"/>
                <w:kern w:val="0"/>
                <w:sz w:val="24"/>
                <w:szCs w:val="24"/>
                <w:highlight w:val="none"/>
              </w:rPr>
              <w:t>的保证措施。（2分）</w:t>
            </w:r>
          </w:p>
          <w:p w14:paraId="75571462">
            <w:pP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2、服务承诺内容详实，科学、合理，考虑周全，措施到位，针对性强，完全能够满足项目的需要。（2分）</w:t>
            </w:r>
          </w:p>
          <w:p w14:paraId="3B4ABC98">
            <w:pP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3、对本项目及采购人的合理化建议、增值服务优惠及其他实质性的优惠。（2分）</w:t>
            </w:r>
          </w:p>
        </w:tc>
        <w:tc>
          <w:tcPr>
            <w:tcW w:w="951" w:type="dxa"/>
            <w:shd w:val="clear" w:color="auto" w:fill="FFFFFF"/>
            <w:vAlign w:val="center"/>
          </w:tcPr>
          <w:p w14:paraId="5E91EEB2">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6</w:t>
            </w:r>
            <w:r>
              <w:rPr>
                <w:rFonts w:hint="eastAsia" w:ascii="宋体" w:hAnsi="宋体"/>
                <w:bCs/>
                <w:color w:val="auto"/>
                <w:kern w:val="0"/>
                <w:sz w:val="24"/>
                <w:szCs w:val="24"/>
                <w:highlight w:val="none"/>
              </w:rPr>
              <w:t>分</w:t>
            </w:r>
          </w:p>
        </w:tc>
      </w:tr>
      <w:tr w14:paraId="1EB69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9" w:hRule="atLeast"/>
          <w:jc w:val="center"/>
        </w:trPr>
        <w:tc>
          <w:tcPr>
            <w:tcW w:w="1292" w:type="dxa"/>
            <w:vMerge w:val="continue"/>
            <w:shd w:val="clear" w:color="auto" w:fill="FFFFFF"/>
            <w:vAlign w:val="center"/>
          </w:tcPr>
          <w:p w14:paraId="5D52F7C0">
            <w:pPr>
              <w:jc w:val="center"/>
              <w:rPr>
                <w:rFonts w:hint="eastAsia" w:ascii="宋体" w:hAnsi="宋体" w:eastAsia="宋体"/>
                <w:b/>
                <w:color w:val="auto"/>
                <w:kern w:val="0"/>
                <w:sz w:val="24"/>
                <w:szCs w:val="24"/>
                <w:highlight w:val="none"/>
                <w:lang w:val="en-US" w:eastAsia="zh-CN"/>
              </w:rPr>
            </w:pPr>
          </w:p>
        </w:tc>
        <w:tc>
          <w:tcPr>
            <w:tcW w:w="1741" w:type="dxa"/>
            <w:shd w:val="clear" w:color="auto" w:fill="FFFFFF"/>
            <w:vAlign w:val="center"/>
          </w:tcPr>
          <w:p w14:paraId="41D92A06">
            <w:pPr>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服务承诺</w:t>
            </w:r>
          </w:p>
          <w:p w14:paraId="12CB048B">
            <w:pPr>
              <w:jc w:val="center"/>
              <w:rPr>
                <w:rFonts w:hint="eastAsia" w:ascii="宋体" w:hAnsi="宋体"/>
                <w:bCs/>
                <w:color w:val="auto"/>
                <w:kern w:val="0"/>
                <w:sz w:val="24"/>
                <w:szCs w:val="24"/>
                <w:highlight w:val="none"/>
              </w:rPr>
            </w:pPr>
            <w:r>
              <w:rPr>
                <w:rFonts w:hint="eastAsia" w:ascii="宋体" w:hAnsi="宋体" w:eastAsia="宋体"/>
                <w:bCs/>
                <w:color w:val="auto"/>
                <w:kern w:val="0"/>
                <w:sz w:val="24"/>
                <w:szCs w:val="24"/>
                <w:highlight w:val="none"/>
              </w:rPr>
              <w:t>（</w:t>
            </w:r>
            <w:r>
              <w:rPr>
                <w:rFonts w:hint="eastAsia" w:ascii="宋体" w:hAnsi="宋体" w:eastAsia="宋体"/>
                <w:bCs/>
                <w:color w:val="auto"/>
                <w:kern w:val="0"/>
                <w:sz w:val="24"/>
                <w:szCs w:val="24"/>
                <w:highlight w:val="none"/>
                <w:lang w:val="en-US" w:eastAsia="zh-CN"/>
              </w:rPr>
              <w:t>6</w:t>
            </w:r>
            <w:r>
              <w:rPr>
                <w:rFonts w:hint="eastAsia" w:ascii="宋体" w:hAnsi="宋体" w:eastAsia="宋体"/>
                <w:bCs/>
                <w:color w:val="auto"/>
                <w:kern w:val="0"/>
                <w:sz w:val="24"/>
                <w:szCs w:val="24"/>
                <w:highlight w:val="none"/>
              </w:rPr>
              <w:t>分）</w:t>
            </w:r>
          </w:p>
        </w:tc>
        <w:tc>
          <w:tcPr>
            <w:tcW w:w="5772" w:type="dxa"/>
            <w:shd w:val="clear" w:color="auto" w:fill="FFFFFF"/>
            <w:vAlign w:val="center"/>
          </w:tcPr>
          <w:p w14:paraId="09DBD935">
            <w:pP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根据供应商提供的后期服务方案的完整性、可行性等进行综合评价。</w:t>
            </w:r>
          </w:p>
          <w:p w14:paraId="4AEC6945">
            <w:pP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后期服务方案、包括项目资料的移交验收、项目延续期间的服务承诺较详细，服务经验较丰富，符合采购人实际情况，有很强针对性和可行性，完全满足或优于项目需求，得6分。</w:t>
            </w:r>
          </w:p>
          <w:p w14:paraId="1370D32C">
            <w:pP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后期服务方案综合考虑各方面需求比较完整、合理、可行，后期服务方案比较完整、合理，基本满足招标文件要求，得3分。</w:t>
            </w:r>
          </w:p>
          <w:p w14:paraId="158098F5">
            <w:pP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后期服务方案简单，基本满足招标文件要求，得 1分。缺项得0分。</w:t>
            </w:r>
          </w:p>
        </w:tc>
        <w:tc>
          <w:tcPr>
            <w:tcW w:w="951" w:type="dxa"/>
            <w:shd w:val="clear" w:color="auto" w:fill="FFFFFF"/>
            <w:vAlign w:val="center"/>
          </w:tcPr>
          <w:p w14:paraId="3737BBFE">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6</w:t>
            </w:r>
            <w:r>
              <w:rPr>
                <w:rFonts w:hint="eastAsia" w:ascii="宋体" w:hAnsi="宋体"/>
                <w:bCs/>
                <w:color w:val="auto"/>
                <w:kern w:val="0"/>
                <w:sz w:val="24"/>
                <w:szCs w:val="24"/>
                <w:highlight w:val="none"/>
              </w:rPr>
              <w:t>分</w:t>
            </w:r>
          </w:p>
        </w:tc>
      </w:tr>
    </w:tbl>
    <w:p w14:paraId="67D1AFCC">
      <w:pPr>
        <w:spacing w:beforeAutospacing="0" w:afterAutospacing="0"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注：1、所有未进入详细评审的投标作为无效投标，其报价不作为评分依据。</w:t>
      </w:r>
    </w:p>
    <w:p w14:paraId="0ABB2891">
      <w:pPr>
        <w:spacing w:beforeAutospacing="0" w:afterAutospacing="0" w:line="360" w:lineRule="auto"/>
        <w:ind w:firstLine="48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5.计分办法</w:t>
      </w:r>
    </w:p>
    <w:p w14:paraId="44ED7E71">
      <w:pPr>
        <w:spacing w:beforeAutospacing="0" w:afterAutospacing="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计分过程中按四舍五入的法则，取至小数点后3位，磋商供应商的最终得分为所有评委打分的算术平均值，最终结果取至小数点后2位。</w:t>
      </w:r>
      <w:r>
        <w:rPr>
          <w:rFonts w:hint="eastAsia" w:ascii="宋体" w:hAnsi="宋体"/>
          <w:color w:val="auto"/>
          <w:sz w:val="24"/>
          <w:szCs w:val="24"/>
          <w:highlight w:val="none"/>
          <w:lang w:eastAsia="zh-CN"/>
        </w:rPr>
        <w:t>磋商小组</w:t>
      </w:r>
      <w:r>
        <w:rPr>
          <w:rFonts w:hint="eastAsia" w:ascii="宋体" w:hAnsi="宋体" w:eastAsia="宋体"/>
          <w:color w:val="auto"/>
          <w:sz w:val="24"/>
          <w:szCs w:val="24"/>
          <w:highlight w:val="none"/>
        </w:rPr>
        <w:t>将按磋商供应商得分高低排序向采购人推荐前三名为成交候选人。</w:t>
      </w:r>
    </w:p>
    <w:p w14:paraId="317D414C">
      <w:pPr>
        <w:spacing w:beforeAutospacing="0" w:afterAutospacing="0" w:line="360" w:lineRule="auto"/>
        <w:ind w:firstLine="48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 xml:space="preserve">  6.定标</w:t>
      </w:r>
    </w:p>
    <w:p w14:paraId="06016BB0">
      <w:pPr>
        <w:spacing w:beforeAutospacing="0" w:afterAutospacing="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按评委计分结果,</w:t>
      </w:r>
      <w:r>
        <w:rPr>
          <w:rFonts w:hint="eastAsia" w:ascii="宋体" w:hAnsi="宋体"/>
          <w:color w:val="auto"/>
          <w:sz w:val="24"/>
          <w:szCs w:val="24"/>
          <w:highlight w:val="none"/>
          <w:lang w:eastAsia="zh-CN"/>
        </w:rPr>
        <w:t>磋商小组</w:t>
      </w:r>
      <w:r>
        <w:rPr>
          <w:rFonts w:hint="eastAsia" w:ascii="宋体" w:hAnsi="宋体" w:eastAsia="宋体"/>
          <w:color w:val="auto"/>
          <w:sz w:val="24"/>
          <w:szCs w:val="24"/>
          <w:highlight w:val="none"/>
        </w:rPr>
        <w:t>按照得分由高到低的顺序推荐3名成交候选人，并向采购人提供书面评标报告，由采购人确定成交单位。</w:t>
      </w:r>
    </w:p>
    <w:p w14:paraId="5A2A0BDE">
      <w:pPr>
        <w:snapToGrid w:val="0"/>
        <w:spacing w:beforeAutospacing="0" w:afterAutospacing="0" w:line="360" w:lineRule="auto"/>
        <w:jc w:val="center"/>
        <w:outlineLvl w:val="0"/>
        <w:rPr>
          <w:rFonts w:hint="eastAsia" w:ascii="宋体" w:hAnsi="宋体" w:eastAsia="宋体"/>
          <w:b/>
          <w:bCs/>
          <w:color w:val="auto"/>
          <w:sz w:val="36"/>
          <w:szCs w:val="36"/>
          <w:highlight w:val="none"/>
        </w:rPr>
      </w:pPr>
      <w:bookmarkStart w:id="169" w:name="_Toc8932"/>
      <w:r>
        <w:rPr>
          <w:rFonts w:hint="eastAsia" w:ascii="宋体" w:hAnsi="宋体" w:eastAsia="宋体"/>
          <w:b/>
          <w:bCs/>
          <w:color w:val="auto"/>
          <w:sz w:val="36"/>
          <w:szCs w:val="36"/>
          <w:highlight w:val="none"/>
        </w:rPr>
        <w:t>第</w:t>
      </w:r>
      <w:r>
        <w:rPr>
          <w:rFonts w:hint="eastAsia" w:ascii="宋体" w:hAnsi="宋体" w:eastAsia="宋体"/>
          <w:b/>
          <w:bCs/>
          <w:color w:val="auto"/>
          <w:sz w:val="36"/>
          <w:szCs w:val="36"/>
          <w:highlight w:val="none"/>
          <w:lang w:eastAsia="zh-CN"/>
        </w:rPr>
        <w:t>五</w:t>
      </w:r>
      <w:r>
        <w:rPr>
          <w:rFonts w:hint="eastAsia" w:ascii="宋体" w:hAnsi="宋体" w:eastAsia="宋体"/>
          <w:b/>
          <w:bCs/>
          <w:color w:val="auto"/>
          <w:sz w:val="36"/>
          <w:szCs w:val="36"/>
          <w:highlight w:val="none"/>
        </w:rPr>
        <w:t>章 合同条款及格式</w:t>
      </w:r>
      <w:bookmarkEnd w:id="169"/>
    </w:p>
    <w:p w14:paraId="3286E3C3">
      <w:pPr>
        <w:snapToGrid w:val="0"/>
        <w:spacing w:beforeAutospacing="0" w:afterAutospacing="0" w:line="360" w:lineRule="auto"/>
        <w:jc w:val="center"/>
        <w:outlineLvl w:val="9"/>
        <w:rPr>
          <w:rFonts w:hint="eastAsia" w:ascii="宋体" w:hAnsi="宋体" w:eastAsia="宋体"/>
          <w:b/>
          <w:bCs/>
          <w:color w:val="auto"/>
          <w:kern w:val="44"/>
          <w:sz w:val="32"/>
          <w:szCs w:val="44"/>
          <w:highlight w:val="none"/>
        </w:rPr>
      </w:pPr>
      <w:bookmarkStart w:id="170" w:name="_Toc247514245"/>
      <w:bookmarkStart w:id="171" w:name="_Toc27965"/>
      <w:bookmarkStart w:id="172" w:name="_Toc247527826"/>
      <w:bookmarkStart w:id="173" w:name="_Toc300835208"/>
      <w:r>
        <w:rPr>
          <w:rFonts w:hint="eastAsia" w:ascii="宋体" w:hAnsi="宋体" w:eastAsia="宋体"/>
          <w:b/>
          <w:bCs/>
          <w:color w:val="auto"/>
          <w:kern w:val="44"/>
          <w:sz w:val="32"/>
          <w:szCs w:val="44"/>
          <w:highlight w:val="none"/>
        </w:rPr>
        <w:t>（仅供参考）</w:t>
      </w:r>
    </w:p>
    <w:p w14:paraId="1B1B309C">
      <w:pPr>
        <w:pStyle w:val="47"/>
        <w:spacing w:beforeAutospacing="0" w:afterAutospacing="0" w:line="480" w:lineRule="auto"/>
        <w:jc w:val="both"/>
        <w:outlineLvl w:val="9"/>
        <w:rPr>
          <w:rFonts w:hint="eastAsia" w:ascii="宋体" w:hAnsi="宋体"/>
          <w:b w:val="0"/>
          <w:bCs w:val="0"/>
          <w:color w:val="auto"/>
          <w:sz w:val="24"/>
          <w:szCs w:val="24"/>
          <w:highlight w:val="none"/>
        </w:rPr>
      </w:pPr>
      <w:bookmarkStart w:id="174" w:name="_Toc25421"/>
      <w:bookmarkEnd w:id="174"/>
      <w:bookmarkStart w:id="175" w:name="_Toc19117"/>
      <w:bookmarkEnd w:id="175"/>
      <w:bookmarkStart w:id="176" w:name="_Toc27231"/>
      <w:r>
        <w:rPr>
          <w:rFonts w:hint="eastAsia" w:ascii="宋体" w:hAnsi="宋体"/>
          <w:b w:val="0"/>
          <w:bCs w:val="0"/>
          <w:color w:val="auto"/>
          <w:sz w:val="24"/>
          <w:szCs w:val="24"/>
          <w:highlight w:val="none"/>
        </w:rPr>
        <w:t>甲</w:t>
      </w:r>
      <w:r>
        <w:rPr>
          <w:rFonts w:hint="eastAsia" w:ascii="宋体" w:hAnsi="宋体"/>
          <w:b w:val="0"/>
          <w:bCs w:val="0"/>
          <w:color w:val="auto"/>
          <w:sz w:val="24"/>
          <w:szCs w:val="24"/>
          <w:highlight w:val="none"/>
          <w:lang w:val="en-US" w:eastAsia="zh-CN"/>
        </w:rPr>
        <w:t xml:space="preserve">    </w:t>
      </w:r>
      <w:r>
        <w:rPr>
          <w:rFonts w:hint="eastAsia" w:ascii="宋体" w:hAnsi="宋体"/>
          <w:b w:val="0"/>
          <w:bCs w:val="0"/>
          <w:color w:val="auto"/>
          <w:sz w:val="24"/>
          <w:szCs w:val="24"/>
          <w:highlight w:val="none"/>
        </w:rPr>
        <w:t xml:space="preserve">方： </w:t>
      </w:r>
      <w:r>
        <w:rPr>
          <w:rFonts w:hint="eastAsia" w:ascii="宋体" w:hAnsi="宋体"/>
          <w:b w:val="0"/>
          <w:bCs w:val="0"/>
          <w:color w:val="auto"/>
          <w:sz w:val="24"/>
          <w:szCs w:val="24"/>
          <w:highlight w:val="none"/>
          <w:u w:val="single"/>
        </w:rPr>
        <w:t>（</w:t>
      </w:r>
      <w:r>
        <w:rPr>
          <w:rFonts w:hint="eastAsia" w:ascii="宋体" w:hAnsi="宋体"/>
          <w:b w:val="0"/>
          <w:bCs w:val="0"/>
          <w:color w:val="auto"/>
          <w:sz w:val="24"/>
          <w:szCs w:val="24"/>
          <w:highlight w:val="none"/>
          <w:u w:val="single"/>
          <w:lang w:val="en-US" w:eastAsia="zh-CN"/>
        </w:rPr>
        <w:t>采购</w:t>
      </w:r>
      <w:r>
        <w:rPr>
          <w:rFonts w:hint="eastAsia" w:ascii="宋体" w:hAnsi="宋体"/>
          <w:b w:val="0"/>
          <w:bCs w:val="0"/>
          <w:color w:val="auto"/>
          <w:sz w:val="24"/>
          <w:szCs w:val="24"/>
          <w:highlight w:val="none"/>
          <w:u w:val="single"/>
        </w:rPr>
        <w:t>人）</w:t>
      </w:r>
      <w:bookmarkEnd w:id="176"/>
    </w:p>
    <w:p w14:paraId="40ABF4E9">
      <w:pPr>
        <w:spacing w:beforeAutospacing="0" w:afterAutospacing="0" w:line="480" w:lineRule="auto"/>
        <w:rPr>
          <w:rFonts w:hint="eastAsia" w:ascii="宋体" w:hAnsi="宋体"/>
          <w:b w:val="0"/>
          <w:bCs w:val="0"/>
          <w:color w:val="auto"/>
          <w:sz w:val="24"/>
          <w:highlight w:val="none"/>
          <w:lang w:bidi="ar"/>
        </w:rPr>
      </w:pPr>
      <w:r>
        <w:rPr>
          <w:rFonts w:hint="eastAsia" w:ascii="宋体" w:hAnsi="宋体"/>
          <w:b w:val="0"/>
          <w:bCs w:val="0"/>
          <w:color w:val="auto"/>
          <w:sz w:val="24"/>
          <w:highlight w:val="none"/>
          <w:lang w:bidi="ar"/>
        </w:rPr>
        <w:t xml:space="preserve">乙   方： </w:t>
      </w:r>
      <w:r>
        <w:rPr>
          <w:rFonts w:hint="eastAsia" w:ascii="宋体" w:hAnsi="宋体"/>
          <w:b w:val="0"/>
          <w:bCs w:val="0"/>
          <w:color w:val="auto"/>
          <w:sz w:val="24"/>
          <w:highlight w:val="none"/>
          <w:u w:val="single"/>
          <w:lang w:bidi="ar"/>
        </w:rPr>
        <w:t xml:space="preserve"> </w:t>
      </w:r>
      <w:r>
        <w:rPr>
          <w:rFonts w:hint="eastAsia" w:ascii="宋体" w:hAnsi="宋体"/>
          <w:color w:val="auto"/>
          <w:sz w:val="24"/>
          <w:highlight w:val="none"/>
          <w:u w:val="single"/>
          <w:lang w:bidi="ar"/>
        </w:rPr>
        <w:t>（中标人）</w:t>
      </w:r>
    </w:p>
    <w:p w14:paraId="0F8B0216">
      <w:pPr>
        <w:spacing w:beforeAutospacing="0" w:afterAutospacing="0" w:line="480" w:lineRule="auto"/>
        <w:rPr>
          <w:rFonts w:hint="eastAsia" w:ascii="宋体" w:hAnsi="宋体"/>
          <w:color w:val="auto"/>
          <w:sz w:val="24"/>
          <w:highlight w:val="none"/>
          <w:lang w:bidi="ar"/>
        </w:rPr>
      </w:pPr>
      <w:r>
        <w:rPr>
          <w:rFonts w:hint="eastAsia" w:ascii="宋体" w:hAnsi="宋体"/>
          <w:color w:val="auto"/>
          <w:sz w:val="24"/>
          <w:highlight w:val="none"/>
          <w:lang w:bidi="ar"/>
        </w:rPr>
        <w:t>项目名称：</w:t>
      </w:r>
    </w:p>
    <w:p w14:paraId="13A0A5F6">
      <w:pPr>
        <w:spacing w:beforeAutospacing="0" w:afterAutospacing="0" w:line="480" w:lineRule="auto"/>
        <w:rPr>
          <w:rFonts w:hint="eastAsia" w:ascii="宋体" w:hAnsi="宋体"/>
          <w:color w:val="auto"/>
          <w:sz w:val="24"/>
          <w:highlight w:val="none"/>
          <w:lang w:bidi="ar"/>
        </w:rPr>
      </w:pPr>
      <w:r>
        <w:rPr>
          <w:rFonts w:hint="eastAsia" w:ascii="宋体" w:hAnsi="宋体"/>
          <w:color w:val="auto"/>
          <w:sz w:val="24"/>
          <w:highlight w:val="none"/>
          <w:lang w:bidi="ar"/>
        </w:rPr>
        <w:t>采购编号：</w:t>
      </w:r>
    </w:p>
    <w:p w14:paraId="5B28AA04">
      <w:pPr>
        <w:spacing w:beforeAutospacing="0" w:afterAutospacing="0" w:line="480" w:lineRule="auto"/>
        <w:ind w:firstLine="595" w:firstLineChars="248"/>
        <w:rPr>
          <w:rFonts w:hint="eastAsia" w:ascii="宋体" w:hAnsi="宋体"/>
          <w:color w:val="auto"/>
          <w:sz w:val="24"/>
          <w:highlight w:val="none"/>
          <w:lang w:bidi="ar"/>
        </w:rPr>
      </w:pPr>
      <w:r>
        <w:rPr>
          <w:rFonts w:hint="eastAsia" w:ascii="宋体" w:hAnsi="宋体"/>
          <w:color w:val="auto"/>
          <w:sz w:val="24"/>
          <w:highlight w:val="none"/>
          <w:lang w:bidi="ar"/>
        </w:rPr>
        <w:t>根据</w:t>
      </w:r>
      <w:r>
        <w:rPr>
          <w:rFonts w:hint="eastAsia" w:ascii="宋体" w:hAnsi="宋体"/>
          <w:color w:val="auto"/>
          <w:sz w:val="24"/>
          <w:highlight w:val="none"/>
          <w:u w:val="single"/>
          <w:lang w:bidi="ar"/>
        </w:rPr>
        <w:t xml:space="preserve">                                 项目</w:t>
      </w:r>
      <w:r>
        <w:rPr>
          <w:rFonts w:hint="eastAsia" w:ascii="宋体" w:hAnsi="宋体"/>
          <w:color w:val="auto"/>
          <w:sz w:val="24"/>
          <w:highlight w:val="none"/>
          <w:lang w:bidi="ar"/>
        </w:rPr>
        <w:t>的采购结果 ，按照《中华人民共和国政府采购法》、《合同法》规定 ，经双方协商，本着平等互利和诚实信用的原则，一致同意签订本合同如下。</w:t>
      </w:r>
    </w:p>
    <w:p w14:paraId="15F3D3C4">
      <w:pPr>
        <w:pStyle w:val="66"/>
        <w:numPr>
          <w:ilvl w:val="0"/>
          <w:numId w:val="4"/>
        </w:numPr>
        <w:tabs>
          <w:tab w:val="clear" w:pos="0"/>
        </w:tabs>
        <w:spacing w:beforeAutospacing="0" w:afterAutospacing="0" w:line="480" w:lineRule="auto"/>
        <w:ind w:firstLineChars="0"/>
        <w:jc w:val="left"/>
        <w:rPr>
          <w:rFonts w:hint="eastAsia" w:ascii="宋体" w:hAnsi="宋体"/>
          <w:color w:val="auto"/>
          <w:sz w:val="24"/>
          <w:szCs w:val="24"/>
          <w:highlight w:val="none"/>
        </w:rPr>
      </w:pPr>
      <w:r>
        <w:rPr>
          <w:rFonts w:hint="eastAsia" w:ascii="宋体" w:hAnsi="宋体"/>
          <w:color w:val="auto"/>
          <w:sz w:val="24"/>
          <w:szCs w:val="24"/>
          <w:highlight w:val="none"/>
        </w:rPr>
        <w:t>合同金额</w:t>
      </w:r>
    </w:p>
    <w:p w14:paraId="37E39F94">
      <w:pPr>
        <w:spacing w:beforeAutospacing="0" w:afterAutospacing="0" w:line="480" w:lineRule="auto"/>
        <w:ind w:left="555"/>
        <w:rPr>
          <w:rFonts w:hint="eastAsia" w:ascii="宋体" w:hAnsi="宋体"/>
          <w:color w:val="auto"/>
          <w:sz w:val="24"/>
          <w:highlight w:val="none"/>
          <w:lang w:bidi="ar"/>
        </w:rPr>
      </w:pPr>
      <w:r>
        <w:rPr>
          <w:rFonts w:hint="eastAsia" w:ascii="宋体" w:hAnsi="宋体"/>
          <w:color w:val="auto"/>
          <w:sz w:val="24"/>
          <w:highlight w:val="none"/>
          <w:lang w:bidi="ar"/>
        </w:rPr>
        <w:t xml:space="preserve">合同金额（大写）：元（ </w:t>
      </w:r>
      <w:r>
        <w:rPr>
          <w:rStyle w:val="61"/>
          <w:rFonts w:hint="eastAsia" w:ascii="宋体" w:hAnsi="宋体"/>
          <w:b/>
          <w:color w:val="auto"/>
          <w:kern w:val="36"/>
          <w:sz w:val="24"/>
          <w:highlight w:val="none"/>
          <w:lang w:bidi="ar"/>
        </w:rPr>
        <w:t>￥</w:t>
      </w:r>
      <w:r>
        <w:rPr>
          <w:rFonts w:hint="eastAsia" w:ascii="宋体" w:hAnsi="宋体"/>
          <w:color w:val="auto"/>
          <w:sz w:val="24"/>
          <w:highlight w:val="none"/>
          <w:lang w:bidi="ar"/>
        </w:rPr>
        <w:t>元）人民币。</w:t>
      </w:r>
    </w:p>
    <w:p w14:paraId="0C4FC84F">
      <w:pPr>
        <w:pStyle w:val="66"/>
        <w:numPr>
          <w:ilvl w:val="0"/>
          <w:numId w:val="4"/>
        </w:numPr>
        <w:tabs>
          <w:tab w:val="clear" w:pos="0"/>
        </w:tabs>
        <w:spacing w:beforeAutospacing="0" w:afterAutospacing="0" w:line="480"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服务范围</w:t>
      </w:r>
    </w:p>
    <w:p w14:paraId="34E30D0E">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甲方聘请乙方提供以下服务：</w:t>
      </w:r>
    </w:p>
    <w:p w14:paraId="3E1C38E6">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1．本合同项下的服务指。</w:t>
      </w:r>
    </w:p>
    <w:p w14:paraId="37340EFD">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2．……</w:t>
      </w:r>
    </w:p>
    <w:p w14:paraId="6801AC0B">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3．……</w:t>
      </w:r>
    </w:p>
    <w:p w14:paraId="5DCE1A7B">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三、甲方乙方的权利和义务</w:t>
      </w:r>
    </w:p>
    <w:p w14:paraId="41D69DA8">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（一）甲方的权利和义务</w:t>
      </w:r>
    </w:p>
    <w:p w14:paraId="7C2A447B">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（二）乙方的权利和义务</w:t>
      </w:r>
    </w:p>
    <w:p w14:paraId="718AD48A">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四、服务期间（项目完成期限）</w:t>
      </w:r>
    </w:p>
    <w:p w14:paraId="35DF5A0C">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委托服务期间自年月至年月止。</w:t>
      </w:r>
    </w:p>
    <w:p w14:paraId="15F9E7BF">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五、付款方式：合同签订后，支付30%预付款；服务结束，成果文件经专家评审论证后支付至合同价款的80%；成果文件修改完善后支付剩余合同金额。</w:t>
      </w:r>
    </w:p>
    <w:p w14:paraId="46448169">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六、知识产权产权归属</w:t>
      </w:r>
    </w:p>
    <w:p w14:paraId="65F574F0">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七、保密</w:t>
      </w:r>
    </w:p>
    <w:p w14:paraId="337B3A2A">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八、违约责任与赔偿缺失</w:t>
      </w:r>
    </w:p>
    <w:p w14:paraId="5258446A">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1）乙方提供的服务有符合采购文件、报价文件或本合同规定的，甲方有权拒收，并且乙方须向甲方支付本合同总价5%违约金。</w:t>
      </w:r>
    </w:p>
    <w:p w14:paraId="02CADA37">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2）乙方未能合同规定的交货时间提供服务，从逾期之日起每日按本合同总价的3‰的数额向甲方支付违约金；逾期半个月以上的，甲方有权终止合同，由此造成的甲方经济损失由乙方承担。</w:t>
      </w:r>
    </w:p>
    <w:p w14:paraId="1F0B0131">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3）甲方无正当理由拒收接受服务，到期拒付服务款项的，甲方向乙方偿付本合同决的5%的违约金。甲方人逾期付款，则每日按本合同总价的3‰向乙方偿付违约金。</w:t>
      </w:r>
    </w:p>
    <w:p w14:paraId="667B632A">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4）其它违约责任按《中华人民共和国合同法》处理。</w:t>
      </w:r>
    </w:p>
    <w:p w14:paraId="5E0EFFAF">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九、争端的解决</w:t>
      </w:r>
    </w:p>
    <w:p w14:paraId="7DDD8192">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1）合同执行过程中发生的任何争议，如双方不能通过友好协商解决，按相关法律法规处理。</w:t>
      </w:r>
    </w:p>
    <w:p w14:paraId="0F9A713E">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十、不可抗力:任何一方由于不可抗力原因不能履行合同时，应在不可抗力事件结束后1日内向双方通报，以减轻可能给双方造成的损失，在取得有关机构的不可抗力证明或双方谅解确认后，允许延期履行或修订合同，并根据情况可部分或全部免于承担违约责任。</w:t>
      </w:r>
    </w:p>
    <w:p w14:paraId="34CABD56">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十一、税费：在中国境内、外发生的与本合同执行有关的一切税费均由乙方负担。</w:t>
      </w:r>
    </w:p>
    <w:p w14:paraId="038227D7">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十二、其它</w:t>
      </w:r>
    </w:p>
    <w:p w14:paraId="77D82737">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1）本合同所有附件、采购文件、响应文件、中标通知书均为合同的有效组成部分，与本合同具有同等法律效力。</w:t>
      </w:r>
    </w:p>
    <w:p w14:paraId="2FBB3DC9">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2）在执行本合同的过程中，所有经双方签署确认的文件（包括会议纪要、补充协议、往来信函）即成为本合同的有效组成部分。</w:t>
      </w:r>
    </w:p>
    <w:p w14:paraId="1BB317CF">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3）如一方地址、电话、传真号码有变更，应在变更当日内书面通知对方，否则，应承担相应责任。</w:t>
      </w:r>
    </w:p>
    <w:p w14:paraId="51089A22">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4）除甲方事先书面同意外，乙方不得部分或全部转让其应履行的合同项下的义务。</w:t>
      </w:r>
    </w:p>
    <w:p w14:paraId="5DC2A5C5">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十三、合同生效：</w:t>
      </w:r>
    </w:p>
    <w:p w14:paraId="65F670EC">
      <w:pPr>
        <w:pStyle w:val="66"/>
        <w:numPr>
          <w:ilvl w:val="0"/>
          <w:numId w:val="5"/>
        </w:numPr>
        <w:tabs>
          <w:tab w:val="clear" w:pos="0"/>
        </w:tabs>
        <w:spacing w:beforeAutospacing="0" w:afterAutospacing="0" w:line="480"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代表或其授权代表签字盖章后生效。</w:t>
      </w:r>
    </w:p>
    <w:p w14:paraId="463FF36A">
      <w:pPr>
        <w:pStyle w:val="66"/>
        <w:numPr>
          <w:ilvl w:val="0"/>
          <w:numId w:val="5"/>
        </w:numPr>
        <w:tabs>
          <w:tab w:val="clear" w:pos="0"/>
        </w:tabs>
        <w:spacing w:beforeAutospacing="0" w:afterAutospacing="0" w:line="480"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合同一式份。</w:t>
      </w:r>
    </w:p>
    <w:p w14:paraId="39AF1CCC">
      <w:pPr>
        <w:spacing w:beforeAutospacing="0" w:afterAutospacing="0" w:line="480" w:lineRule="auto"/>
        <w:ind w:firstLine="360" w:firstLineChars="150"/>
        <w:rPr>
          <w:rFonts w:hint="eastAsia" w:ascii="宋体" w:hAnsi="宋体"/>
          <w:color w:val="auto"/>
          <w:sz w:val="24"/>
          <w:highlight w:val="none"/>
          <w:lang w:bidi="ar"/>
        </w:rPr>
      </w:pPr>
    </w:p>
    <w:p w14:paraId="77810943">
      <w:pPr>
        <w:spacing w:beforeAutospacing="0" w:afterAutospacing="0" w:line="480" w:lineRule="auto"/>
        <w:ind w:firstLine="360" w:firstLineChars="150"/>
        <w:rPr>
          <w:rFonts w:hint="eastAsia" w:ascii="宋体" w:hAnsi="宋体"/>
          <w:color w:val="auto"/>
          <w:sz w:val="24"/>
          <w:highlight w:val="none"/>
          <w:lang w:bidi="ar"/>
        </w:rPr>
      </w:pPr>
    </w:p>
    <w:p w14:paraId="0B5EEEA4">
      <w:pPr>
        <w:spacing w:beforeAutospacing="0" w:afterAutospacing="0" w:line="480" w:lineRule="auto"/>
        <w:ind w:firstLine="360" w:firstLineChars="150"/>
        <w:rPr>
          <w:rFonts w:hint="eastAsia" w:ascii="宋体" w:hAnsi="宋体"/>
          <w:color w:val="auto"/>
          <w:sz w:val="24"/>
          <w:highlight w:val="none"/>
          <w:lang w:bidi="ar"/>
        </w:rPr>
      </w:pPr>
    </w:p>
    <w:p w14:paraId="16E9B43E">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 xml:space="preserve">甲方（盖章）：                      乙方（盖章）：  </w:t>
      </w:r>
    </w:p>
    <w:p w14:paraId="4C194B58">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 xml:space="preserve">代表：                             代表： </w:t>
      </w:r>
    </w:p>
    <w:p w14:paraId="22554016">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签定日期：   年   月   日          签定日期：   年   月   日</w:t>
      </w:r>
    </w:p>
    <w:p w14:paraId="74A79782">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 xml:space="preserve">开户名称：                         开户名称： </w:t>
      </w:r>
    </w:p>
    <w:p w14:paraId="46A489CC">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 xml:space="preserve">银行账号：                         银行账号： </w:t>
      </w:r>
    </w:p>
    <w:p w14:paraId="2826D3AB">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 xml:space="preserve">开户行：                           开户行： </w:t>
      </w:r>
    </w:p>
    <w:bookmarkEnd w:id="170"/>
    <w:bookmarkEnd w:id="171"/>
    <w:bookmarkEnd w:id="172"/>
    <w:bookmarkEnd w:id="173"/>
    <w:p w14:paraId="4474F762">
      <w:pPr>
        <w:rPr>
          <w:rFonts w:hint="eastAsia" w:asciiTheme="majorEastAsia" w:hAnsiTheme="majorEastAsia" w:eastAsiaTheme="majorEastAsia" w:cstheme="majorEastAsia"/>
          <w:b/>
          <w:color w:val="auto"/>
          <w:kern w:val="2"/>
          <w:sz w:val="32"/>
          <w:szCs w:val="32"/>
          <w:highlight w:val="none"/>
        </w:rPr>
      </w:pPr>
      <w:r>
        <w:rPr>
          <w:rFonts w:hint="eastAsia" w:asciiTheme="majorEastAsia" w:hAnsiTheme="majorEastAsia" w:eastAsiaTheme="majorEastAsia" w:cstheme="majorEastAsia"/>
          <w:b/>
          <w:color w:val="auto"/>
          <w:kern w:val="2"/>
          <w:sz w:val="32"/>
          <w:szCs w:val="32"/>
          <w:highlight w:val="none"/>
        </w:rPr>
        <w:br w:type="page"/>
      </w:r>
    </w:p>
    <w:p w14:paraId="0FED9D33">
      <w:pPr>
        <w:spacing w:line="500" w:lineRule="exact"/>
        <w:jc w:val="center"/>
        <w:outlineLvl w:val="0"/>
        <w:rPr>
          <w:rFonts w:asciiTheme="majorEastAsia" w:hAnsiTheme="majorEastAsia" w:eastAsiaTheme="majorEastAsia" w:cstheme="majorEastAsia"/>
          <w:b/>
          <w:color w:val="auto"/>
          <w:kern w:val="2"/>
          <w:sz w:val="32"/>
          <w:szCs w:val="32"/>
          <w:highlight w:val="none"/>
        </w:rPr>
      </w:pPr>
      <w:r>
        <w:rPr>
          <w:rFonts w:hint="eastAsia" w:asciiTheme="majorEastAsia" w:hAnsiTheme="majorEastAsia" w:eastAsiaTheme="majorEastAsia" w:cstheme="majorEastAsia"/>
          <w:b/>
          <w:color w:val="auto"/>
          <w:kern w:val="2"/>
          <w:sz w:val="32"/>
          <w:szCs w:val="32"/>
          <w:highlight w:val="none"/>
        </w:rPr>
        <w:t>第六章  磋商响应文件格式</w:t>
      </w:r>
    </w:p>
    <w:p w14:paraId="53637315">
      <w:pPr>
        <w:autoSpaceDE w:val="0"/>
        <w:autoSpaceDN w:val="0"/>
        <w:adjustRightInd w:val="0"/>
        <w:spacing w:line="500" w:lineRule="exact"/>
        <w:rPr>
          <w:color w:val="auto"/>
          <w:sz w:val="24"/>
          <w:highlight w:val="none"/>
        </w:rPr>
      </w:pPr>
    </w:p>
    <w:p w14:paraId="5D1BB422">
      <w:pPr>
        <w:autoSpaceDE w:val="0"/>
        <w:autoSpaceDN w:val="0"/>
        <w:adjustRightInd w:val="0"/>
        <w:spacing w:line="500" w:lineRule="exact"/>
        <w:rPr>
          <w:color w:val="auto"/>
          <w:sz w:val="24"/>
          <w:highlight w:val="none"/>
        </w:rPr>
      </w:pPr>
    </w:p>
    <w:p w14:paraId="088AC5B6">
      <w:pPr>
        <w:autoSpaceDE w:val="0"/>
        <w:autoSpaceDN w:val="0"/>
        <w:adjustRightInd w:val="0"/>
        <w:spacing w:line="500" w:lineRule="exact"/>
        <w:rPr>
          <w:color w:val="auto"/>
          <w:sz w:val="24"/>
          <w:highlight w:val="none"/>
        </w:rPr>
      </w:pPr>
    </w:p>
    <w:p w14:paraId="267BB276">
      <w:pPr>
        <w:autoSpaceDE w:val="0"/>
        <w:autoSpaceDN w:val="0"/>
        <w:adjustRightInd w:val="0"/>
        <w:spacing w:line="500" w:lineRule="exact"/>
        <w:jc w:val="center"/>
        <w:rPr>
          <w:color w:val="auto"/>
          <w:sz w:val="24"/>
          <w:highlight w:val="none"/>
        </w:rPr>
      </w:pPr>
      <w:r>
        <w:rPr>
          <w:rFonts w:hint="eastAsia"/>
          <w:color w:val="auto"/>
          <w:sz w:val="24"/>
          <w:highlight w:val="none"/>
        </w:rPr>
        <w:t>项目名称</w:t>
      </w:r>
    </w:p>
    <w:p w14:paraId="32DF4271">
      <w:pPr>
        <w:widowControl w:val="0"/>
        <w:spacing w:line="500" w:lineRule="exact"/>
        <w:ind w:firstLine="1269" w:firstLineChars="395"/>
        <w:jc w:val="both"/>
        <w:rPr>
          <w:rFonts w:ascii="宋体" w:hAnsi="宋体"/>
          <w:b/>
          <w:color w:val="auto"/>
          <w:sz w:val="32"/>
          <w:szCs w:val="32"/>
          <w:highlight w:val="none"/>
        </w:rPr>
      </w:pPr>
      <w:r>
        <w:rPr>
          <w:rFonts w:hint="eastAsia" w:ascii="宋体" w:hAnsi="宋体"/>
          <w:b/>
          <w:color w:val="auto"/>
          <w:kern w:val="2"/>
          <w:sz w:val="32"/>
          <w:szCs w:val="32"/>
          <w:highlight w:val="none"/>
        </w:rPr>
        <w:t xml:space="preserve"> </w:t>
      </w:r>
    </w:p>
    <w:p w14:paraId="2645007E">
      <w:pPr>
        <w:widowControl w:val="0"/>
        <w:spacing w:line="500" w:lineRule="exact"/>
        <w:ind w:firstLine="1590" w:firstLineChars="495"/>
        <w:jc w:val="both"/>
        <w:rPr>
          <w:rFonts w:ascii="宋体" w:hAnsi="宋体" w:cs="宋体"/>
          <w:b/>
          <w:color w:val="auto"/>
          <w:kern w:val="2"/>
          <w:sz w:val="32"/>
          <w:szCs w:val="32"/>
          <w:highlight w:val="none"/>
        </w:rPr>
      </w:pPr>
      <w:bookmarkStart w:id="177" w:name="_Toc453139657"/>
      <w:bookmarkEnd w:id="177"/>
    </w:p>
    <w:p w14:paraId="62BAB233">
      <w:pPr>
        <w:pStyle w:val="14"/>
        <w:ind w:firstLine="210"/>
        <w:rPr>
          <w:color w:val="auto"/>
          <w:highlight w:val="none"/>
        </w:rPr>
      </w:pPr>
    </w:p>
    <w:p w14:paraId="189FF6CE">
      <w:pPr>
        <w:widowControl w:val="0"/>
        <w:spacing w:line="500" w:lineRule="exact"/>
        <w:jc w:val="center"/>
        <w:rPr>
          <w:rFonts w:ascii="宋体" w:hAnsi="宋体"/>
          <w:b/>
          <w:color w:val="auto"/>
          <w:sz w:val="48"/>
          <w:szCs w:val="48"/>
          <w:highlight w:val="none"/>
        </w:rPr>
      </w:pPr>
      <w:r>
        <w:rPr>
          <w:rFonts w:hint="eastAsia" w:ascii="宋体" w:hAnsi="宋体" w:cs="宋体"/>
          <w:b/>
          <w:color w:val="auto"/>
          <w:kern w:val="2"/>
          <w:sz w:val="48"/>
          <w:szCs w:val="48"/>
          <w:highlight w:val="none"/>
        </w:rPr>
        <w:t>响应文件</w:t>
      </w:r>
    </w:p>
    <w:p w14:paraId="24B8F573">
      <w:pPr>
        <w:widowControl w:val="0"/>
        <w:spacing w:line="500" w:lineRule="exact"/>
        <w:ind w:firstLine="1430" w:firstLineChars="445"/>
        <w:jc w:val="both"/>
        <w:rPr>
          <w:rFonts w:ascii="宋体" w:hAnsi="宋体"/>
          <w:b/>
          <w:color w:val="auto"/>
          <w:sz w:val="32"/>
          <w:szCs w:val="32"/>
          <w:highlight w:val="none"/>
        </w:rPr>
      </w:pPr>
      <w:r>
        <w:rPr>
          <w:rFonts w:hint="eastAsia" w:ascii="宋体" w:hAnsi="宋体"/>
          <w:b/>
          <w:color w:val="auto"/>
          <w:kern w:val="2"/>
          <w:sz w:val="32"/>
          <w:szCs w:val="32"/>
          <w:highlight w:val="none"/>
        </w:rPr>
        <w:t xml:space="preserve"> </w:t>
      </w:r>
    </w:p>
    <w:p w14:paraId="7FE9C49D">
      <w:pPr>
        <w:widowControl w:val="0"/>
        <w:spacing w:line="500" w:lineRule="exact"/>
        <w:ind w:firstLine="1430" w:firstLineChars="445"/>
        <w:jc w:val="both"/>
        <w:rPr>
          <w:rFonts w:ascii="宋体" w:hAnsi="宋体"/>
          <w:b/>
          <w:color w:val="auto"/>
          <w:sz w:val="32"/>
          <w:szCs w:val="32"/>
          <w:highlight w:val="none"/>
        </w:rPr>
      </w:pPr>
      <w:r>
        <w:rPr>
          <w:rFonts w:hint="eastAsia" w:ascii="宋体" w:hAnsi="宋体"/>
          <w:b/>
          <w:color w:val="auto"/>
          <w:kern w:val="2"/>
          <w:sz w:val="32"/>
          <w:szCs w:val="32"/>
          <w:highlight w:val="none"/>
        </w:rPr>
        <w:t xml:space="preserve"> </w:t>
      </w:r>
    </w:p>
    <w:p w14:paraId="34BACE20">
      <w:pPr>
        <w:snapToGrid w:val="0"/>
        <w:spacing w:beforeAutospacing="0" w:afterAutospacing="0" w:line="360" w:lineRule="auto"/>
        <w:ind w:firstLine="4176" w:firstLineChars="1300"/>
        <w:rPr>
          <w:rFonts w:hint="eastAsia" w:ascii="宋体" w:hAnsi="宋体" w:eastAsia="宋体"/>
          <w:b/>
          <w:bCs/>
          <w:color w:val="auto"/>
          <w:sz w:val="28"/>
          <w:szCs w:val="28"/>
          <w:highlight w:val="none"/>
        </w:rPr>
      </w:pPr>
      <w:r>
        <w:rPr>
          <w:rFonts w:hint="eastAsia" w:ascii="宋体" w:hAnsi="宋体" w:cs="宋体"/>
          <w:b/>
          <w:color w:val="auto"/>
          <w:kern w:val="2"/>
          <w:sz w:val="32"/>
          <w:szCs w:val="32"/>
          <w:highlight w:val="none"/>
        </w:rPr>
        <w:t>项目编号：</w:t>
      </w:r>
    </w:p>
    <w:p w14:paraId="58C3A53E">
      <w:pPr>
        <w:snapToGrid w:val="0"/>
        <w:spacing w:beforeAutospacing="0" w:afterAutospacing="0" w:line="360" w:lineRule="auto"/>
        <w:rPr>
          <w:rFonts w:ascii="宋体" w:hAnsi="宋体" w:eastAsia="宋体"/>
          <w:color w:val="auto"/>
          <w:sz w:val="28"/>
          <w:szCs w:val="28"/>
          <w:highlight w:val="none"/>
        </w:rPr>
      </w:pPr>
    </w:p>
    <w:p w14:paraId="0F785DEC">
      <w:pPr>
        <w:snapToGrid w:val="0"/>
        <w:spacing w:beforeAutospacing="0" w:afterAutospacing="0" w:line="360" w:lineRule="auto"/>
        <w:rPr>
          <w:rFonts w:ascii="宋体" w:hAnsi="宋体" w:eastAsia="宋体"/>
          <w:color w:val="auto"/>
          <w:sz w:val="28"/>
          <w:szCs w:val="28"/>
          <w:highlight w:val="none"/>
        </w:rPr>
      </w:pPr>
    </w:p>
    <w:p w14:paraId="3D49B13F">
      <w:pPr>
        <w:snapToGrid w:val="0"/>
        <w:spacing w:beforeAutospacing="0" w:afterAutospacing="0" w:line="360" w:lineRule="auto"/>
        <w:rPr>
          <w:rFonts w:ascii="宋体" w:hAnsi="宋体" w:eastAsia="宋体"/>
          <w:color w:val="auto"/>
          <w:sz w:val="28"/>
          <w:szCs w:val="28"/>
          <w:highlight w:val="none"/>
        </w:rPr>
      </w:pPr>
    </w:p>
    <w:p w14:paraId="0BCCE734">
      <w:pPr>
        <w:snapToGrid w:val="0"/>
        <w:spacing w:beforeAutospacing="0" w:afterAutospacing="0" w:line="360" w:lineRule="auto"/>
        <w:rPr>
          <w:rFonts w:ascii="宋体" w:hAnsi="宋体" w:eastAsia="宋体"/>
          <w:color w:val="auto"/>
          <w:sz w:val="28"/>
          <w:szCs w:val="28"/>
          <w:highlight w:val="none"/>
        </w:rPr>
      </w:pPr>
    </w:p>
    <w:p w14:paraId="19F3BAA3">
      <w:pPr>
        <w:snapToGrid w:val="0"/>
        <w:spacing w:beforeAutospacing="0" w:afterAutospacing="0" w:line="360" w:lineRule="auto"/>
        <w:rPr>
          <w:rFonts w:ascii="宋体" w:hAnsi="宋体" w:eastAsia="宋体"/>
          <w:color w:val="auto"/>
          <w:sz w:val="28"/>
          <w:szCs w:val="28"/>
          <w:highlight w:val="none"/>
        </w:rPr>
      </w:pPr>
    </w:p>
    <w:p w14:paraId="53A8A6CC">
      <w:pPr>
        <w:snapToGrid w:val="0"/>
        <w:spacing w:beforeAutospacing="0" w:afterAutospacing="0" w:line="360" w:lineRule="auto"/>
        <w:rPr>
          <w:rFonts w:ascii="宋体" w:hAnsi="宋体" w:eastAsia="宋体"/>
          <w:color w:val="auto"/>
          <w:sz w:val="28"/>
          <w:szCs w:val="28"/>
          <w:highlight w:val="none"/>
        </w:rPr>
      </w:pPr>
    </w:p>
    <w:p w14:paraId="7F197F8E">
      <w:pPr>
        <w:snapToGrid w:val="0"/>
        <w:spacing w:beforeAutospacing="0" w:afterAutospacing="0" w:line="360" w:lineRule="auto"/>
        <w:rPr>
          <w:rFonts w:ascii="宋体" w:hAnsi="宋体" w:eastAsia="宋体"/>
          <w:color w:val="auto"/>
          <w:sz w:val="28"/>
          <w:szCs w:val="28"/>
          <w:highlight w:val="none"/>
        </w:rPr>
      </w:pPr>
    </w:p>
    <w:p w14:paraId="024CD6FE">
      <w:pPr>
        <w:widowControl w:val="0"/>
        <w:spacing w:line="500" w:lineRule="exact"/>
        <w:jc w:val="center"/>
        <w:rPr>
          <w:rFonts w:ascii="宋体" w:hAnsi="宋体"/>
          <w:color w:val="auto"/>
          <w:sz w:val="28"/>
          <w:szCs w:val="28"/>
          <w:highlight w:val="none"/>
        </w:rPr>
      </w:pPr>
      <w:r>
        <w:rPr>
          <w:rFonts w:hint="eastAsia" w:ascii="宋体" w:hAnsi="宋体" w:cs="宋体"/>
          <w:color w:val="auto"/>
          <w:kern w:val="2"/>
          <w:sz w:val="28"/>
          <w:szCs w:val="28"/>
          <w:highlight w:val="none"/>
          <w:lang w:val="en-GB"/>
        </w:rPr>
        <w:t>磋商供应商</w:t>
      </w:r>
      <w:r>
        <w:rPr>
          <w:rFonts w:hint="eastAsia" w:ascii="宋体" w:hAnsi="宋体" w:cs="宋体"/>
          <w:color w:val="auto"/>
          <w:kern w:val="2"/>
          <w:sz w:val="28"/>
          <w:szCs w:val="28"/>
          <w:highlight w:val="none"/>
          <w:lang w:val="en-GB" w:eastAsia="zh-CN"/>
        </w:rPr>
        <w:t>（</w:t>
      </w:r>
      <w:r>
        <w:rPr>
          <w:rFonts w:hint="eastAsia" w:ascii="宋体" w:hAnsi="宋体" w:cs="宋体"/>
          <w:color w:val="auto"/>
          <w:kern w:val="2"/>
          <w:sz w:val="28"/>
          <w:szCs w:val="28"/>
          <w:highlight w:val="none"/>
          <w:lang w:val="en-US" w:eastAsia="zh-CN"/>
        </w:rPr>
        <w:t>联合体牵头人</w:t>
      </w:r>
      <w:r>
        <w:rPr>
          <w:rFonts w:hint="eastAsia" w:ascii="宋体" w:hAnsi="宋体" w:cs="宋体"/>
          <w:color w:val="auto"/>
          <w:kern w:val="2"/>
          <w:sz w:val="28"/>
          <w:szCs w:val="28"/>
          <w:highlight w:val="none"/>
          <w:lang w:val="en-GB" w:eastAsia="zh-CN"/>
        </w:rPr>
        <w:t>）：</w:t>
      </w:r>
      <w:r>
        <w:rPr>
          <w:rFonts w:hint="eastAsia" w:ascii="宋体" w:hAnsi="宋体" w:cs="宋体"/>
          <w:color w:val="auto"/>
          <w:kern w:val="2"/>
          <w:sz w:val="28"/>
          <w:szCs w:val="28"/>
          <w:highlight w:val="none"/>
        </w:rPr>
        <w:t xml:space="preserve"> </w:t>
      </w:r>
      <w:r>
        <w:rPr>
          <w:rFonts w:hint="eastAsia" w:ascii="宋体" w:hAnsi="宋体"/>
          <w:color w:val="auto"/>
          <w:kern w:val="2"/>
          <w:sz w:val="28"/>
          <w:szCs w:val="28"/>
          <w:highlight w:val="none"/>
          <w:u w:val="single"/>
        </w:rPr>
        <w:t xml:space="preserve">               </w:t>
      </w:r>
      <w:r>
        <w:rPr>
          <w:rFonts w:hint="eastAsia" w:ascii="宋体" w:hAnsi="宋体" w:cs="宋体"/>
          <w:color w:val="auto"/>
          <w:sz w:val="28"/>
          <w:szCs w:val="28"/>
          <w:highlight w:val="none"/>
        </w:rPr>
        <w:t>（电子签章）</w:t>
      </w:r>
    </w:p>
    <w:p w14:paraId="655B4AEE">
      <w:pPr>
        <w:widowControl w:val="0"/>
        <w:spacing w:line="500" w:lineRule="exact"/>
        <w:jc w:val="center"/>
        <w:rPr>
          <w:rFonts w:ascii="宋体" w:hAnsi="宋体"/>
          <w:color w:val="auto"/>
          <w:sz w:val="28"/>
          <w:szCs w:val="28"/>
          <w:highlight w:val="none"/>
        </w:rPr>
      </w:pPr>
      <w:bookmarkStart w:id="178" w:name="_Toc453139660"/>
      <w:bookmarkEnd w:id="178"/>
      <w:r>
        <w:rPr>
          <w:rFonts w:hint="eastAsia" w:ascii="宋体" w:hAnsi="宋体" w:cs="宋体"/>
          <w:color w:val="auto"/>
          <w:kern w:val="2"/>
          <w:sz w:val="28"/>
          <w:szCs w:val="28"/>
          <w:highlight w:val="none"/>
        </w:rPr>
        <w:t>法定代表人：</w:t>
      </w:r>
      <w:r>
        <w:rPr>
          <w:rFonts w:hint="eastAsia" w:ascii="宋体" w:hAnsi="宋体"/>
          <w:color w:val="auto"/>
          <w:kern w:val="2"/>
          <w:sz w:val="28"/>
          <w:szCs w:val="28"/>
          <w:highlight w:val="none"/>
          <w:u w:val="single"/>
        </w:rPr>
        <w:t xml:space="preserve">                </w:t>
      </w:r>
      <w:r>
        <w:rPr>
          <w:rFonts w:hint="eastAsia" w:ascii="宋体" w:hAnsi="宋体" w:cs="宋体"/>
          <w:color w:val="auto"/>
          <w:sz w:val="28"/>
          <w:szCs w:val="28"/>
          <w:highlight w:val="none"/>
        </w:rPr>
        <w:t>（签字或盖章）</w:t>
      </w:r>
    </w:p>
    <w:p w14:paraId="651C7EA1">
      <w:pPr>
        <w:widowControl w:val="0"/>
        <w:spacing w:line="500" w:lineRule="exact"/>
        <w:jc w:val="center"/>
        <w:rPr>
          <w:rFonts w:ascii="宋体" w:hAnsi="宋体" w:cs="宋体"/>
          <w:b/>
          <w:color w:val="auto"/>
          <w:sz w:val="28"/>
          <w:szCs w:val="28"/>
          <w:highlight w:val="none"/>
        </w:rPr>
      </w:pPr>
      <w:bookmarkStart w:id="179" w:name="_Toc453139662"/>
      <w:bookmarkEnd w:id="179"/>
      <w:r>
        <w:rPr>
          <w:rFonts w:hint="eastAsia" w:ascii="宋体" w:hAnsi="宋体" w:cs="宋体"/>
          <w:color w:val="auto"/>
          <w:kern w:val="2"/>
          <w:sz w:val="28"/>
          <w:szCs w:val="28"/>
          <w:highlight w:val="none"/>
        </w:rPr>
        <w:t>日</w:t>
      </w:r>
      <w:r>
        <w:rPr>
          <w:rFonts w:hint="eastAsia" w:ascii="宋体" w:hAnsi="宋体"/>
          <w:color w:val="auto"/>
          <w:kern w:val="2"/>
          <w:sz w:val="28"/>
          <w:szCs w:val="28"/>
          <w:highlight w:val="none"/>
        </w:rPr>
        <w:t xml:space="preserve">      </w:t>
      </w:r>
      <w:r>
        <w:rPr>
          <w:rFonts w:hint="eastAsia" w:ascii="宋体" w:hAnsi="宋体" w:cs="宋体"/>
          <w:color w:val="auto"/>
          <w:kern w:val="2"/>
          <w:sz w:val="28"/>
          <w:szCs w:val="28"/>
          <w:highlight w:val="none"/>
        </w:rPr>
        <w:t xml:space="preserve">期：  </w:t>
      </w:r>
      <w:r>
        <w:rPr>
          <w:rFonts w:hint="eastAsia" w:ascii="宋体" w:hAnsi="宋体"/>
          <w:color w:val="auto"/>
          <w:sz w:val="28"/>
          <w:szCs w:val="28"/>
          <w:highlight w:val="none"/>
        </w:rPr>
        <w:t>年    月    日</w:t>
      </w:r>
    </w:p>
    <w:p w14:paraId="2096F20A">
      <w:pPr>
        <w:snapToGrid w:val="0"/>
        <w:spacing w:beforeAutospacing="0" w:afterAutospacing="0" w:line="360" w:lineRule="auto"/>
        <w:rPr>
          <w:rFonts w:ascii="宋体" w:hAnsi="宋体" w:eastAsia="宋体"/>
          <w:color w:val="auto"/>
          <w:sz w:val="20"/>
          <w:szCs w:val="20"/>
          <w:highlight w:val="none"/>
        </w:rPr>
      </w:pPr>
    </w:p>
    <w:p w14:paraId="029F6FE1">
      <w:pPr>
        <w:snapToGrid w:val="0"/>
        <w:spacing w:beforeAutospacing="0" w:afterAutospacing="0" w:line="360" w:lineRule="auto"/>
        <w:rPr>
          <w:rFonts w:hint="eastAsia" w:ascii="宋体" w:hAnsi="宋体" w:eastAsia="宋体"/>
          <w:color w:val="auto"/>
          <w:szCs w:val="24"/>
          <w:highlight w:val="none"/>
        </w:rPr>
      </w:pPr>
      <w:r>
        <w:rPr>
          <w:rFonts w:hint="eastAsia" w:ascii="宋体" w:hAnsi="宋体" w:eastAsia="宋体"/>
          <w:color w:val="auto"/>
          <w:szCs w:val="24"/>
          <w:highlight w:val="none"/>
        </w:rPr>
        <w:br w:type="page"/>
      </w:r>
    </w:p>
    <w:p w14:paraId="1E4936AC">
      <w:pPr>
        <w:tabs>
          <w:tab w:val="left" w:pos="425"/>
          <w:tab w:val="left" w:pos="840"/>
        </w:tabs>
        <w:wordWrap w:val="0"/>
        <w:spacing w:before="160" w:beforeAutospacing="0" w:after="160" w:afterAutospacing="0" w:line="600" w:lineRule="exact"/>
        <w:ind w:firstLine="723" w:firstLineChars="200"/>
        <w:outlineLvl w:val="1"/>
        <w:rPr>
          <w:rFonts w:ascii="宋体" w:hAnsi="宋体" w:eastAsia="宋体"/>
          <w:b/>
          <w:color w:val="auto"/>
          <w:kern w:val="0"/>
          <w:sz w:val="36"/>
          <w:szCs w:val="36"/>
          <w:highlight w:val="none"/>
        </w:rPr>
      </w:pPr>
    </w:p>
    <w:p w14:paraId="4A6CA6C5">
      <w:pPr>
        <w:tabs>
          <w:tab w:val="left" w:pos="425"/>
          <w:tab w:val="left" w:pos="840"/>
        </w:tabs>
        <w:wordWrap w:val="0"/>
        <w:spacing w:before="160" w:beforeAutospacing="0" w:after="160" w:afterAutospacing="0" w:line="600" w:lineRule="exact"/>
        <w:jc w:val="center"/>
        <w:outlineLvl w:val="9"/>
        <w:rPr>
          <w:rFonts w:hint="eastAsia" w:ascii="宋体" w:hAnsi="宋体" w:eastAsia="宋体"/>
          <w:b/>
          <w:color w:val="auto"/>
          <w:kern w:val="0"/>
          <w:sz w:val="36"/>
          <w:szCs w:val="36"/>
          <w:highlight w:val="none"/>
        </w:rPr>
      </w:pPr>
      <w:r>
        <w:rPr>
          <w:rFonts w:hint="eastAsia" w:ascii="宋体" w:hAnsi="宋体" w:eastAsia="宋体"/>
          <w:b/>
          <w:color w:val="auto"/>
          <w:kern w:val="0"/>
          <w:sz w:val="36"/>
          <w:szCs w:val="36"/>
          <w:highlight w:val="none"/>
        </w:rPr>
        <w:t>目</w:t>
      </w:r>
      <w:r>
        <w:rPr>
          <w:rFonts w:ascii="宋体" w:hAnsi="宋体" w:eastAsia="宋体"/>
          <w:b/>
          <w:color w:val="auto"/>
          <w:kern w:val="0"/>
          <w:sz w:val="36"/>
          <w:szCs w:val="36"/>
          <w:highlight w:val="none"/>
        </w:rPr>
        <w:t xml:space="preserve">  </w:t>
      </w:r>
      <w:r>
        <w:rPr>
          <w:rFonts w:hint="eastAsia" w:ascii="宋体" w:hAnsi="宋体" w:eastAsia="宋体"/>
          <w:b/>
          <w:color w:val="auto"/>
          <w:kern w:val="0"/>
          <w:sz w:val="36"/>
          <w:szCs w:val="36"/>
          <w:highlight w:val="none"/>
        </w:rPr>
        <w:t>录</w:t>
      </w:r>
    </w:p>
    <w:p w14:paraId="13BD2986">
      <w:pPr>
        <w:wordWrap w:val="0"/>
        <w:spacing w:beforeAutospacing="0" w:afterAutospacing="0" w:line="600" w:lineRule="exact"/>
        <w:ind w:firstLine="560" w:firstLineChars="200"/>
        <w:jc w:val="center"/>
        <w:rPr>
          <w:rFonts w:ascii="Calibri" w:hAnsi="Calibri" w:eastAsia="宋体"/>
          <w:color w:val="auto"/>
          <w:sz w:val="28"/>
          <w:szCs w:val="28"/>
          <w:highlight w:val="none"/>
        </w:rPr>
      </w:pPr>
    </w:p>
    <w:p w14:paraId="52F0412C">
      <w:pPr>
        <w:wordWrap w:val="0"/>
        <w:spacing w:beforeAutospacing="0" w:afterAutospacing="0" w:line="600" w:lineRule="exact"/>
        <w:jc w:val="center"/>
        <w:rPr>
          <w:rFonts w:ascii="宋体" w:hAnsi="宋体" w:eastAsia="宋体"/>
          <w:b/>
          <w:bCs/>
          <w:color w:val="auto"/>
          <w:kern w:val="0"/>
          <w:sz w:val="28"/>
          <w:szCs w:val="28"/>
          <w:highlight w:val="none"/>
        </w:rPr>
      </w:pPr>
      <w:bookmarkStart w:id="180" w:name="_Hlt532935814"/>
      <w:bookmarkEnd w:id="180"/>
      <w:bookmarkStart w:id="181" w:name="_Hlt532935815"/>
      <w:bookmarkEnd w:id="181"/>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14:paraId="5A1AE6C5">
      <w:pPr>
        <w:wordWrap w:val="0"/>
        <w:spacing w:beforeAutospacing="0" w:afterAutospacing="0" w:line="600" w:lineRule="exact"/>
        <w:ind w:firstLine="562" w:firstLineChars="200"/>
        <w:jc w:val="center"/>
        <w:rPr>
          <w:rFonts w:hint="eastAsia" w:ascii="宋体" w:hAnsi="宋体" w:eastAsia="宋体"/>
          <w:b/>
          <w:bCs/>
          <w:color w:val="auto"/>
          <w:kern w:val="0"/>
          <w:sz w:val="28"/>
          <w:szCs w:val="28"/>
          <w:highlight w:val="none"/>
        </w:rPr>
      </w:pPr>
    </w:p>
    <w:p w14:paraId="4EC6F462">
      <w:pPr>
        <w:wordWrap w:val="0"/>
        <w:spacing w:beforeAutospacing="0" w:afterAutospacing="0" w:line="600" w:lineRule="exact"/>
        <w:ind w:firstLine="562" w:firstLineChars="200"/>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 xml:space="preserve"> </w:t>
      </w:r>
    </w:p>
    <w:p w14:paraId="4ACC9DC8">
      <w:pPr>
        <w:wordWrap w:val="0"/>
        <w:spacing w:beforeAutospacing="0" w:afterAutospacing="0" w:line="600" w:lineRule="exact"/>
        <w:ind w:firstLine="562" w:firstLineChars="200"/>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 xml:space="preserve"> </w:t>
      </w:r>
    </w:p>
    <w:p w14:paraId="1BC0F230">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48D5C7FA">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3ED99D8A">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11E988C2">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243BC8BB">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4184903B">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2F7CD0B9">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25E701ED">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79218406">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56B9E422">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3456213B">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736F3B34">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60BD3B61">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79C014C2">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69192C00">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533BA03A">
      <w:pPr>
        <w:rPr>
          <w:rFonts w:hint="eastAsia"/>
          <w:color w:val="auto"/>
          <w:sz w:val="28"/>
          <w:szCs w:val="20"/>
          <w:highlight w:val="none"/>
          <w:lang w:val="en-US"/>
        </w:rPr>
      </w:pPr>
      <w:bookmarkStart w:id="182" w:name="_Toc152042577"/>
      <w:bookmarkStart w:id="183" w:name="_Toc144974857"/>
      <w:bookmarkStart w:id="184" w:name="_Toc152045788"/>
      <w:bookmarkStart w:id="185" w:name="_Toc25215"/>
      <w:bookmarkStart w:id="186" w:name="_Toc2045"/>
      <w:bookmarkStart w:id="187" w:name="_Toc8655_WPSOffice_Level1"/>
      <w:bookmarkStart w:id="188" w:name="_Toc28978"/>
      <w:bookmarkStart w:id="189" w:name="_Toc487498495"/>
      <w:bookmarkStart w:id="190" w:name="_Toc440880272"/>
      <w:r>
        <w:rPr>
          <w:rFonts w:hint="eastAsia"/>
          <w:color w:val="auto"/>
          <w:sz w:val="28"/>
          <w:szCs w:val="20"/>
          <w:highlight w:val="none"/>
          <w:lang w:val="en-US"/>
        </w:rPr>
        <w:br w:type="page"/>
      </w:r>
    </w:p>
    <w:p w14:paraId="191583C1">
      <w:pPr>
        <w:keepNext w:val="0"/>
        <w:keepLines w:val="0"/>
        <w:pageBreakBefore w:val="0"/>
        <w:kinsoku/>
        <w:overflowPunct/>
        <w:topLinePunct w:val="0"/>
        <w:bidi w:val="0"/>
        <w:spacing w:beforeAutospacing="0" w:afterAutospacing="0" w:line="560" w:lineRule="exact"/>
        <w:jc w:val="center"/>
        <w:outlineLvl w:val="0"/>
        <w:rPr>
          <w:color w:val="auto"/>
          <w:sz w:val="28"/>
          <w:szCs w:val="20"/>
          <w:highlight w:val="none"/>
          <w:lang w:val="en-US"/>
        </w:rPr>
      </w:pPr>
      <w:r>
        <w:rPr>
          <w:rFonts w:hint="eastAsia"/>
          <w:color w:val="auto"/>
          <w:sz w:val="28"/>
          <w:szCs w:val="20"/>
          <w:highlight w:val="none"/>
          <w:lang w:val="en-US"/>
        </w:rPr>
        <w:t>一、磋商函及</w:t>
      </w:r>
      <w:bookmarkEnd w:id="182"/>
      <w:bookmarkEnd w:id="183"/>
      <w:bookmarkEnd w:id="184"/>
      <w:r>
        <w:rPr>
          <w:rFonts w:hint="eastAsia"/>
          <w:color w:val="auto"/>
          <w:sz w:val="28"/>
          <w:szCs w:val="20"/>
          <w:highlight w:val="none"/>
          <w:lang w:val="en-US"/>
        </w:rPr>
        <w:t>磋商函附录</w:t>
      </w:r>
      <w:bookmarkEnd w:id="185"/>
      <w:bookmarkEnd w:id="186"/>
      <w:bookmarkEnd w:id="187"/>
      <w:bookmarkEnd w:id="188"/>
      <w:bookmarkEnd w:id="189"/>
    </w:p>
    <w:p w14:paraId="28AC8F2C">
      <w:pPr>
        <w:keepNext w:val="0"/>
        <w:keepLines w:val="0"/>
        <w:pageBreakBefore w:val="0"/>
        <w:kinsoku/>
        <w:overflowPunct/>
        <w:topLinePunct w:val="0"/>
        <w:bidi w:val="0"/>
        <w:spacing w:beforeAutospacing="0" w:afterAutospacing="0" w:line="560" w:lineRule="exact"/>
        <w:jc w:val="center"/>
        <w:outlineLvl w:val="0"/>
        <w:rPr>
          <w:color w:val="auto"/>
          <w:sz w:val="28"/>
          <w:szCs w:val="20"/>
          <w:highlight w:val="none"/>
          <w:lang w:val="en-US"/>
        </w:rPr>
      </w:pPr>
      <w:bookmarkStart w:id="191" w:name="_Toc11855"/>
      <w:bookmarkStart w:id="192" w:name="_Toc152045789"/>
      <w:bookmarkStart w:id="193" w:name="_Toc487498496"/>
      <w:bookmarkStart w:id="194" w:name="_Toc318450744"/>
      <w:bookmarkStart w:id="195" w:name="_Toc26262"/>
      <w:bookmarkStart w:id="196" w:name="_Toc7366_WPSOffice_Level2"/>
      <w:bookmarkStart w:id="197" w:name="_Toc23888"/>
      <w:bookmarkStart w:id="198" w:name="_Toc488504497"/>
      <w:bookmarkStart w:id="199" w:name="_Toc464035571"/>
      <w:bookmarkStart w:id="200" w:name="_Toc18705"/>
      <w:bookmarkStart w:id="201" w:name="_Toc30581"/>
      <w:bookmarkStart w:id="202" w:name="_Toc8915"/>
      <w:bookmarkStart w:id="203" w:name="_Toc152042578"/>
      <w:bookmarkStart w:id="204" w:name="_Toc455080170"/>
      <w:bookmarkStart w:id="205" w:name="_Toc144974858"/>
      <w:bookmarkStart w:id="206" w:name="_Toc463701092"/>
      <w:bookmarkStart w:id="207" w:name="_Toc26765"/>
      <w:r>
        <w:rPr>
          <w:rFonts w:hint="eastAsia"/>
          <w:color w:val="auto"/>
          <w:sz w:val="28"/>
          <w:szCs w:val="20"/>
          <w:highlight w:val="none"/>
          <w:lang w:val="en-US"/>
        </w:rPr>
        <w:t>（一）磋商函</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10D94E5">
      <w:pPr>
        <w:rPr>
          <w:rFonts w:hint="eastAsia" w:ascii="Calibri" w:hAnsi="Calibri" w:eastAsia="宋体"/>
          <w:color w:val="auto"/>
          <w:sz w:val="24"/>
          <w:highlight w:val="none"/>
        </w:rPr>
      </w:pPr>
      <w:r>
        <w:rPr>
          <w:rFonts w:hint="eastAsia" w:ascii="Calibri" w:hAnsi="Calibri" w:eastAsia="宋体"/>
          <w:color w:val="auto"/>
          <w:sz w:val="24"/>
          <w:highlight w:val="none"/>
        </w:rPr>
        <w:t xml:space="preserve">（采购人名称）: </w:t>
      </w:r>
    </w:p>
    <w:p w14:paraId="6F96C4D4">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1．我方己仔细研究了</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 xml:space="preserve">（项目名称）招标文件的全部内容，愿意以（大写）人民币 </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元（￥</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元 ）的投标</w:t>
      </w:r>
      <w:r>
        <w:rPr>
          <w:rFonts w:hint="eastAsia" w:ascii="Calibri" w:hAnsi="Calibri" w:eastAsia="宋体"/>
          <w:color w:val="auto"/>
          <w:sz w:val="24"/>
          <w:highlight w:val="none"/>
          <w:lang w:val="en-US" w:eastAsia="zh-CN"/>
        </w:rPr>
        <w:t>报</w:t>
      </w:r>
      <w:r>
        <w:rPr>
          <w:rFonts w:hint="eastAsia" w:ascii="Calibri" w:hAnsi="Calibri" w:eastAsia="宋体"/>
          <w:color w:val="auto"/>
          <w:sz w:val="24"/>
          <w:highlight w:val="none"/>
        </w:rPr>
        <w:t>价，服务周期</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，按合同约定实施和完成承包项目，质量达到</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 xml:space="preserve"> ，项目负责人</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w:t>
      </w:r>
    </w:p>
    <w:p w14:paraId="091E0D01">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2．我方承诺在投标有效期内不修改、撤销投标文件。</w:t>
      </w:r>
    </w:p>
    <w:p w14:paraId="03A385DD">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3．如我方中标：</w:t>
      </w:r>
    </w:p>
    <w:p w14:paraId="2D11D855">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(l）我方承诺在收到中标通知书后，在中标通知书规定的期限内与你方签订合同。</w:t>
      </w:r>
    </w:p>
    <w:p w14:paraId="26F546DC">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(2）随同本投标函递交的投标函附录属于合同文件的组成部分。</w:t>
      </w:r>
      <w:r>
        <w:rPr>
          <w:rFonts w:hint="eastAsia" w:ascii="Calibri" w:hAnsi="Calibri" w:eastAsia="宋体"/>
          <w:color w:val="auto"/>
          <w:sz w:val="24"/>
          <w:highlight w:val="none"/>
        </w:rPr>
        <w:tab/>
      </w:r>
    </w:p>
    <w:p w14:paraId="2C4B7A06">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(3）我方承诺在合同约定的期限内完成全部设计文件。</w:t>
      </w:r>
    </w:p>
    <w:p w14:paraId="24949130">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4．我方在此声明，所递交的投标文件及有关资料内容完整、真实和准确。</w:t>
      </w:r>
    </w:p>
    <w:p w14:paraId="34BDA541">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5．如果我方中标，不更换项目负责人及项目管理机构主要人员。</w:t>
      </w:r>
    </w:p>
    <w:p w14:paraId="63EB8FE8">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 </w:t>
      </w:r>
    </w:p>
    <w:p w14:paraId="3333959D">
      <w:pPr>
        <w:autoSpaceDE w:val="0"/>
        <w:autoSpaceDN w:val="0"/>
        <w:adjustRightInd w:val="0"/>
        <w:snapToGrid w:val="0"/>
        <w:spacing w:after="200" w:line="500" w:lineRule="exact"/>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磋商供应商</w:t>
      </w:r>
      <w:r>
        <w:rPr>
          <w:rFonts w:hint="eastAsia" w:cs="宋体" w:asciiTheme="minorEastAsia" w:hAnsiTheme="minorEastAsia" w:eastAsiaTheme="minorEastAsia"/>
          <w:color w:val="auto"/>
          <w:sz w:val="24"/>
          <w:szCs w:val="24"/>
          <w:highlight w:val="none"/>
          <w:lang w:val="en-GB" w:eastAsia="zh-CN"/>
        </w:rPr>
        <w:t>（</w:t>
      </w:r>
      <w:r>
        <w:rPr>
          <w:rFonts w:hint="eastAsia" w:cs="宋体" w:asciiTheme="minorEastAsia" w:hAnsiTheme="minorEastAsia" w:eastAsiaTheme="minorEastAsia"/>
          <w:color w:val="auto"/>
          <w:sz w:val="24"/>
          <w:szCs w:val="24"/>
          <w:highlight w:val="none"/>
          <w:lang w:val="en-US" w:eastAsia="zh-CN"/>
        </w:rPr>
        <w:t>联合体牵头人</w:t>
      </w:r>
      <w:r>
        <w:rPr>
          <w:rFonts w:hint="eastAsia" w:cs="宋体" w:asciiTheme="minorEastAsia" w:hAnsiTheme="minorEastAsia" w:eastAsiaTheme="minorEastAsia"/>
          <w:color w:val="auto"/>
          <w:sz w:val="24"/>
          <w:szCs w:val="24"/>
          <w:highlight w:val="none"/>
          <w:lang w:val="en-GB" w:eastAsia="zh-CN"/>
        </w:rPr>
        <w:t>）</w:t>
      </w:r>
      <w:r>
        <w:rPr>
          <w:rFonts w:hint="eastAsia" w:cs="宋体" w:asciiTheme="minorEastAsia" w:hAnsiTheme="minorEastAsia" w:eastAsiaTheme="minorEastAsia"/>
          <w:color w:val="auto"/>
          <w:sz w:val="24"/>
          <w:szCs w:val="24"/>
          <w:highlight w:val="none"/>
          <w:lang w:val="en-GB"/>
        </w:rPr>
        <w:t>：</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14:paraId="4BD27040">
      <w:pPr>
        <w:autoSpaceDE w:val="0"/>
        <w:autoSpaceDN w:val="0"/>
        <w:adjustRightInd w:val="0"/>
        <w:snapToGrid w:val="0"/>
        <w:spacing w:after="200" w:line="500" w:lineRule="exact"/>
        <w:ind w:firstLine="2400" w:firstLineChars="1000"/>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p>
    <w:p w14:paraId="43BA8F2C">
      <w:pPr>
        <w:autoSpaceDE w:val="0"/>
        <w:autoSpaceDN w:val="0"/>
        <w:adjustRightInd w:val="0"/>
        <w:snapToGrid w:val="0"/>
        <w:spacing w:after="200"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GB"/>
        </w:rPr>
        <w:t xml:space="preserve">                                    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15D62267">
      <w:pPr>
        <w:rPr>
          <w:rFonts w:hint="eastAsia" w:ascii="Calibri" w:hAnsi="Calibri" w:eastAsia="宋体"/>
          <w:color w:val="auto"/>
          <w:highlight w:val="none"/>
        </w:rPr>
      </w:pPr>
      <w:r>
        <w:rPr>
          <w:rFonts w:hint="eastAsia" w:ascii="Calibri" w:hAnsi="Calibri" w:eastAsia="宋体"/>
          <w:color w:val="auto"/>
          <w:highlight w:val="none"/>
        </w:rPr>
        <w:t> </w:t>
      </w:r>
    </w:p>
    <w:bookmarkEnd w:id="190"/>
    <w:p w14:paraId="10030CBD">
      <w:pPr>
        <w:wordWrap w:val="0"/>
        <w:spacing w:beforeAutospacing="0" w:afterAutospacing="0" w:line="600" w:lineRule="exact"/>
        <w:ind w:firstLine="420" w:firstLineChars="200"/>
        <w:jc w:val="center"/>
        <w:rPr>
          <w:rFonts w:hint="default" w:ascii="Calibri" w:hAnsi="Calibri" w:eastAsia="宋体"/>
          <w:color w:val="auto"/>
          <w:highlight w:val="none"/>
          <w:lang w:val="en-US" w:eastAsia="zh-CN"/>
        </w:rPr>
      </w:pPr>
      <w:r>
        <w:rPr>
          <w:rFonts w:hint="eastAsia" w:ascii="Calibri" w:hAnsi="Calibri" w:eastAsia="宋体"/>
          <w:color w:val="auto"/>
          <w:highlight w:val="none"/>
        </w:rPr>
        <w:br w:type="page"/>
      </w:r>
      <w:bookmarkStart w:id="208" w:name="_Toc403418354"/>
      <w:bookmarkStart w:id="209" w:name="_Toc403418420"/>
      <w:bookmarkStart w:id="210" w:name="_Toc216842529"/>
      <w:bookmarkStart w:id="211" w:name="_Toc13604_WPSOffice_Level2"/>
      <w:bookmarkStart w:id="212" w:name="_Toc14822"/>
      <w:bookmarkStart w:id="213" w:name="_Toc20293"/>
      <w:bookmarkStart w:id="214" w:name="_Toc25194"/>
      <w:r>
        <w:rPr>
          <w:rFonts w:hint="eastAsia"/>
          <w:color w:val="auto"/>
          <w:sz w:val="28"/>
          <w:szCs w:val="20"/>
          <w:highlight w:val="none"/>
          <w:lang w:val="en-US"/>
        </w:rPr>
        <w:t>（二）</w:t>
      </w:r>
      <w:bookmarkEnd w:id="208"/>
      <w:bookmarkEnd w:id="209"/>
      <w:bookmarkEnd w:id="210"/>
      <w:r>
        <w:rPr>
          <w:rFonts w:hint="eastAsia"/>
          <w:color w:val="auto"/>
          <w:sz w:val="28"/>
          <w:szCs w:val="20"/>
          <w:highlight w:val="none"/>
          <w:lang w:val="en-US"/>
        </w:rPr>
        <w:t>磋商函附录</w:t>
      </w:r>
      <w:bookmarkEnd w:id="211"/>
      <w:bookmarkEnd w:id="212"/>
      <w:bookmarkEnd w:id="213"/>
      <w:bookmarkEnd w:id="214"/>
    </w:p>
    <w:tbl>
      <w:tblPr>
        <w:tblStyle w:val="16"/>
        <w:tblpPr w:leftFromText="181" w:rightFromText="181" w:vertAnchor="text" w:horzAnchor="margin" w:tblpXSpec="center" w:tblpY="372"/>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0"/>
        <w:gridCol w:w="3457"/>
        <w:gridCol w:w="1387"/>
        <w:gridCol w:w="1463"/>
      </w:tblGrid>
      <w:tr w14:paraId="4D72A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210" w:type="dxa"/>
            <w:vAlign w:val="center"/>
          </w:tcPr>
          <w:p w14:paraId="57852263">
            <w:pPr>
              <w:wordWrap w:val="0"/>
              <w:autoSpaceDE w:val="0"/>
              <w:autoSpaceDN w:val="0"/>
              <w:spacing w:beforeAutospacing="0" w:afterAutospacing="0" w:line="600" w:lineRule="exact"/>
              <w:jc w:val="center"/>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供</w:t>
            </w:r>
            <w:r>
              <w:rPr>
                <w:rFonts w:hint="eastAsia" w:ascii="宋体" w:hAnsi="宋体"/>
                <w:color w:val="auto"/>
                <w:kern w:val="0"/>
                <w:sz w:val="24"/>
                <w:szCs w:val="28"/>
                <w:highlight w:val="none"/>
                <w:lang w:val="en-US" w:eastAsia="zh-CN"/>
              </w:rPr>
              <w:t>应</w:t>
            </w:r>
            <w:r>
              <w:rPr>
                <w:rFonts w:hint="eastAsia" w:ascii="宋体" w:hAnsi="宋体" w:eastAsia="宋体"/>
                <w:color w:val="auto"/>
                <w:kern w:val="0"/>
                <w:sz w:val="24"/>
                <w:szCs w:val="28"/>
                <w:highlight w:val="none"/>
              </w:rPr>
              <w:t>商名称</w:t>
            </w:r>
          </w:p>
          <w:p w14:paraId="304E88D5">
            <w:pPr>
              <w:wordWrap w:val="0"/>
              <w:autoSpaceDE w:val="0"/>
              <w:autoSpaceDN w:val="0"/>
              <w:spacing w:beforeAutospacing="0" w:afterAutospacing="0" w:line="600" w:lineRule="exact"/>
              <w:jc w:val="center"/>
              <w:rPr>
                <w:rFonts w:hint="eastAsia" w:ascii="宋体" w:hAnsi="Times New Roman" w:eastAsia="宋体"/>
                <w:color w:val="auto"/>
                <w:kern w:val="0"/>
                <w:sz w:val="24"/>
                <w:szCs w:val="28"/>
                <w:highlight w:val="none"/>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联合体牵头人</w:t>
            </w:r>
            <w:r>
              <w:rPr>
                <w:rFonts w:hint="eastAsia" w:ascii="宋体" w:hAnsi="宋体" w:eastAsia="宋体" w:cs="宋体"/>
                <w:color w:val="auto"/>
                <w:sz w:val="24"/>
                <w:szCs w:val="24"/>
                <w:lang w:eastAsia="zh-CN"/>
              </w:rPr>
              <w:t>）</w:t>
            </w:r>
          </w:p>
        </w:tc>
        <w:tc>
          <w:tcPr>
            <w:tcW w:w="6307" w:type="dxa"/>
            <w:gridSpan w:val="3"/>
            <w:vAlign w:val="center"/>
          </w:tcPr>
          <w:p w14:paraId="58D684C4">
            <w:pPr>
              <w:wordWrap w:val="0"/>
              <w:spacing w:beforeAutospacing="0" w:afterAutospacing="0" w:line="600" w:lineRule="exact"/>
              <w:ind w:firstLine="480" w:firstLineChars="200"/>
              <w:jc w:val="center"/>
              <w:rPr>
                <w:rFonts w:ascii="宋体" w:hAnsi="Calibri" w:eastAsia="宋体"/>
                <w:color w:val="auto"/>
                <w:sz w:val="24"/>
                <w:szCs w:val="28"/>
                <w:highlight w:val="none"/>
                <w:u w:val="single"/>
              </w:rPr>
            </w:pPr>
          </w:p>
        </w:tc>
      </w:tr>
      <w:tr w14:paraId="1FD44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210" w:type="dxa"/>
            <w:vAlign w:val="center"/>
          </w:tcPr>
          <w:p w14:paraId="4EBACD38">
            <w:pPr>
              <w:wordWrap w:val="0"/>
              <w:autoSpaceDE w:val="0"/>
              <w:autoSpaceDN w:val="0"/>
              <w:spacing w:beforeAutospacing="0" w:afterAutospacing="0" w:line="600" w:lineRule="exact"/>
              <w:jc w:val="center"/>
              <w:rPr>
                <w:rFonts w:hint="eastAsia" w:ascii="宋体" w:hAnsi="Times New Roman" w:eastAsia="宋体"/>
                <w:color w:val="auto"/>
                <w:kern w:val="0"/>
                <w:sz w:val="24"/>
                <w:szCs w:val="28"/>
                <w:highlight w:val="none"/>
              </w:rPr>
            </w:pPr>
            <w:r>
              <w:rPr>
                <w:rFonts w:hint="eastAsia" w:ascii="宋体" w:hAnsi="Times New Roman" w:eastAsia="宋体"/>
                <w:color w:val="auto"/>
                <w:kern w:val="0"/>
                <w:sz w:val="24"/>
                <w:szCs w:val="28"/>
                <w:highlight w:val="none"/>
              </w:rPr>
              <w:t>项目名称</w:t>
            </w:r>
          </w:p>
        </w:tc>
        <w:tc>
          <w:tcPr>
            <w:tcW w:w="6307" w:type="dxa"/>
            <w:gridSpan w:val="3"/>
            <w:vAlign w:val="center"/>
          </w:tcPr>
          <w:p w14:paraId="6642A8F4">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2C766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210" w:type="dxa"/>
            <w:vAlign w:val="center"/>
          </w:tcPr>
          <w:p w14:paraId="1C5D4741">
            <w:pPr>
              <w:wordWrap w:val="0"/>
              <w:autoSpaceDE w:val="0"/>
              <w:autoSpaceDN w:val="0"/>
              <w:spacing w:beforeAutospacing="0" w:afterAutospacing="0" w:line="600" w:lineRule="exact"/>
              <w:jc w:val="center"/>
              <w:rPr>
                <w:rFonts w:hint="eastAsia" w:ascii="宋体" w:hAnsi="Times New Roman" w:eastAsia="宋体"/>
                <w:color w:val="auto"/>
                <w:kern w:val="0"/>
                <w:sz w:val="24"/>
                <w:szCs w:val="28"/>
                <w:highlight w:val="none"/>
              </w:rPr>
            </w:pPr>
            <w:r>
              <w:rPr>
                <w:rFonts w:hint="eastAsia" w:ascii="宋体" w:hAnsi="Times New Roman" w:eastAsia="宋体"/>
                <w:color w:val="auto"/>
                <w:kern w:val="0"/>
                <w:sz w:val="24"/>
                <w:szCs w:val="28"/>
                <w:highlight w:val="none"/>
              </w:rPr>
              <w:t>项目编号</w:t>
            </w:r>
          </w:p>
        </w:tc>
        <w:tc>
          <w:tcPr>
            <w:tcW w:w="6307" w:type="dxa"/>
            <w:gridSpan w:val="3"/>
            <w:vAlign w:val="center"/>
          </w:tcPr>
          <w:p w14:paraId="5E944EAB">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5ABB7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8" w:hRule="atLeast"/>
        </w:trPr>
        <w:tc>
          <w:tcPr>
            <w:tcW w:w="2210" w:type="dxa"/>
            <w:vAlign w:val="center"/>
          </w:tcPr>
          <w:p w14:paraId="21C45A85">
            <w:pPr>
              <w:wordWrap w:val="0"/>
              <w:spacing w:beforeAutospacing="0" w:afterAutospacing="0" w:line="600" w:lineRule="exact"/>
              <w:jc w:val="center"/>
              <w:rPr>
                <w:rFonts w:hint="eastAsia" w:ascii="宋体" w:hAnsi="宋体" w:eastAsia="宋体"/>
                <w:color w:val="auto"/>
                <w:sz w:val="24"/>
                <w:szCs w:val="28"/>
                <w:highlight w:val="none"/>
              </w:rPr>
            </w:pPr>
            <w:r>
              <w:rPr>
                <w:rFonts w:hint="eastAsia" w:ascii="宋体" w:hAnsi="宋体"/>
                <w:color w:val="auto"/>
                <w:sz w:val="24"/>
                <w:szCs w:val="28"/>
                <w:highlight w:val="none"/>
                <w:lang w:eastAsia="zh-CN"/>
              </w:rPr>
              <w:t>磋商</w:t>
            </w:r>
            <w:r>
              <w:rPr>
                <w:rFonts w:hint="eastAsia" w:ascii="宋体" w:hAnsi="宋体" w:eastAsia="宋体"/>
                <w:color w:val="auto"/>
                <w:sz w:val="24"/>
                <w:szCs w:val="28"/>
                <w:highlight w:val="none"/>
                <w:lang w:val="en-US" w:eastAsia="zh-CN"/>
              </w:rPr>
              <w:t>报</w:t>
            </w:r>
            <w:r>
              <w:rPr>
                <w:rFonts w:hint="eastAsia" w:ascii="宋体" w:hAnsi="宋体" w:eastAsia="宋体"/>
                <w:color w:val="auto"/>
                <w:sz w:val="24"/>
                <w:szCs w:val="28"/>
                <w:highlight w:val="none"/>
              </w:rPr>
              <w:t>价</w:t>
            </w:r>
          </w:p>
        </w:tc>
        <w:tc>
          <w:tcPr>
            <w:tcW w:w="6307" w:type="dxa"/>
            <w:gridSpan w:val="3"/>
            <w:vAlign w:val="center"/>
          </w:tcPr>
          <w:p w14:paraId="02326927">
            <w:pPr>
              <w:wordWrap w:val="0"/>
              <w:spacing w:beforeAutospacing="0" w:afterAutospacing="0" w:line="600" w:lineRule="exact"/>
              <w:ind w:firstLine="424" w:firstLineChars="200"/>
              <w:rPr>
                <w:rFonts w:hint="eastAsia" w:ascii="Calibri" w:hAnsi="Calibri" w:eastAsia="宋体"/>
                <w:color w:val="auto"/>
                <w:spacing w:val="-14"/>
                <w:sz w:val="24"/>
                <w:szCs w:val="28"/>
                <w:highlight w:val="none"/>
              </w:rPr>
            </w:pPr>
            <w:r>
              <w:rPr>
                <w:rFonts w:hint="eastAsia" w:ascii="Calibri" w:hAnsi="Calibri" w:eastAsia="宋体"/>
                <w:color w:val="auto"/>
                <w:spacing w:val="-14"/>
                <w:sz w:val="24"/>
                <w:szCs w:val="28"/>
                <w:highlight w:val="none"/>
              </w:rPr>
              <w:t>大写：</w:t>
            </w:r>
          </w:p>
          <w:p w14:paraId="76562938">
            <w:pPr>
              <w:wordWrap w:val="0"/>
              <w:spacing w:beforeAutospacing="0" w:afterAutospacing="0" w:line="600" w:lineRule="exact"/>
              <w:ind w:firstLine="424" w:firstLineChars="200"/>
              <w:rPr>
                <w:rFonts w:hint="eastAsia" w:ascii="Calibri" w:hAnsi="Calibri" w:eastAsia="宋体"/>
                <w:color w:val="auto"/>
                <w:spacing w:val="-14"/>
                <w:sz w:val="24"/>
                <w:szCs w:val="28"/>
                <w:highlight w:val="none"/>
              </w:rPr>
            </w:pPr>
            <w:r>
              <w:rPr>
                <w:rFonts w:hint="eastAsia" w:ascii="Calibri" w:hAnsi="Calibri" w:eastAsia="宋体"/>
                <w:color w:val="auto"/>
                <w:spacing w:val="-14"/>
                <w:sz w:val="24"/>
                <w:szCs w:val="28"/>
                <w:highlight w:val="none"/>
              </w:rPr>
              <w:t>小写：</w:t>
            </w:r>
          </w:p>
        </w:tc>
      </w:tr>
      <w:tr w14:paraId="4E31E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210" w:type="dxa"/>
            <w:vAlign w:val="center"/>
          </w:tcPr>
          <w:p w14:paraId="59D3BE2A">
            <w:pPr>
              <w:wordWrap w:val="0"/>
              <w:spacing w:beforeAutospacing="0" w:afterAutospacing="0" w:line="600" w:lineRule="exact"/>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服务周期</w:t>
            </w:r>
          </w:p>
        </w:tc>
        <w:tc>
          <w:tcPr>
            <w:tcW w:w="6307" w:type="dxa"/>
            <w:gridSpan w:val="3"/>
            <w:vAlign w:val="center"/>
          </w:tcPr>
          <w:p w14:paraId="6EFF45D4">
            <w:pPr>
              <w:wordWrap w:val="0"/>
              <w:spacing w:beforeAutospacing="0" w:afterAutospacing="0" w:line="600" w:lineRule="exact"/>
              <w:ind w:firstLine="480" w:firstLineChars="200"/>
              <w:rPr>
                <w:rFonts w:ascii="宋体" w:hAnsi="Calibri" w:eastAsia="宋体"/>
                <w:color w:val="auto"/>
                <w:sz w:val="24"/>
                <w:szCs w:val="28"/>
                <w:highlight w:val="none"/>
              </w:rPr>
            </w:pPr>
          </w:p>
        </w:tc>
      </w:tr>
      <w:tr w14:paraId="788AB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210" w:type="dxa"/>
            <w:vAlign w:val="center"/>
          </w:tcPr>
          <w:p w14:paraId="6DEF685B">
            <w:pPr>
              <w:wordWrap w:val="0"/>
              <w:spacing w:beforeAutospacing="0" w:afterAutospacing="0" w:line="600" w:lineRule="exact"/>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质量标准</w:t>
            </w:r>
          </w:p>
        </w:tc>
        <w:tc>
          <w:tcPr>
            <w:tcW w:w="6307" w:type="dxa"/>
            <w:gridSpan w:val="3"/>
            <w:vAlign w:val="center"/>
          </w:tcPr>
          <w:p w14:paraId="0003EF6A">
            <w:pPr>
              <w:wordWrap w:val="0"/>
              <w:spacing w:beforeAutospacing="0" w:afterAutospacing="0" w:line="600" w:lineRule="exact"/>
              <w:ind w:firstLine="480" w:firstLineChars="200"/>
              <w:rPr>
                <w:rFonts w:ascii="宋体" w:hAnsi="Calibri" w:eastAsia="宋体"/>
                <w:color w:val="auto"/>
                <w:sz w:val="24"/>
                <w:szCs w:val="28"/>
                <w:highlight w:val="none"/>
              </w:rPr>
            </w:pPr>
          </w:p>
        </w:tc>
      </w:tr>
      <w:tr w14:paraId="0598F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210" w:type="dxa"/>
            <w:vAlign w:val="center"/>
          </w:tcPr>
          <w:p w14:paraId="0C0599B6">
            <w:pPr>
              <w:wordWrap w:val="0"/>
              <w:spacing w:beforeAutospacing="0" w:afterAutospacing="0" w:line="600" w:lineRule="exact"/>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项目负责人</w:t>
            </w:r>
          </w:p>
        </w:tc>
        <w:tc>
          <w:tcPr>
            <w:tcW w:w="3457" w:type="dxa"/>
            <w:vAlign w:val="center"/>
          </w:tcPr>
          <w:p w14:paraId="1C00C262">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c>
          <w:tcPr>
            <w:tcW w:w="1387" w:type="dxa"/>
            <w:vAlign w:val="center"/>
          </w:tcPr>
          <w:p w14:paraId="6FE4FFED">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联系电话</w:t>
            </w:r>
          </w:p>
        </w:tc>
        <w:tc>
          <w:tcPr>
            <w:tcW w:w="1463" w:type="dxa"/>
            <w:vAlign w:val="center"/>
          </w:tcPr>
          <w:p w14:paraId="7B297EB0">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6CA90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210" w:type="dxa"/>
            <w:vAlign w:val="center"/>
          </w:tcPr>
          <w:p w14:paraId="4B693343">
            <w:pPr>
              <w:wordWrap w:val="0"/>
              <w:spacing w:beforeAutospacing="0" w:afterAutospacing="0" w:line="600" w:lineRule="exact"/>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投标有效期</w:t>
            </w:r>
          </w:p>
        </w:tc>
        <w:tc>
          <w:tcPr>
            <w:tcW w:w="6307" w:type="dxa"/>
            <w:gridSpan w:val="3"/>
            <w:vAlign w:val="center"/>
          </w:tcPr>
          <w:p w14:paraId="2DBB84D7">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0C66D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9" w:hRule="atLeast"/>
        </w:trPr>
        <w:tc>
          <w:tcPr>
            <w:tcW w:w="2210" w:type="dxa"/>
            <w:vAlign w:val="center"/>
          </w:tcPr>
          <w:p w14:paraId="0BD1AE53">
            <w:pPr>
              <w:wordWrap w:val="0"/>
              <w:autoSpaceDE w:val="0"/>
              <w:autoSpaceDN w:val="0"/>
              <w:spacing w:beforeAutospacing="0" w:afterAutospacing="0" w:line="600" w:lineRule="exact"/>
              <w:jc w:val="center"/>
              <w:rPr>
                <w:rFonts w:hint="eastAsia" w:ascii="Calibri" w:hAnsi="Calibri" w:eastAsia="宋体"/>
                <w:color w:val="auto"/>
                <w:sz w:val="24"/>
                <w:szCs w:val="28"/>
                <w:highlight w:val="none"/>
              </w:rPr>
            </w:pPr>
            <w:r>
              <w:rPr>
                <w:rFonts w:hint="eastAsia" w:ascii="宋体" w:hAnsi="Times New Roman" w:eastAsia="宋体"/>
                <w:color w:val="auto"/>
                <w:kern w:val="0"/>
                <w:sz w:val="24"/>
                <w:szCs w:val="28"/>
                <w:highlight w:val="none"/>
              </w:rPr>
              <w:t>其它优惠</w:t>
            </w:r>
            <w:r>
              <w:rPr>
                <w:rFonts w:hint="eastAsia" w:ascii="Calibri" w:hAnsi="Calibri" w:eastAsia="宋体"/>
                <w:color w:val="auto"/>
                <w:sz w:val="24"/>
                <w:szCs w:val="28"/>
                <w:highlight w:val="none"/>
              </w:rPr>
              <w:t>条件</w:t>
            </w:r>
          </w:p>
        </w:tc>
        <w:tc>
          <w:tcPr>
            <w:tcW w:w="6307" w:type="dxa"/>
            <w:gridSpan w:val="3"/>
            <w:vAlign w:val="center"/>
          </w:tcPr>
          <w:p w14:paraId="462AA9F0">
            <w:pPr>
              <w:wordWrap w:val="0"/>
              <w:spacing w:beforeAutospacing="0" w:afterAutospacing="0" w:line="600" w:lineRule="exact"/>
              <w:ind w:firstLine="480" w:firstLineChars="200"/>
              <w:rPr>
                <w:rFonts w:ascii="宋体" w:hAnsi="Calibri" w:eastAsia="宋体"/>
                <w:color w:val="auto"/>
                <w:sz w:val="24"/>
                <w:szCs w:val="28"/>
                <w:highlight w:val="none"/>
              </w:rPr>
            </w:pPr>
          </w:p>
        </w:tc>
      </w:tr>
    </w:tbl>
    <w:p w14:paraId="1F09CD2D">
      <w:pPr>
        <w:wordWrap w:val="0"/>
        <w:spacing w:beforeAutospacing="0" w:afterAutospacing="0" w:line="600" w:lineRule="exact"/>
        <w:ind w:firstLine="480" w:firstLineChars="200"/>
        <w:rPr>
          <w:rFonts w:ascii="新宋体" w:hAnsi="新宋体" w:eastAsia="新宋体"/>
          <w:color w:val="auto"/>
          <w:sz w:val="24"/>
          <w:szCs w:val="28"/>
          <w:highlight w:val="none"/>
        </w:rPr>
      </w:pPr>
    </w:p>
    <w:p w14:paraId="38D9CD7C">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3B3C2B80">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61DE4914">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34B93935">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00291C35">
      <w:pPr>
        <w:autoSpaceDE w:val="0"/>
        <w:autoSpaceDN w:val="0"/>
        <w:adjustRightInd w:val="0"/>
        <w:snapToGrid w:val="0"/>
        <w:spacing w:after="200" w:line="500" w:lineRule="exact"/>
        <w:jc w:val="right"/>
        <w:rPr>
          <w:rFonts w:hint="eastAsia" w:ascii="宋体" w:hAnsi="宋体" w:cs="宋体"/>
          <w:color w:val="auto"/>
          <w:sz w:val="24"/>
          <w:szCs w:val="24"/>
          <w:highlight w:val="none"/>
        </w:rPr>
      </w:pPr>
    </w:p>
    <w:p w14:paraId="714DDA41">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2C97B0DC">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00B1DB27">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4218812D">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7F6646E8">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365599FD">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6FCBBFCE">
      <w:pPr>
        <w:keepNext w:val="0"/>
        <w:keepLines w:val="0"/>
        <w:pageBreakBefore w:val="0"/>
        <w:widowControl w:val="0"/>
        <w:kinsoku/>
        <w:wordWrap w:val="0"/>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投标供应商必须以人民币报价。响应文件中的大写金额和小写金额不一致的，以大写金额为准；总价金额与单价金额和数量乘积不一致的，以单价金额和数量乘积为准，但单价金额小数点有明显错误的除外。</w:t>
      </w:r>
    </w:p>
    <w:p w14:paraId="6FA88644">
      <w:pPr>
        <w:keepNext w:val="0"/>
        <w:keepLines w:val="0"/>
        <w:pageBreakBefore w:val="0"/>
        <w:widowControl w:val="0"/>
        <w:kinsoku/>
        <w:wordWrap w:val="0"/>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2、总报价包含完成项目全部费用及相关税费。</w:t>
      </w:r>
    </w:p>
    <w:p w14:paraId="5EE22EBA">
      <w:pPr>
        <w:keepNext w:val="0"/>
        <w:keepLines w:val="0"/>
        <w:pageBreakBefore w:val="0"/>
        <w:widowControl w:val="0"/>
        <w:kinsoku/>
        <w:wordWrap w:val="0"/>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3、上述日期均以日历天为单位，包括法定节假日。</w:t>
      </w:r>
    </w:p>
    <w:p w14:paraId="79271044">
      <w:pPr>
        <w:autoSpaceDE w:val="0"/>
        <w:autoSpaceDN w:val="0"/>
        <w:adjustRightInd w:val="0"/>
        <w:snapToGrid w:val="0"/>
        <w:spacing w:after="200" w:line="500" w:lineRule="exact"/>
        <w:jc w:val="right"/>
        <w:rPr>
          <w:rFonts w:hint="eastAsia" w:ascii="宋体" w:hAnsi="宋体" w:cs="宋体"/>
          <w:color w:val="auto"/>
          <w:sz w:val="24"/>
          <w:szCs w:val="24"/>
          <w:highlight w:val="none"/>
          <w:lang w:val="en-GB"/>
        </w:rPr>
      </w:pPr>
      <w:r>
        <w:rPr>
          <w:rFonts w:hint="eastAsia" w:eastAsiaTheme="minorEastAsia"/>
          <w:b/>
          <w:bCs/>
          <w:color w:val="auto"/>
          <w:szCs w:val="21"/>
          <w:highlight w:val="none"/>
          <w:lang w:val="en-US" w:eastAsia="zh-CN"/>
        </w:rPr>
        <w:t xml:space="preserve"> </w:t>
      </w:r>
      <w:r>
        <w:rPr>
          <w:rFonts w:hint="eastAsia" w:cs="宋体" w:asciiTheme="minorEastAsia" w:hAnsiTheme="minorEastAsia" w:eastAsiaTheme="minorEastAsia"/>
          <w:color w:val="auto"/>
          <w:sz w:val="24"/>
          <w:szCs w:val="24"/>
          <w:highlight w:val="none"/>
          <w:lang w:val="en-US" w:eastAsia="zh-CN"/>
        </w:rPr>
        <w:t xml:space="preserve">     </w:t>
      </w:r>
      <w:r>
        <w:rPr>
          <w:rFonts w:hint="eastAsia" w:ascii="宋体" w:hAnsi="宋体" w:eastAsia="宋体" w:cs="宋体"/>
          <w:color w:val="auto"/>
          <w:sz w:val="24"/>
          <w:szCs w:val="24"/>
        </w:rPr>
        <w:t>磋商供应商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联合体牵头人</w:t>
      </w:r>
      <w:r>
        <w:rPr>
          <w:rFonts w:hint="eastAsia" w:ascii="宋体" w:hAnsi="宋体" w:eastAsia="宋体" w:cs="宋体"/>
          <w:color w:val="auto"/>
          <w:sz w:val="24"/>
          <w:szCs w:val="24"/>
          <w:lang w:eastAsia="zh-CN"/>
        </w:rPr>
        <w:t>）</w:t>
      </w:r>
      <w:r>
        <w:rPr>
          <w:rFonts w:hint="eastAsia" w:cs="宋体" w:asciiTheme="minorEastAsia" w:hAnsiTheme="minorEastAsia" w:eastAsiaTheme="minorEastAsia"/>
          <w:color w:val="auto"/>
          <w:sz w:val="24"/>
          <w:szCs w:val="24"/>
          <w:highlight w:val="none"/>
          <w:lang w:val="en-GB"/>
        </w:rPr>
        <w:t>：</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14:paraId="47771969">
      <w:pPr>
        <w:autoSpaceDE w:val="0"/>
        <w:autoSpaceDN w:val="0"/>
        <w:adjustRightInd w:val="0"/>
        <w:snapToGrid w:val="0"/>
        <w:spacing w:after="200" w:line="500" w:lineRule="exact"/>
        <w:ind w:firstLine="2400" w:firstLineChars="1000"/>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p>
    <w:p w14:paraId="74FA2673">
      <w:pPr>
        <w:autoSpaceDE w:val="0"/>
        <w:autoSpaceDN w:val="0"/>
        <w:adjustRightInd w:val="0"/>
        <w:snapToGrid w:val="0"/>
        <w:spacing w:after="200"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GB"/>
        </w:rPr>
        <w:t xml:space="preserve">                                    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25149965">
      <w:pPr>
        <w:keepNext w:val="0"/>
        <w:keepLines w:val="0"/>
        <w:pageBreakBefore w:val="0"/>
        <w:kinsoku/>
        <w:overflowPunct/>
        <w:topLinePunct w:val="0"/>
        <w:bidi w:val="0"/>
        <w:spacing w:beforeAutospacing="0" w:afterAutospacing="0" w:line="560" w:lineRule="exact"/>
        <w:jc w:val="both"/>
        <w:outlineLvl w:val="0"/>
        <w:rPr>
          <w:rFonts w:hint="eastAsia"/>
          <w:b w:val="0"/>
          <w:bCs/>
          <w:color w:val="auto"/>
          <w:sz w:val="28"/>
          <w:szCs w:val="21"/>
          <w:highlight w:val="none"/>
          <w:lang w:eastAsia="zh-CN"/>
        </w:rPr>
      </w:pPr>
    </w:p>
    <w:p w14:paraId="7022B0A4">
      <w:pPr>
        <w:keepNext w:val="0"/>
        <w:keepLines w:val="0"/>
        <w:pageBreakBefore w:val="0"/>
        <w:kinsoku/>
        <w:overflowPunct/>
        <w:topLinePunct w:val="0"/>
        <w:bidi w:val="0"/>
        <w:spacing w:beforeAutospacing="0" w:afterAutospacing="0" w:line="560" w:lineRule="exact"/>
        <w:jc w:val="center"/>
        <w:outlineLvl w:val="0"/>
        <w:rPr>
          <w:rFonts w:hint="eastAsia" w:eastAsia="宋体"/>
          <w:color w:val="auto"/>
          <w:sz w:val="28"/>
          <w:szCs w:val="20"/>
          <w:highlight w:val="none"/>
          <w:lang w:val="en-US"/>
        </w:rPr>
      </w:pPr>
      <w:r>
        <w:rPr>
          <w:rFonts w:hint="eastAsia" w:eastAsia="宋体"/>
          <w:color w:val="auto"/>
          <w:sz w:val="28"/>
          <w:szCs w:val="20"/>
          <w:highlight w:val="none"/>
          <w:lang w:val="en-US"/>
        </w:rPr>
        <w:t xml:space="preserve">二、法定代表人身份证明书 </w:t>
      </w:r>
    </w:p>
    <w:p w14:paraId="33D9FA39">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单位名称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联合体牵头人</w:t>
      </w:r>
      <w:r>
        <w:rPr>
          <w:rFonts w:hint="eastAsia" w:ascii="宋体" w:hAnsi="宋体" w:eastAsia="宋体" w:cs="宋体"/>
          <w:color w:val="auto"/>
          <w:sz w:val="24"/>
          <w:szCs w:val="24"/>
          <w:lang w:eastAsia="zh-CN"/>
        </w:rPr>
        <w:t>）</w:t>
      </w:r>
      <w:r>
        <w:rPr>
          <w:rFonts w:hint="eastAsia" w:ascii="宋体" w:hAnsi="宋体" w:eastAsia="宋体"/>
          <w:color w:val="auto"/>
          <w:kern w:val="0"/>
          <w:sz w:val="24"/>
          <w:szCs w:val="28"/>
          <w:highlight w:val="none"/>
        </w:rPr>
        <w:t>：</w:t>
      </w:r>
      <w:r>
        <w:rPr>
          <w:rFonts w:hint="eastAsia" w:ascii="宋体" w:hAnsi="宋体" w:eastAsia="宋体"/>
          <w:color w:val="auto"/>
          <w:kern w:val="0"/>
          <w:sz w:val="24"/>
          <w:szCs w:val="28"/>
          <w:highlight w:val="none"/>
          <w:u w:val="single"/>
        </w:rPr>
        <w:t xml:space="preserve">                     </w:t>
      </w:r>
    </w:p>
    <w:p w14:paraId="1BCF5DB9">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单位性质：</w:t>
      </w:r>
      <w:r>
        <w:rPr>
          <w:rFonts w:hint="eastAsia" w:ascii="宋体" w:hAnsi="宋体" w:eastAsia="宋体"/>
          <w:color w:val="auto"/>
          <w:kern w:val="0"/>
          <w:sz w:val="24"/>
          <w:szCs w:val="28"/>
          <w:highlight w:val="none"/>
          <w:u w:val="single"/>
        </w:rPr>
        <w:t xml:space="preserve">                       </w:t>
      </w:r>
    </w:p>
    <w:p w14:paraId="10E0B521">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地 址：</w:t>
      </w:r>
      <w:r>
        <w:rPr>
          <w:rFonts w:hint="eastAsia" w:ascii="宋体" w:hAnsi="宋体" w:eastAsia="宋体"/>
          <w:color w:val="auto"/>
          <w:kern w:val="0"/>
          <w:sz w:val="24"/>
          <w:szCs w:val="28"/>
          <w:highlight w:val="none"/>
          <w:u w:val="single"/>
        </w:rPr>
        <w:t xml:space="preserve">                         </w:t>
      </w:r>
    </w:p>
    <w:p w14:paraId="148E58C8">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成立时间：年 月 日</w:t>
      </w:r>
    </w:p>
    <w:p w14:paraId="03C321F7">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经营期限：</w:t>
      </w:r>
      <w:r>
        <w:rPr>
          <w:rFonts w:hint="eastAsia" w:ascii="宋体" w:hAnsi="宋体" w:eastAsia="宋体"/>
          <w:color w:val="auto"/>
          <w:kern w:val="0"/>
          <w:sz w:val="24"/>
          <w:szCs w:val="28"/>
          <w:highlight w:val="none"/>
          <w:u w:val="single"/>
        </w:rPr>
        <w:t xml:space="preserve">       </w:t>
      </w:r>
    </w:p>
    <w:p w14:paraId="3C21329A">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姓 名： 性别： 年龄： 职务：</w:t>
      </w:r>
      <w:r>
        <w:rPr>
          <w:rFonts w:hint="eastAsia" w:ascii="宋体" w:hAnsi="宋体" w:eastAsia="宋体"/>
          <w:color w:val="auto"/>
          <w:kern w:val="0"/>
          <w:sz w:val="24"/>
          <w:szCs w:val="28"/>
          <w:highlight w:val="none"/>
          <w:u w:val="single"/>
        </w:rPr>
        <w:t xml:space="preserve">       </w:t>
      </w:r>
    </w:p>
    <w:p w14:paraId="1CD012C0">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系</w:t>
      </w:r>
      <w:r>
        <w:rPr>
          <w:rFonts w:hint="eastAsia" w:ascii="宋体" w:hAnsi="宋体" w:eastAsia="宋体"/>
          <w:color w:val="auto"/>
          <w:kern w:val="0"/>
          <w:sz w:val="24"/>
          <w:szCs w:val="28"/>
          <w:highlight w:val="none"/>
          <w:u w:val="single"/>
        </w:rPr>
        <w:t xml:space="preserve"> （供应商名称） </w:t>
      </w:r>
      <w:r>
        <w:rPr>
          <w:rFonts w:hint="eastAsia" w:ascii="宋体" w:hAnsi="宋体" w:eastAsia="宋体"/>
          <w:color w:val="auto"/>
          <w:kern w:val="0"/>
          <w:sz w:val="24"/>
          <w:szCs w:val="28"/>
          <w:highlight w:val="none"/>
        </w:rPr>
        <w:t>的法定代表人。</w:t>
      </w:r>
    </w:p>
    <w:p w14:paraId="0F7D968B">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w:t>
      </w:r>
    </w:p>
    <w:p w14:paraId="7A554945">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特此证明。</w:t>
      </w:r>
    </w:p>
    <w:p w14:paraId="5491CB60">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w:t>
      </w:r>
    </w:p>
    <w:p w14:paraId="0BC9692A">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w:t>
      </w:r>
    </w:p>
    <w:p w14:paraId="681CA0DC">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w:t>
      </w:r>
    </w:p>
    <w:p w14:paraId="0E9A95CA">
      <w:pPr>
        <w:autoSpaceDE w:val="0"/>
        <w:autoSpaceDN w:val="0"/>
        <w:adjustRightInd w:val="0"/>
        <w:snapToGrid w:val="0"/>
        <w:spacing w:after="200" w:line="500" w:lineRule="exact"/>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 xml:space="preserve"> </w:t>
      </w:r>
      <w:r>
        <w:rPr>
          <w:rFonts w:hint="eastAsia" w:ascii="宋体" w:hAnsi="宋体" w:eastAsia="宋体" w:cs="宋体"/>
          <w:color w:val="auto"/>
          <w:sz w:val="24"/>
          <w:szCs w:val="24"/>
        </w:rPr>
        <w:t>磋商供应商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联合体牵头人</w:t>
      </w:r>
      <w:r>
        <w:rPr>
          <w:rFonts w:hint="eastAsia" w:ascii="宋体" w:hAnsi="宋体" w:eastAsia="宋体" w:cs="宋体"/>
          <w:color w:val="auto"/>
          <w:sz w:val="24"/>
          <w:szCs w:val="24"/>
          <w:lang w:eastAsia="zh-CN"/>
        </w:rPr>
        <w:t>）</w:t>
      </w:r>
      <w:r>
        <w:rPr>
          <w:rFonts w:hint="eastAsia" w:cs="宋体" w:asciiTheme="minorEastAsia" w:hAnsiTheme="minorEastAsia" w:eastAsiaTheme="minorEastAsia"/>
          <w:color w:val="auto"/>
          <w:sz w:val="24"/>
          <w:szCs w:val="24"/>
          <w:highlight w:val="none"/>
          <w:lang w:val="en-GB"/>
        </w:rPr>
        <w:t>：</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14:paraId="29D56554">
      <w:pPr>
        <w:wordWrap w:val="0"/>
        <w:spacing w:beforeAutospacing="0" w:afterAutospacing="0" w:line="600" w:lineRule="exact"/>
        <w:ind w:firstLine="3840" w:firstLineChars="1600"/>
        <w:rPr>
          <w:rFonts w:hint="eastAsia" w:ascii="宋体" w:hAnsi="宋体" w:eastAsia="宋体"/>
          <w:color w:val="auto"/>
          <w:kern w:val="0"/>
          <w:sz w:val="24"/>
          <w:szCs w:val="28"/>
          <w:highlight w:val="none"/>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r>
        <w:rPr>
          <w:rFonts w:hint="eastAsia" w:ascii="宋体" w:hAnsi="宋体" w:eastAsia="宋体"/>
          <w:color w:val="auto"/>
          <w:kern w:val="0"/>
          <w:sz w:val="24"/>
          <w:szCs w:val="28"/>
          <w:highlight w:val="none"/>
        </w:rPr>
        <w:t xml:space="preserve"> </w:t>
      </w:r>
    </w:p>
    <w:p w14:paraId="5BCCA4F9">
      <w:pPr>
        <w:wordWrap w:val="0"/>
        <w:spacing w:beforeAutospacing="0" w:afterAutospacing="0" w:line="600" w:lineRule="exact"/>
        <w:ind w:firstLine="480" w:firstLineChars="200"/>
        <w:jc w:val="center"/>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日 期： 年 </w:t>
      </w:r>
      <w:r>
        <w:rPr>
          <w:rFonts w:hint="eastAsia" w:ascii="宋体" w:hAnsi="宋体"/>
          <w:color w:val="auto"/>
          <w:kern w:val="0"/>
          <w:sz w:val="24"/>
          <w:szCs w:val="28"/>
          <w:highlight w:val="none"/>
          <w:lang w:val="en-US" w:eastAsia="zh-CN"/>
        </w:rPr>
        <w:t xml:space="preserve"> </w:t>
      </w:r>
      <w:r>
        <w:rPr>
          <w:rFonts w:hint="eastAsia" w:ascii="宋体" w:hAnsi="宋体" w:eastAsia="宋体"/>
          <w:color w:val="auto"/>
          <w:kern w:val="0"/>
          <w:sz w:val="24"/>
          <w:szCs w:val="28"/>
          <w:highlight w:val="none"/>
        </w:rPr>
        <w:t xml:space="preserve">月 </w:t>
      </w:r>
      <w:r>
        <w:rPr>
          <w:rFonts w:hint="eastAsia" w:ascii="宋体" w:hAnsi="宋体"/>
          <w:color w:val="auto"/>
          <w:kern w:val="0"/>
          <w:sz w:val="24"/>
          <w:szCs w:val="28"/>
          <w:highlight w:val="none"/>
          <w:lang w:val="en-US" w:eastAsia="zh-CN"/>
        </w:rPr>
        <w:t xml:space="preserve"> </w:t>
      </w:r>
      <w:r>
        <w:rPr>
          <w:rFonts w:hint="eastAsia" w:ascii="宋体" w:hAnsi="宋体" w:eastAsia="宋体"/>
          <w:color w:val="auto"/>
          <w:kern w:val="0"/>
          <w:sz w:val="24"/>
          <w:szCs w:val="28"/>
          <w:highlight w:val="none"/>
        </w:rPr>
        <w:t>日</w:t>
      </w:r>
    </w:p>
    <w:p w14:paraId="40484685">
      <w:pPr>
        <w:wordWrap w:val="0"/>
        <w:spacing w:beforeAutospacing="0" w:afterAutospacing="0" w:line="600" w:lineRule="exact"/>
        <w:ind w:firstLine="560" w:firstLineChars="200"/>
        <w:jc w:val="center"/>
        <w:rPr>
          <w:rFonts w:hint="eastAsia" w:ascii="宋体" w:hAnsi="宋体" w:eastAsia="宋体"/>
          <w:color w:val="auto"/>
          <w:kern w:val="0"/>
          <w:sz w:val="28"/>
          <w:szCs w:val="28"/>
          <w:highlight w:val="none"/>
        </w:rPr>
      </w:pPr>
      <w:r>
        <w:rPr>
          <w:rFonts w:hint="eastAsia" w:ascii="宋体" w:hAnsi="宋体" w:eastAsia="宋体"/>
          <w:color w:val="auto"/>
          <w:kern w:val="0"/>
          <w:sz w:val="28"/>
          <w:szCs w:val="28"/>
          <w:highlight w:val="none"/>
        </w:rPr>
        <w:t xml:space="preserve"> </w:t>
      </w:r>
    </w:p>
    <w:p w14:paraId="1A5AA381">
      <w:pPr>
        <w:wordWrap w:val="0"/>
        <w:spacing w:beforeAutospacing="0" w:afterAutospacing="0" w:line="600" w:lineRule="exact"/>
        <w:ind w:firstLine="560" w:firstLineChars="200"/>
        <w:jc w:val="center"/>
        <w:rPr>
          <w:rFonts w:hint="eastAsia" w:ascii="宋体" w:hAnsi="宋体" w:eastAsia="宋体"/>
          <w:color w:val="auto"/>
          <w:kern w:val="0"/>
          <w:sz w:val="28"/>
          <w:szCs w:val="28"/>
          <w:highlight w:val="none"/>
        </w:rPr>
      </w:pPr>
      <w:r>
        <w:rPr>
          <w:rFonts w:hint="eastAsia" w:ascii="宋体" w:hAnsi="宋体" w:eastAsia="宋体"/>
          <w:color w:val="auto"/>
          <w:kern w:val="0"/>
          <w:sz w:val="28"/>
          <w:szCs w:val="28"/>
          <w:highlight w:val="none"/>
        </w:rPr>
        <w:t xml:space="preserve"> </w:t>
      </w:r>
    </w:p>
    <w:p w14:paraId="18AAFF84">
      <w:pPr>
        <w:wordWrap w:val="0"/>
        <w:spacing w:beforeAutospacing="0" w:afterAutospacing="0" w:line="600" w:lineRule="exact"/>
        <w:ind w:firstLine="560" w:firstLineChars="200"/>
        <w:jc w:val="center"/>
        <w:rPr>
          <w:rFonts w:ascii="Calibri" w:hAnsi="Calibri" w:eastAsia="宋体"/>
          <w:color w:val="auto"/>
          <w:kern w:val="0"/>
          <w:sz w:val="28"/>
          <w:szCs w:val="28"/>
          <w:highlight w:val="none"/>
        </w:rPr>
      </w:pPr>
      <w:r>
        <w:rPr>
          <w:rFonts w:ascii="Calibri" w:hAnsi="Calibri" w:eastAsia="宋体"/>
          <w:color w:val="auto"/>
          <w:kern w:val="0"/>
          <w:sz w:val="28"/>
          <w:szCs w:val="28"/>
          <w:highlight w:val="none"/>
        </w:rPr>
        <w:t xml:space="preserve"> </w:t>
      </w:r>
    </w:p>
    <w:p w14:paraId="701FDD8F">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540C8C9">
      <w:pPr>
        <w:rPr>
          <w:rFonts w:hint="eastAsia" w:eastAsia="宋体"/>
          <w:color w:val="auto"/>
          <w:sz w:val="28"/>
          <w:szCs w:val="20"/>
          <w:highlight w:val="none"/>
          <w:lang w:val="en-US" w:eastAsia="zh-CN"/>
        </w:rPr>
      </w:pPr>
      <w:r>
        <w:rPr>
          <w:rFonts w:hint="eastAsia" w:eastAsia="宋体"/>
          <w:color w:val="auto"/>
          <w:sz w:val="28"/>
          <w:szCs w:val="20"/>
          <w:highlight w:val="none"/>
          <w:lang w:val="en-US" w:eastAsia="zh-CN"/>
        </w:rPr>
        <w:br w:type="page"/>
      </w:r>
    </w:p>
    <w:p w14:paraId="1E2DAEA1">
      <w:pPr>
        <w:keepNext w:val="0"/>
        <w:keepLines w:val="0"/>
        <w:pageBreakBefore w:val="0"/>
        <w:kinsoku/>
        <w:overflowPunct/>
        <w:topLinePunct w:val="0"/>
        <w:bidi w:val="0"/>
        <w:spacing w:beforeAutospacing="0" w:afterAutospacing="0" w:line="560" w:lineRule="exact"/>
        <w:jc w:val="center"/>
        <w:outlineLvl w:val="0"/>
        <w:rPr>
          <w:rFonts w:hint="eastAsia" w:eastAsia="宋体"/>
          <w:color w:val="auto"/>
          <w:sz w:val="28"/>
          <w:szCs w:val="20"/>
          <w:highlight w:val="none"/>
          <w:lang w:val="en-US"/>
        </w:rPr>
      </w:pPr>
      <w:r>
        <w:rPr>
          <w:rFonts w:hint="eastAsia" w:eastAsia="宋体"/>
          <w:color w:val="auto"/>
          <w:sz w:val="28"/>
          <w:szCs w:val="20"/>
          <w:highlight w:val="none"/>
          <w:lang w:val="en-US" w:eastAsia="zh-CN"/>
        </w:rPr>
        <w:t>三、</w:t>
      </w:r>
      <w:r>
        <w:rPr>
          <w:rFonts w:hint="eastAsia" w:eastAsia="宋体"/>
          <w:color w:val="auto"/>
          <w:sz w:val="28"/>
          <w:szCs w:val="20"/>
          <w:highlight w:val="none"/>
          <w:lang w:val="en-US"/>
        </w:rPr>
        <w:t>授权委托书</w:t>
      </w:r>
    </w:p>
    <w:p w14:paraId="4B1F0ABE">
      <w:pPr>
        <w:keepNext w:val="0"/>
        <w:keepLines w:val="0"/>
        <w:pageBreakBefore w:val="0"/>
        <w:kinsoku/>
        <w:overflowPunct/>
        <w:topLinePunct w:val="0"/>
        <w:bidi w:val="0"/>
        <w:spacing w:beforeAutospacing="0" w:afterAutospacing="0" w:line="560" w:lineRule="exact"/>
        <w:jc w:val="center"/>
        <w:outlineLvl w:val="0"/>
        <w:rPr>
          <w:rFonts w:hint="eastAsia" w:eastAsia="宋体"/>
          <w:color w:val="auto"/>
          <w:sz w:val="28"/>
          <w:szCs w:val="20"/>
          <w:highlight w:val="none"/>
          <w:lang w:val="en-US"/>
        </w:rPr>
      </w:pPr>
      <w:r>
        <w:rPr>
          <w:rFonts w:hint="eastAsia" w:eastAsia="宋体"/>
          <w:color w:val="auto"/>
          <w:sz w:val="28"/>
          <w:szCs w:val="20"/>
          <w:highlight w:val="none"/>
          <w:lang w:val="en-US"/>
        </w:rPr>
        <w:t>（若为联合体，联合体牵头人须提供）</w:t>
      </w:r>
    </w:p>
    <w:p w14:paraId="139025A9">
      <w:pPr>
        <w:snapToGrid w:val="0"/>
        <w:spacing w:line="500" w:lineRule="exact"/>
        <w:ind w:firstLine="480" w:firstLineChars="200"/>
        <w:jc w:val="both"/>
        <w:textAlignment w:val="baseline"/>
        <w:rPr>
          <w:rFonts w:ascii="宋体" w:hAnsi="宋体"/>
          <w:color w:val="auto"/>
          <w:sz w:val="24"/>
          <w:szCs w:val="24"/>
          <w:highlight w:val="none"/>
        </w:rPr>
      </w:pPr>
      <w:r>
        <w:rPr>
          <w:rFonts w:hint="eastAsia" w:ascii="宋体" w:hAnsi="宋体"/>
          <w:color w:val="auto"/>
          <w:sz w:val="24"/>
          <w:szCs w:val="24"/>
          <w:highlight w:val="none"/>
        </w:rPr>
        <w:t>本人</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（姓名）系</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（供应商名称）的法定代表人，现委托</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（姓名）为我方代理人。代理人根据授权，以我方名义签署、澄清、说明、补正、递交、撤回、修改</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（项目名称）响应文件、签订合同和处理有关事宜，其法律后果由我方承担。</w:t>
      </w:r>
    </w:p>
    <w:p w14:paraId="054BD639">
      <w:pPr>
        <w:snapToGrid w:val="0"/>
        <w:spacing w:before="312" w:after="312" w:line="500" w:lineRule="exact"/>
        <w:ind w:firstLine="480" w:firstLineChars="200"/>
        <w:jc w:val="both"/>
        <w:textAlignment w:val="baseline"/>
        <w:rPr>
          <w:rFonts w:ascii="宋体" w:hAnsi="宋体"/>
          <w:color w:val="auto"/>
          <w:sz w:val="24"/>
          <w:szCs w:val="24"/>
          <w:highlight w:val="none"/>
        </w:rPr>
      </w:pPr>
      <w:r>
        <w:rPr>
          <w:rFonts w:hint="eastAsia" w:ascii="宋体" w:hAnsi="宋体"/>
          <w:color w:val="auto"/>
          <w:sz w:val="24"/>
          <w:szCs w:val="24"/>
          <w:highlight w:val="none"/>
        </w:rPr>
        <w:t>委托期限：</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w:t>
      </w:r>
    </w:p>
    <w:p w14:paraId="3FF78C3B">
      <w:pPr>
        <w:snapToGrid w:val="0"/>
        <w:spacing w:before="312" w:after="312" w:line="500" w:lineRule="exact"/>
        <w:ind w:firstLine="480" w:firstLineChars="200"/>
        <w:jc w:val="both"/>
        <w:textAlignment w:val="baseline"/>
        <w:rPr>
          <w:rFonts w:ascii="宋体" w:hAnsi="宋体"/>
          <w:color w:val="auto"/>
          <w:sz w:val="24"/>
          <w:szCs w:val="24"/>
          <w:highlight w:val="none"/>
        </w:rPr>
      </w:pPr>
      <w:r>
        <w:rPr>
          <w:rFonts w:hint="eastAsia" w:ascii="宋体" w:hAnsi="宋体"/>
          <w:color w:val="auto"/>
          <w:sz w:val="24"/>
          <w:szCs w:val="24"/>
          <w:highlight w:val="none"/>
        </w:rPr>
        <w:t>代理人无转委托权。</w:t>
      </w:r>
    </w:p>
    <w:p w14:paraId="638671D2">
      <w:pPr>
        <w:snapToGrid w:val="0"/>
        <w:spacing w:after="312" w:line="500" w:lineRule="exact"/>
        <w:ind w:firstLine="480" w:firstLineChars="200"/>
        <w:jc w:val="both"/>
        <w:textAlignment w:val="baseline"/>
        <w:rPr>
          <w:rFonts w:hint="eastAsia" w:ascii="宋体" w:hAnsi="宋体"/>
          <w:color w:val="auto"/>
          <w:sz w:val="24"/>
          <w:szCs w:val="24"/>
          <w:highlight w:val="none"/>
        </w:rPr>
      </w:pPr>
      <w:r>
        <w:rPr>
          <w:rFonts w:hint="eastAsia" w:ascii="宋体" w:hAnsi="宋体"/>
          <w:color w:val="auto"/>
          <w:sz w:val="24"/>
          <w:szCs w:val="24"/>
          <w:highlight w:val="none"/>
        </w:rPr>
        <w:t>附：法定代表人及委托代理人身份证明</w:t>
      </w:r>
    </w:p>
    <w:p w14:paraId="267271F3">
      <w:pPr>
        <w:snapToGrid w:val="0"/>
        <w:spacing w:after="312" w:line="500" w:lineRule="exact"/>
        <w:ind w:firstLine="480" w:firstLineChars="200"/>
        <w:jc w:val="both"/>
        <w:textAlignment w:val="baseline"/>
        <w:rPr>
          <w:rFonts w:hint="eastAsia" w:ascii="宋体" w:hAnsi="宋体"/>
          <w:color w:val="auto"/>
          <w:sz w:val="24"/>
          <w:szCs w:val="24"/>
          <w:highlight w:val="none"/>
        </w:rPr>
      </w:pPr>
    </w:p>
    <w:p w14:paraId="22983DDA">
      <w:pPr>
        <w:snapToGrid w:val="0"/>
        <w:spacing w:after="312" w:line="500" w:lineRule="exact"/>
        <w:ind w:firstLine="480" w:firstLineChars="200"/>
        <w:jc w:val="both"/>
        <w:textAlignment w:val="baseline"/>
        <w:rPr>
          <w:rFonts w:hint="eastAsia" w:ascii="宋体" w:hAnsi="宋体"/>
          <w:color w:val="auto"/>
          <w:sz w:val="24"/>
          <w:szCs w:val="24"/>
          <w:highlight w:val="none"/>
        </w:rPr>
      </w:pPr>
    </w:p>
    <w:p w14:paraId="49119BB2">
      <w:pPr>
        <w:snapToGrid w:val="0"/>
        <w:spacing w:line="500" w:lineRule="exact"/>
        <w:ind w:firstLine="480" w:firstLineChars="20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r>
        <w:rPr>
          <w:rFonts w:hint="eastAsia" w:ascii="宋体" w:hAnsi="宋体" w:eastAsia="宋体" w:cs="宋体"/>
          <w:color w:val="auto"/>
          <w:sz w:val="24"/>
          <w:szCs w:val="24"/>
        </w:rPr>
        <w:t>磋商供应商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联合体牵头人</w:t>
      </w:r>
      <w:r>
        <w:rPr>
          <w:rFonts w:hint="eastAsia" w:ascii="宋体" w:hAnsi="宋体" w:eastAsia="宋体" w:cs="宋体"/>
          <w:color w:val="auto"/>
          <w:sz w:val="24"/>
          <w:szCs w:val="24"/>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color="000000"/>
        </w:rPr>
        <w:t xml:space="preserve">                    </w:t>
      </w:r>
      <w:r>
        <w:rPr>
          <w:rFonts w:hint="eastAsia" w:ascii="宋体" w:hAnsi="宋体" w:cs="宋体"/>
          <w:color w:val="auto"/>
          <w:sz w:val="24"/>
          <w:szCs w:val="24"/>
          <w:highlight w:val="none"/>
        </w:rPr>
        <w:t>（电子签章）</w:t>
      </w:r>
    </w:p>
    <w:p w14:paraId="7981EE3D">
      <w:pPr>
        <w:snapToGrid w:val="0"/>
        <w:spacing w:line="500" w:lineRule="exact"/>
        <w:ind w:firstLine="480" w:firstLineChars="20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color="000000"/>
        </w:rPr>
        <w:t xml:space="preserve">                        </w:t>
      </w:r>
      <w:r>
        <w:rPr>
          <w:rFonts w:hint="eastAsia" w:ascii="宋体" w:hAnsi="宋体" w:cs="宋体"/>
          <w:color w:val="auto"/>
          <w:sz w:val="24"/>
          <w:szCs w:val="24"/>
          <w:highlight w:val="none"/>
        </w:rPr>
        <w:t>（签字或盖章）</w:t>
      </w:r>
    </w:p>
    <w:p w14:paraId="673328DB">
      <w:pPr>
        <w:snapToGrid w:val="0"/>
        <w:spacing w:line="500" w:lineRule="exact"/>
        <w:ind w:firstLine="2640" w:firstLineChars="1100"/>
        <w:jc w:val="both"/>
        <w:textAlignment w:val="baseline"/>
        <w:rPr>
          <w:rFonts w:ascii="宋体" w:hAnsi="宋体"/>
          <w:color w:val="auto"/>
          <w:sz w:val="24"/>
          <w:szCs w:val="24"/>
          <w:highlight w:val="none"/>
          <w:u w:val="singl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14:paraId="2FE9A7AD">
      <w:pPr>
        <w:snapToGrid w:val="0"/>
        <w:spacing w:line="500" w:lineRule="exact"/>
        <w:ind w:firstLine="480" w:firstLineChars="200"/>
        <w:jc w:val="center"/>
        <w:textAlignment w:val="baseline"/>
        <w:rPr>
          <w:rFonts w:ascii="宋体" w:hAnsi="宋体" w:cs="宋体"/>
          <w:color w:val="auto"/>
          <w:sz w:val="24"/>
          <w:szCs w:val="24"/>
          <w:highlight w:val="none"/>
        </w:rPr>
      </w:pPr>
      <w:r>
        <w:rPr>
          <w:rFonts w:hint="eastAsia" w:ascii="宋体" w:hAnsi="宋体"/>
          <w:color w:val="auto"/>
          <w:sz w:val="24"/>
          <w:szCs w:val="24"/>
          <w:highlight w:val="none"/>
        </w:rPr>
        <w:t xml:space="preserve">          委托人：</w:t>
      </w:r>
      <w:r>
        <w:rPr>
          <w:rFonts w:ascii="宋体" w:hAnsi="宋体" w:cs="宋体"/>
          <w:color w:val="auto"/>
          <w:sz w:val="24"/>
          <w:szCs w:val="24"/>
          <w:highlight w:val="none"/>
          <w:u w:val="single" w:color="000000"/>
        </w:rPr>
        <w:t xml:space="preserve">              </w:t>
      </w:r>
      <w:r>
        <w:rPr>
          <w:rFonts w:hint="eastAsia" w:ascii="宋体" w:hAnsi="宋体" w:cs="宋体"/>
          <w:color w:val="auto"/>
          <w:sz w:val="24"/>
          <w:szCs w:val="24"/>
          <w:highlight w:val="none"/>
          <w:u w:val="single" w:color="000000"/>
        </w:rPr>
        <w:t xml:space="preserve">           </w:t>
      </w:r>
      <w:r>
        <w:rPr>
          <w:rFonts w:ascii="宋体" w:hAnsi="宋体" w:cs="宋体"/>
          <w:color w:val="auto"/>
          <w:sz w:val="24"/>
          <w:szCs w:val="24"/>
          <w:highlight w:val="none"/>
          <w:u w:val="single" w:color="000000"/>
        </w:rPr>
        <w:t xml:space="preserve">   </w:t>
      </w:r>
      <w:r>
        <w:rPr>
          <w:rFonts w:hint="eastAsia" w:ascii="宋体" w:hAnsi="宋体" w:cs="宋体"/>
          <w:color w:val="auto"/>
          <w:sz w:val="24"/>
          <w:szCs w:val="24"/>
          <w:highlight w:val="none"/>
        </w:rPr>
        <w:t>（签字或盖章）</w:t>
      </w:r>
    </w:p>
    <w:p w14:paraId="11695256">
      <w:pPr>
        <w:snapToGrid w:val="0"/>
        <w:spacing w:line="500" w:lineRule="exact"/>
        <w:ind w:firstLine="2880" w:firstLineChars="1200"/>
        <w:jc w:val="both"/>
        <w:textAlignment w:val="baseline"/>
        <w:rPr>
          <w:rFonts w:ascii="宋体" w:hAnsi="宋体"/>
          <w:color w:val="auto"/>
          <w:sz w:val="24"/>
          <w:szCs w:val="24"/>
          <w:highlight w:val="none"/>
          <w:u w:val="single"/>
        </w:rPr>
      </w:pPr>
      <w:r>
        <w:rPr>
          <w:rFonts w:hint="eastAsia" w:ascii="宋体" w:hAnsi="宋体"/>
          <w:color w:val="auto"/>
          <w:sz w:val="24"/>
          <w:szCs w:val="24"/>
          <w:highlight w:val="none"/>
        </w:rPr>
        <w:t>委托代理人身份证号码：</w:t>
      </w:r>
      <w:r>
        <w:rPr>
          <w:rFonts w:hint="eastAsia" w:ascii="宋体" w:hAnsi="宋体"/>
          <w:color w:val="auto"/>
          <w:sz w:val="24"/>
          <w:szCs w:val="24"/>
          <w:highlight w:val="none"/>
          <w:u w:val="single"/>
        </w:rPr>
        <w:t xml:space="preserve">                 </w:t>
      </w:r>
    </w:p>
    <w:p w14:paraId="10104E75">
      <w:pPr>
        <w:wordWrap w:val="0"/>
        <w:spacing w:beforeAutospacing="0" w:afterAutospacing="0" w:line="600" w:lineRule="exact"/>
        <w:ind w:firstLine="4080" w:firstLineChars="1700"/>
        <w:rPr>
          <w:rFonts w:ascii="Calibri" w:hAnsi="Calibri" w:eastAsia="宋体"/>
          <w:b/>
          <w:bCs/>
          <w:color w:val="auto"/>
          <w:kern w:val="0"/>
          <w:sz w:val="28"/>
          <w:szCs w:val="28"/>
          <w:highlight w:val="none"/>
        </w:rPr>
      </w:pP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006A6240">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79D7A4E9">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C2BE861">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26DFC76A">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62A91615">
      <w:pPr>
        <w:pStyle w:val="2"/>
        <w:rPr>
          <w:color w:val="auto"/>
          <w:highlight w:val="none"/>
        </w:rPr>
      </w:pPr>
    </w:p>
    <w:p w14:paraId="194D0516">
      <w:pPr>
        <w:keepNext w:val="0"/>
        <w:keepLines w:val="0"/>
        <w:pageBreakBefore w:val="0"/>
        <w:kinsoku/>
        <w:overflowPunct/>
        <w:topLinePunct w:val="0"/>
        <w:bidi w:val="0"/>
        <w:spacing w:beforeAutospacing="0" w:afterAutospacing="0" w:line="560" w:lineRule="exact"/>
        <w:jc w:val="center"/>
        <w:outlineLvl w:val="0"/>
        <w:rPr>
          <w:rFonts w:hint="eastAsia" w:eastAsia="宋体"/>
          <w:color w:val="auto"/>
          <w:sz w:val="28"/>
          <w:szCs w:val="20"/>
          <w:highlight w:val="none"/>
          <w:lang w:val="en-US"/>
        </w:rPr>
      </w:pPr>
    </w:p>
    <w:p w14:paraId="7C153AAF">
      <w:pPr>
        <w:rPr>
          <w:rFonts w:hint="eastAsia" w:eastAsia="宋体"/>
          <w:color w:val="auto"/>
          <w:sz w:val="28"/>
          <w:szCs w:val="20"/>
          <w:highlight w:val="none"/>
          <w:lang w:val="en-US" w:eastAsia="zh-CN"/>
        </w:rPr>
      </w:pPr>
      <w:r>
        <w:rPr>
          <w:rFonts w:hint="eastAsia" w:eastAsia="宋体"/>
          <w:color w:val="auto"/>
          <w:sz w:val="28"/>
          <w:szCs w:val="20"/>
          <w:highlight w:val="none"/>
          <w:lang w:val="en-US" w:eastAsia="zh-CN"/>
        </w:rPr>
        <w:br w:type="page"/>
      </w:r>
    </w:p>
    <w:p w14:paraId="46B3A12B">
      <w:pPr>
        <w:keepNext w:val="0"/>
        <w:keepLines w:val="0"/>
        <w:pageBreakBefore w:val="0"/>
        <w:kinsoku/>
        <w:overflowPunct/>
        <w:topLinePunct w:val="0"/>
        <w:bidi w:val="0"/>
        <w:spacing w:beforeAutospacing="0" w:afterAutospacing="0" w:line="560" w:lineRule="exact"/>
        <w:jc w:val="center"/>
        <w:outlineLvl w:val="0"/>
        <w:rPr>
          <w:rFonts w:hint="eastAsia" w:ascii="宋体" w:hAnsi="宋体"/>
          <w:b/>
          <w:bCs/>
          <w:color w:val="auto"/>
          <w:kern w:val="0"/>
          <w:sz w:val="36"/>
          <w:szCs w:val="36"/>
          <w:highlight w:val="none"/>
          <w:lang w:val="en-US" w:eastAsia="zh-CN"/>
        </w:rPr>
      </w:pPr>
      <w:r>
        <w:rPr>
          <w:rFonts w:hint="eastAsia" w:eastAsia="宋体"/>
          <w:color w:val="auto"/>
          <w:sz w:val="28"/>
          <w:szCs w:val="20"/>
          <w:highlight w:val="none"/>
          <w:lang w:val="en-US" w:eastAsia="zh-CN"/>
        </w:rPr>
        <w:t>四、联合体协议书</w:t>
      </w:r>
    </w:p>
    <w:p w14:paraId="12FDB0E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right="0" w:rightChars="0"/>
        <w:jc w:val="center"/>
        <w:textAlignment w:val="auto"/>
        <w:outlineLvl w:val="1"/>
        <w:rPr>
          <w:rFonts w:hint="eastAsia"/>
          <w:color w:val="auto"/>
          <w:sz w:val="21"/>
          <w:szCs w:val="21"/>
          <w:lang w:val="en-US"/>
        </w:rPr>
      </w:pPr>
      <w:r>
        <w:rPr>
          <w:rFonts w:hint="eastAsia" w:ascii="宋体" w:hAnsi="宋体" w:eastAsia="宋体" w:cs="宋体"/>
          <w:b/>
          <w:bCs/>
          <w:color w:val="auto"/>
          <w:sz w:val="24"/>
          <w:szCs w:val="24"/>
          <w:lang w:val="en-US"/>
        </w:rPr>
        <w:t>（若为联合体</w:t>
      </w:r>
      <w:r>
        <w:rPr>
          <w:rFonts w:hint="eastAsia" w:ascii="宋体" w:hAnsi="宋体" w:eastAsia="宋体" w:cs="宋体"/>
          <w:b/>
          <w:bCs/>
          <w:color w:val="auto"/>
          <w:sz w:val="24"/>
          <w:szCs w:val="24"/>
          <w:lang w:val="en-US" w:eastAsia="zh-CN"/>
        </w:rPr>
        <w:t>需填写此项内容</w:t>
      </w:r>
      <w:r>
        <w:rPr>
          <w:rFonts w:hint="eastAsia" w:ascii="宋体" w:hAnsi="宋体" w:eastAsia="宋体" w:cs="宋体"/>
          <w:b/>
          <w:bCs/>
          <w:color w:val="auto"/>
          <w:sz w:val="24"/>
          <w:szCs w:val="24"/>
          <w:lang w:val="en-US"/>
        </w:rPr>
        <w:t>，</w:t>
      </w:r>
      <w:r>
        <w:rPr>
          <w:rFonts w:hint="eastAsia" w:ascii="宋体" w:hAnsi="宋体" w:cs="宋体"/>
          <w:b/>
          <w:bCs/>
          <w:color w:val="auto"/>
          <w:sz w:val="24"/>
          <w:szCs w:val="24"/>
          <w:lang w:val="en-US" w:eastAsia="zh-CN"/>
        </w:rPr>
        <w:t>响应</w:t>
      </w:r>
      <w:r>
        <w:rPr>
          <w:rFonts w:hint="eastAsia" w:ascii="宋体" w:hAnsi="宋体" w:eastAsia="宋体" w:cs="宋体"/>
          <w:b/>
          <w:bCs/>
          <w:color w:val="auto"/>
          <w:sz w:val="24"/>
          <w:szCs w:val="24"/>
          <w:lang w:val="en-US"/>
        </w:rPr>
        <w:t>文件中应附原件扫描件</w:t>
      </w:r>
      <w:r>
        <w:rPr>
          <w:rFonts w:hint="eastAsia" w:ascii="宋体" w:hAnsi="宋体" w:eastAsia="宋体" w:cs="宋体"/>
          <w:b/>
          <w:bCs/>
          <w:color w:val="auto"/>
          <w:sz w:val="24"/>
          <w:szCs w:val="24"/>
          <w:lang w:val="en-US" w:eastAsia="zh-CN"/>
        </w:rPr>
        <w:t>；非联合体无需填写此项内容</w:t>
      </w:r>
      <w:r>
        <w:rPr>
          <w:rFonts w:hint="eastAsia" w:ascii="宋体" w:hAnsi="宋体" w:eastAsia="宋体" w:cs="宋体"/>
          <w:b/>
          <w:bCs/>
          <w:color w:val="auto"/>
          <w:sz w:val="24"/>
          <w:szCs w:val="24"/>
          <w:lang w:val="en-US"/>
        </w:rPr>
        <w:t>）</w:t>
      </w:r>
    </w:p>
    <w:p w14:paraId="445F9C01">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color w:val="auto"/>
          <w:sz w:val="24"/>
          <w:szCs w:val="24"/>
          <w:u w:val="single"/>
          <w:lang w:val="en-US" w:eastAsia="zh-CN"/>
        </w:rPr>
      </w:pPr>
      <w:r>
        <w:rPr>
          <w:rFonts w:hint="eastAsia"/>
          <w:color w:val="auto"/>
          <w:sz w:val="24"/>
          <w:szCs w:val="24"/>
          <w:lang w:val="en-US" w:eastAsia="zh-CN"/>
        </w:rPr>
        <w:t>联合体</w:t>
      </w:r>
      <w:r>
        <w:rPr>
          <w:rFonts w:hint="eastAsia"/>
          <w:color w:val="auto"/>
          <w:sz w:val="24"/>
          <w:szCs w:val="24"/>
          <w:lang w:val="en-US"/>
        </w:rPr>
        <w:t>牵头人名称：</w:t>
      </w:r>
      <w:r>
        <w:rPr>
          <w:rFonts w:hint="eastAsia"/>
          <w:color w:val="auto"/>
          <w:sz w:val="24"/>
          <w:szCs w:val="24"/>
          <w:u w:val="single"/>
          <w:lang w:val="en-US"/>
        </w:rPr>
        <w:t xml:space="preserve">           </w:t>
      </w:r>
      <w:r>
        <w:rPr>
          <w:rFonts w:hint="eastAsia"/>
          <w:color w:val="auto"/>
          <w:sz w:val="24"/>
          <w:szCs w:val="24"/>
          <w:u w:val="single"/>
          <w:lang w:val="en-US" w:eastAsia="zh-CN"/>
        </w:rPr>
        <w:t xml:space="preserve">    </w:t>
      </w:r>
      <w:r>
        <w:rPr>
          <w:rFonts w:hint="eastAsia"/>
          <w:color w:val="auto"/>
          <w:sz w:val="24"/>
          <w:szCs w:val="24"/>
          <w:u w:val="single"/>
          <w:lang w:val="en-US"/>
        </w:rPr>
        <w:t xml:space="preserve">   </w:t>
      </w:r>
      <w:r>
        <w:rPr>
          <w:rFonts w:hint="eastAsia"/>
          <w:color w:val="auto"/>
          <w:sz w:val="24"/>
          <w:szCs w:val="24"/>
          <w:u w:val="single"/>
          <w:lang w:val="en-US" w:eastAsia="zh-CN"/>
        </w:rPr>
        <w:t xml:space="preserve"> </w:t>
      </w:r>
    </w:p>
    <w:p w14:paraId="5DAD43E3">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color w:val="auto"/>
          <w:sz w:val="24"/>
          <w:szCs w:val="24"/>
          <w:lang w:val="en-US"/>
        </w:rPr>
      </w:pPr>
      <w:r>
        <w:rPr>
          <w:rFonts w:hint="eastAsia"/>
          <w:color w:val="auto"/>
          <w:sz w:val="24"/>
          <w:szCs w:val="24"/>
          <w:lang w:val="en-US" w:eastAsia="zh-CN"/>
        </w:rPr>
        <w:t>联合体</w:t>
      </w:r>
      <w:r>
        <w:rPr>
          <w:rFonts w:hint="eastAsia"/>
          <w:color w:val="auto"/>
          <w:sz w:val="24"/>
          <w:szCs w:val="24"/>
          <w:lang w:val="en-US"/>
        </w:rPr>
        <w:t>成员</w:t>
      </w:r>
      <w:r>
        <w:rPr>
          <w:rFonts w:hint="eastAsia"/>
          <w:color w:val="auto"/>
          <w:sz w:val="24"/>
          <w:szCs w:val="24"/>
          <w:lang w:val="en-US" w:eastAsia="zh-CN"/>
        </w:rPr>
        <w:t>单位</w:t>
      </w:r>
      <w:r>
        <w:rPr>
          <w:rFonts w:hint="eastAsia"/>
          <w:color w:val="auto"/>
          <w:sz w:val="24"/>
          <w:szCs w:val="24"/>
          <w:lang w:val="en-US"/>
        </w:rPr>
        <w:t>名称：</w:t>
      </w:r>
      <w:r>
        <w:rPr>
          <w:rFonts w:hint="eastAsia"/>
          <w:color w:val="auto"/>
          <w:sz w:val="24"/>
          <w:szCs w:val="24"/>
          <w:u w:val="single"/>
          <w:lang w:val="en-US"/>
        </w:rPr>
        <w:t xml:space="preserve">           </w:t>
      </w:r>
      <w:r>
        <w:rPr>
          <w:rFonts w:hint="eastAsia"/>
          <w:color w:val="auto"/>
          <w:sz w:val="24"/>
          <w:szCs w:val="24"/>
          <w:u w:val="single"/>
          <w:lang w:val="en-US" w:eastAsia="zh-CN"/>
        </w:rPr>
        <w:t xml:space="preserve">  </w:t>
      </w:r>
      <w:r>
        <w:rPr>
          <w:rFonts w:hint="eastAsia"/>
          <w:color w:val="auto"/>
          <w:sz w:val="24"/>
          <w:szCs w:val="24"/>
          <w:u w:val="single"/>
          <w:lang w:val="en-US"/>
        </w:rPr>
        <w:t xml:space="preserve">   </w:t>
      </w:r>
      <w:r>
        <w:rPr>
          <w:rFonts w:hint="eastAsia"/>
          <w:color w:val="auto"/>
          <w:sz w:val="24"/>
          <w:szCs w:val="24"/>
          <w:u w:val="single"/>
          <w:lang w:val="en-US" w:eastAsia="zh-CN"/>
        </w:rPr>
        <w:t xml:space="preserve"> </w:t>
      </w:r>
    </w:p>
    <w:p w14:paraId="755E0FA1">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color w:val="auto"/>
          <w:sz w:val="24"/>
          <w:szCs w:val="24"/>
          <w:lang w:val="en-US"/>
        </w:rPr>
      </w:pPr>
      <w:r>
        <w:rPr>
          <w:rFonts w:hint="eastAsia"/>
          <w:color w:val="auto"/>
          <w:sz w:val="24"/>
          <w:szCs w:val="24"/>
          <w:lang w:val="en-US" w:eastAsia="zh-CN"/>
        </w:rPr>
        <w:t>双方</w:t>
      </w:r>
      <w:r>
        <w:rPr>
          <w:rFonts w:hint="eastAsia"/>
          <w:color w:val="auto"/>
          <w:sz w:val="24"/>
          <w:szCs w:val="24"/>
          <w:lang w:val="en-US"/>
        </w:rPr>
        <w:t>自愿组成联合体，共同参加</w:t>
      </w:r>
      <w:r>
        <w:rPr>
          <w:rFonts w:hint="eastAsia"/>
          <w:color w:val="auto"/>
          <w:sz w:val="24"/>
          <w:szCs w:val="24"/>
          <w:u w:val="single"/>
          <w:lang w:val="en-US"/>
        </w:rPr>
        <w:t xml:space="preserve">    </w:t>
      </w:r>
      <w:r>
        <w:rPr>
          <w:rFonts w:hint="eastAsia"/>
          <w:color w:val="auto"/>
          <w:sz w:val="24"/>
          <w:szCs w:val="24"/>
          <w:u w:val="single"/>
          <w:lang w:val="en-US" w:eastAsia="zh-CN"/>
        </w:rPr>
        <w:t xml:space="preserve">  </w:t>
      </w:r>
      <w:r>
        <w:rPr>
          <w:rFonts w:hint="eastAsia"/>
          <w:color w:val="auto"/>
          <w:sz w:val="24"/>
          <w:szCs w:val="24"/>
          <w:u w:val="single"/>
          <w:lang w:val="en-US"/>
        </w:rPr>
        <w:t xml:space="preserve">      </w:t>
      </w:r>
      <w:r>
        <w:rPr>
          <w:rFonts w:hint="eastAsia"/>
          <w:color w:val="auto"/>
          <w:sz w:val="24"/>
          <w:szCs w:val="24"/>
          <w:lang w:val="en-US"/>
        </w:rPr>
        <w:t>（项目名称）</w:t>
      </w:r>
      <w:r>
        <w:rPr>
          <w:rFonts w:hint="eastAsia"/>
          <w:color w:val="auto"/>
          <w:sz w:val="24"/>
          <w:szCs w:val="24"/>
          <w:lang w:val="en-US" w:eastAsia="zh-CN"/>
        </w:rPr>
        <w:t>的</w:t>
      </w:r>
      <w:r>
        <w:rPr>
          <w:rFonts w:hint="eastAsia"/>
          <w:color w:val="auto"/>
          <w:sz w:val="24"/>
          <w:szCs w:val="24"/>
          <w:lang w:val="en-US"/>
        </w:rPr>
        <w:t>投标。现就联合体投标事宜订立如下协议。</w:t>
      </w:r>
    </w:p>
    <w:p w14:paraId="3A76E507">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color w:val="auto"/>
          <w:sz w:val="24"/>
          <w:szCs w:val="24"/>
          <w:lang w:val="en-US"/>
        </w:rPr>
      </w:pPr>
      <w:r>
        <w:rPr>
          <w:rFonts w:hint="eastAsia"/>
          <w:color w:val="auto"/>
          <w:sz w:val="24"/>
          <w:szCs w:val="24"/>
          <w:lang w:val="en-US" w:eastAsia="zh-CN"/>
        </w:rPr>
        <w:t>1</w:t>
      </w:r>
      <w:r>
        <w:rPr>
          <w:rFonts w:hint="eastAsia"/>
          <w:color w:val="auto"/>
          <w:sz w:val="24"/>
          <w:szCs w:val="24"/>
          <w:lang w:val="en-US"/>
        </w:rPr>
        <w:t>、联合体牵头人合法代表联合体</w:t>
      </w:r>
      <w:r>
        <w:rPr>
          <w:rFonts w:hint="eastAsia"/>
          <w:color w:val="auto"/>
          <w:sz w:val="24"/>
          <w:szCs w:val="24"/>
          <w:lang w:val="en-US" w:eastAsia="zh-CN"/>
        </w:rPr>
        <w:t>各</w:t>
      </w:r>
      <w:r>
        <w:rPr>
          <w:rFonts w:hint="eastAsia"/>
          <w:color w:val="auto"/>
          <w:sz w:val="24"/>
          <w:szCs w:val="24"/>
          <w:lang w:val="en-US"/>
        </w:rPr>
        <w:t>成员负责本招标项目</w:t>
      </w:r>
      <w:r>
        <w:rPr>
          <w:rFonts w:hint="eastAsia"/>
          <w:color w:val="auto"/>
          <w:sz w:val="24"/>
          <w:szCs w:val="24"/>
          <w:lang w:val="en-US" w:eastAsia="zh-CN"/>
        </w:rPr>
        <w:t>磋商</w:t>
      </w:r>
      <w:r>
        <w:rPr>
          <w:rFonts w:hint="eastAsia"/>
          <w:color w:val="auto"/>
          <w:sz w:val="24"/>
          <w:szCs w:val="24"/>
          <w:lang w:val="en-US"/>
        </w:rPr>
        <w:t>文件编制和合同谈判活动，并代表联合体提交和接收相关的资料、信息及指示，并处理与之有关的一切事务，负责合同实施阶段的主办、组织和协调工作。</w:t>
      </w:r>
    </w:p>
    <w:p w14:paraId="67F63230">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color w:val="auto"/>
          <w:sz w:val="24"/>
          <w:szCs w:val="24"/>
          <w:lang w:val="en-US"/>
        </w:rPr>
      </w:pPr>
      <w:r>
        <w:rPr>
          <w:rFonts w:hint="eastAsia"/>
          <w:color w:val="auto"/>
          <w:sz w:val="24"/>
          <w:szCs w:val="24"/>
          <w:lang w:val="en-US"/>
        </w:rPr>
        <w:t>3、联合体将严格按照</w:t>
      </w:r>
      <w:r>
        <w:rPr>
          <w:rFonts w:hint="eastAsia"/>
          <w:color w:val="auto"/>
          <w:sz w:val="24"/>
          <w:szCs w:val="24"/>
          <w:lang w:val="en-US" w:eastAsia="zh-CN"/>
        </w:rPr>
        <w:t>磋商</w:t>
      </w:r>
      <w:r>
        <w:rPr>
          <w:rFonts w:hint="eastAsia"/>
          <w:color w:val="auto"/>
          <w:sz w:val="24"/>
          <w:szCs w:val="24"/>
          <w:lang w:val="en-US"/>
        </w:rPr>
        <w:t>文件的各项要求，递交</w:t>
      </w:r>
      <w:r>
        <w:rPr>
          <w:rFonts w:hint="eastAsia"/>
          <w:color w:val="auto"/>
          <w:sz w:val="24"/>
          <w:szCs w:val="24"/>
          <w:lang w:val="en-US" w:eastAsia="zh-CN"/>
        </w:rPr>
        <w:t>响应</w:t>
      </w:r>
      <w:r>
        <w:rPr>
          <w:rFonts w:hint="eastAsia"/>
          <w:color w:val="auto"/>
          <w:sz w:val="24"/>
          <w:szCs w:val="24"/>
          <w:lang w:val="en-US"/>
        </w:rPr>
        <w:t>文件，履行合同，并对外承担连带责任。</w:t>
      </w:r>
    </w:p>
    <w:p w14:paraId="3F1C26A7">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color w:val="auto"/>
          <w:sz w:val="24"/>
          <w:szCs w:val="24"/>
          <w:lang w:val="en-US"/>
        </w:rPr>
      </w:pPr>
      <w:r>
        <w:rPr>
          <w:rFonts w:hint="eastAsia"/>
          <w:color w:val="auto"/>
          <w:sz w:val="24"/>
          <w:szCs w:val="24"/>
          <w:lang w:val="en-US"/>
        </w:rPr>
        <w:t>4、联合体各成员单位内部的职责分工如下</w:t>
      </w:r>
      <w:r>
        <w:rPr>
          <w:rFonts w:hint="eastAsia"/>
          <w:color w:val="auto"/>
          <w:sz w:val="24"/>
          <w:szCs w:val="24"/>
          <w:u w:val="none"/>
          <w:lang w:val="en-US"/>
        </w:rPr>
        <w:t>：</w:t>
      </w:r>
      <w:r>
        <w:rPr>
          <w:rFonts w:hint="eastAsia"/>
          <w:color w:val="auto"/>
          <w:sz w:val="24"/>
          <w:szCs w:val="24"/>
          <w:u w:val="single"/>
          <w:lang w:val="en-US"/>
        </w:rPr>
        <w:t xml:space="preserve">                  </w:t>
      </w:r>
      <w:r>
        <w:rPr>
          <w:rFonts w:hint="eastAsia"/>
          <w:color w:val="auto"/>
          <w:sz w:val="24"/>
          <w:szCs w:val="24"/>
          <w:lang w:val="en-US"/>
        </w:rPr>
        <w:t>。</w:t>
      </w:r>
    </w:p>
    <w:p w14:paraId="4638DD7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color w:val="auto"/>
          <w:sz w:val="24"/>
          <w:szCs w:val="24"/>
          <w:lang w:val="en-US"/>
        </w:rPr>
      </w:pPr>
      <w:r>
        <w:rPr>
          <w:rFonts w:hint="eastAsia"/>
          <w:color w:val="auto"/>
          <w:sz w:val="24"/>
          <w:szCs w:val="24"/>
          <w:lang w:val="en-US"/>
        </w:rPr>
        <w:t xml:space="preserve">5、本协议书自签署之日起生效，合同履行完毕后自动失效。 </w:t>
      </w:r>
    </w:p>
    <w:p w14:paraId="50A3F601">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color w:val="auto"/>
          <w:sz w:val="24"/>
          <w:szCs w:val="24"/>
          <w:lang w:val="en-US"/>
        </w:rPr>
      </w:pPr>
      <w:r>
        <w:rPr>
          <w:rFonts w:hint="eastAsia"/>
          <w:color w:val="auto"/>
          <w:sz w:val="24"/>
          <w:szCs w:val="24"/>
          <w:lang w:val="en-US"/>
        </w:rPr>
        <w:t>6、本协议书一式</w:t>
      </w:r>
      <w:r>
        <w:rPr>
          <w:rFonts w:hint="eastAsia"/>
          <w:color w:val="auto"/>
          <w:sz w:val="24"/>
          <w:szCs w:val="24"/>
          <w:u w:val="single"/>
          <w:lang w:val="en-US"/>
        </w:rPr>
        <w:t xml:space="preserve">     </w:t>
      </w:r>
      <w:r>
        <w:rPr>
          <w:rFonts w:hint="eastAsia"/>
          <w:color w:val="auto"/>
          <w:sz w:val="24"/>
          <w:szCs w:val="24"/>
          <w:lang w:val="en-US"/>
        </w:rPr>
        <w:t>份，联合体</w:t>
      </w:r>
      <w:r>
        <w:rPr>
          <w:rFonts w:hint="eastAsia"/>
          <w:color w:val="auto"/>
          <w:sz w:val="24"/>
          <w:szCs w:val="24"/>
          <w:lang w:val="en-US" w:eastAsia="zh-CN"/>
        </w:rPr>
        <w:t>各</w:t>
      </w:r>
      <w:r>
        <w:rPr>
          <w:rFonts w:hint="eastAsia"/>
          <w:color w:val="auto"/>
          <w:sz w:val="24"/>
          <w:szCs w:val="24"/>
          <w:lang w:val="en-US"/>
        </w:rPr>
        <w:t>成员和</w:t>
      </w:r>
      <w:r>
        <w:rPr>
          <w:rFonts w:hint="eastAsia"/>
          <w:color w:val="auto"/>
          <w:sz w:val="24"/>
          <w:szCs w:val="24"/>
          <w:lang w:val="en-US" w:eastAsia="zh-CN"/>
        </w:rPr>
        <w:t>采购</w:t>
      </w:r>
      <w:r>
        <w:rPr>
          <w:rFonts w:hint="eastAsia"/>
          <w:color w:val="auto"/>
          <w:sz w:val="24"/>
          <w:szCs w:val="24"/>
          <w:lang w:val="en-US"/>
        </w:rPr>
        <w:t>人各执一份。</w:t>
      </w:r>
    </w:p>
    <w:p w14:paraId="649E27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color w:val="auto"/>
          <w:sz w:val="24"/>
          <w:szCs w:val="24"/>
          <w:lang w:val="en-US"/>
        </w:rPr>
        <w:t>注：本协议书由委托代理人签字的，应附法定代表人签字的</w:t>
      </w:r>
      <w:r>
        <w:rPr>
          <w:rFonts w:hint="eastAsia"/>
          <w:color w:val="auto"/>
          <w:sz w:val="24"/>
          <w:szCs w:val="24"/>
          <w:lang w:val="en-US" w:eastAsia="zh-CN"/>
        </w:rPr>
        <w:t>法人</w:t>
      </w:r>
      <w:r>
        <w:rPr>
          <w:rFonts w:hint="eastAsia"/>
          <w:color w:val="auto"/>
          <w:sz w:val="24"/>
          <w:szCs w:val="24"/>
          <w:lang w:val="en-US"/>
        </w:rPr>
        <w:t>授权委托书。</w:t>
      </w:r>
    </w:p>
    <w:p w14:paraId="43B5CEF3">
      <w:pPr>
        <w:spacing w:line="500" w:lineRule="exact"/>
        <w:rPr>
          <w:rFonts w:hint="eastAsia" w:ascii="宋体" w:hAnsi="宋体" w:cs="宋体"/>
          <w:color w:val="auto"/>
          <w:sz w:val="24"/>
          <w:szCs w:val="24"/>
          <w:highlight w:val="none"/>
          <w:lang w:val="en-US" w:eastAsia="zh-CN"/>
        </w:rPr>
      </w:pPr>
    </w:p>
    <w:p w14:paraId="35C9B35C">
      <w:pPr>
        <w:spacing w:line="500" w:lineRule="exact"/>
        <w:rPr>
          <w:rFonts w:hint="eastAsia" w:ascii="宋体" w:hAnsi="宋体" w:cs="宋体"/>
          <w:color w:val="auto"/>
          <w:sz w:val="24"/>
          <w:szCs w:val="24"/>
          <w:highlight w:val="none"/>
          <w:lang w:val="en-US" w:eastAsia="zh-CN"/>
        </w:rPr>
      </w:pPr>
    </w:p>
    <w:p w14:paraId="3FDCE73C">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color w:val="auto"/>
          <w:sz w:val="24"/>
          <w:szCs w:val="24"/>
          <w:lang w:val="en-US"/>
        </w:rPr>
      </w:pPr>
      <w:r>
        <w:rPr>
          <w:rFonts w:hint="eastAsia"/>
          <w:color w:val="auto"/>
          <w:sz w:val="24"/>
          <w:szCs w:val="24"/>
          <w:lang w:val="en-US" w:eastAsia="zh-CN"/>
        </w:rPr>
        <w:t xml:space="preserve">                                   联合体</w:t>
      </w:r>
      <w:r>
        <w:rPr>
          <w:rFonts w:hint="eastAsia"/>
          <w:color w:val="auto"/>
          <w:sz w:val="24"/>
          <w:szCs w:val="24"/>
          <w:lang w:val="en-US"/>
        </w:rPr>
        <w:t>牵头人名称：</w:t>
      </w:r>
      <w:r>
        <w:rPr>
          <w:rFonts w:hint="eastAsia"/>
          <w:color w:val="auto"/>
          <w:sz w:val="24"/>
          <w:szCs w:val="24"/>
          <w:u w:val="single"/>
          <w:lang w:val="en-US"/>
        </w:rPr>
        <w:t xml:space="preserve">            </w:t>
      </w:r>
      <w:r>
        <w:rPr>
          <w:rFonts w:hint="eastAsia"/>
          <w:color w:val="auto"/>
          <w:sz w:val="24"/>
          <w:szCs w:val="24"/>
          <w:u w:val="single"/>
          <w:lang w:val="en-US" w:eastAsia="zh-CN"/>
        </w:rPr>
        <w:t xml:space="preserve"> </w:t>
      </w:r>
      <w:r>
        <w:rPr>
          <w:rFonts w:hint="eastAsia"/>
          <w:color w:val="auto"/>
          <w:sz w:val="24"/>
          <w:szCs w:val="24"/>
          <w:lang w:val="en-US"/>
        </w:rPr>
        <w:t>（</w:t>
      </w:r>
      <w:r>
        <w:rPr>
          <w:rFonts w:hint="eastAsia" w:ascii="宋体" w:hAnsi="宋体"/>
          <w:color w:val="auto"/>
          <w:sz w:val="24"/>
          <w:szCs w:val="24"/>
          <w:lang w:eastAsia="zh-CN"/>
        </w:rPr>
        <w:t>电子</w:t>
      </w:r>
      <w:r>
        <w:rPr>
          <w:rFonts w:hint="eastAsia" w:ascii="宋体" w:hAnsi="宋体"/>
          <w:color w:val="auto"/>
          <w:sz w:val="24"/>
          <w:szCs w:val="24"/>
        </w:rPr>
        <w:t>签章</w:t>
      </w:r>
      <w:r>
        <w:rPr>
          <w:rFonts w:hint="eastAsia"/>
          <w:color w:val="auto"/>
          <w:sz w:val="24"/>
          <w:szCs w:val="24"/>
          <w:lang w:val="en-US"/>
        </w:rPr>
        <w:t>）</w:t>
      </w:r>
    </w:p>
    <w:p w14:paraId="5484BCF0">
      <w:pPr>
        <w:keepNext w:val="0"/>
        <w:keepLines w:val="0"/>
        <w:pageBreakBefore w:val="0"/>
        <w:widowControl w:val="0"/>
        <w:kinsoku/>
        <w:wordWrap/>
        <w:overflowPunct/>
        <w:topLinePunct w:val="0"/>
        <w:autoSpaceDE w:val="0"/>
        <w:autoSpaceDN w:val="0"/>
        <w:bidi w:val="0"/>
        <w:adjustRightInd/>
        <w:snapToGrid/>
        <w:spacing w:line="500" w:lineRule="exact"/>
        <w:jc w:val="right"/>
        <w:textAlignment w:val="auto"/>
        <w:rPr>
          <w:color w:val="auto"/>
          <w:sz w:val="24"/>
          <w:szCs w:val="24"/>
          <w:lang w:val="en-US"/>
        </w:rPr>
      </w:pPr>
      <w:r>
        <w:rPr>
          <w:rFonts w:hint="eastAsia"/>
          <w:color w:val="auto"/>
          <w:sz w:val="24"/>
          <w:szCs w:val="24"/>
          <w:lang w:val="en-US" w:eastAsia="zh-CN"/>
        </w:rPr>
        <w:t xml:space="preserve">         </w:t>
      </w:r>
      <w:r>
        <w:rPr>
          <w:rFonts w:hint="eastAsia"/>
          <w:color w:val="auto"/>
          <w:sz w:val="24"/>
          <w:szCs w:val="24"/>
          <w:lang w:val="en-US"/>
        </w:rPr>
        <w:t>法定代表人或其委托代理人：</w:t>
      </w:r>
      <w:r>
        <w:rPr>
          <w:rFonts w:hint="eastAsia"/>
          <w:color w:val="auto"/>
          <w:sz w:val="24"/>
          <w:szCs w:val="24"/>
          <w:u w:val="single"/>
          <w:lang w:val="en-US"/>
        </w:rPr>
        <w:t xml:space="preserve">     </w:t>
      </w:r>
      <w:r>
        <w:rPr>
          <w:rFonts w:hint="eastAsia"/>
          <w:color w:val="auto"/>
          <w:sz w:val="24"/>
          <w:szCs w:val="24"/>
          <w:lang w:val="en-US"/>
        </w:rPr>
        <w:t>（</w:t>
      </w:r>
      <w:r>
        <w:rPr>
          <w:rFonts w:hint="eastAsia" w:cs="宋体" w:asciiTheme="minorEastAsia" w:hAnsiTheme="minorEastAsia" w:eastAsiaTheme="minorEastAsia"/>
          <w:color w:val="auto"/>
          <w:sz w:val="24"/>
          <w:szCs w:val="24"/>
          <w:highlight w:val="none"/>
          <w:lang w:val="en-GB"/>
        </w:rPr>
        <w:t>签字或盖章</w:t>
      </w:r>
      <w:r>
        <w:rPr>
          <w:rFonts w:hint="eastAsia"/>
          <w:color w:val="auto"/>
          <w:sz w:val="24"/>
          <w:szCs w:val="24"/>
          <w:lang w:val="en-US"/>
        </w:rPr>
        <w:t>）</w:t>
      </w:r>
    </w:p>
    <w:p w14:paraId="207B2A75">
      <w:pPr>
        <w:keepNext w:val="0"/>
        <w:keepLines w:val="0"/>
        <w:pageBreakBefore w:val="0"/>
        <w:widowControl w:val="0"/>
        <w:kinsoku/>
        <w:wordWrap/>
        <w:overflowPunct/>
        <w:topLinePunct w:val="0"/>
        <w:autoSpaceDE w:val="0"/>
        <w:autoSpaceDN w:val="0"/>
        <w:bidi w:val="0"/>
        <w:adjustRightInd/>
        <w:snapToGrid/>
        <w:spacing w:line="500" w:lineRule="exact"/>
        <w:ind w:firstLine="4320" w:firstLineChars="1800"/>
        <w:jc w:val="both"/>
        <w:textAlignment w:val="auto"/>
        <w:rPr>
          <w:rFonts w:hint="eastAsia"/>
          <w:color w:val="auto"/>
          <w:sz w:val="24"/>
          <w:szCs w:val="24"/>
          <w:u w:val="single"/>
          <w:lang w:val="en-US" w:eastAsia="zh-CN"/>
        </w:rPr>
      </w:pPr>
      <w:r>
        <w:rPr>
          <w:rFonts w:hint="eastAsia"/>
          <w:color w:val="auto"/>
          <w:sz w:val="24"/>
          <w:szCs w:val="24"/>
          <w:lang w:val="en-US" w:eastAsia="zh-CN"/>
        </w:rPr>
        <w:t>联系电话：</w:t>
      </w:r>
      <w:r>
        <w:rPr>
          <w:rFonts w:hint="eastAsia"/>
          <w:color w:val="auto"/>
          <w:sz w:val="24"/>
          <w:szCs w:val="24"/>
          <w:u w:val="single"/>
          <w:lang w:val="en-US" w:eastAsia="zh-CN"/>
        </w:rPr>
        <w:t xml:space="preserve">                        </w:t>
      </w:r>
    </w:p>
    <w:p w14:paraId="1B20B19E">
      <w:pPr>
        <w:keepNext w:val="0"/>
        <w:keepLines w:val="0"/>
        <w:pageBreakBefore w:val="0"/>
        <w:widowControl w:val="0"/>
        <w:kinsoku/>
        <w:wordWrap/>
        <w:overflowPunct/>
        <w:topLinePunct w:val="0"/>
        <w:autoSpaceDE w:val="0"/>
        <w:autoSpaceDN w:val="0"/>
        <w:bidi w:val="0"/>
        <w:adjustRightInd/>
        <w:snapToGrid/>
        <w:spacing w:line="500" w:lineRule="exact"/>
        <w:ind w:firstLine="4320" w:firstLineChars="1800"/>
        <w:jc w:val="both"/>
        <w:textAlignment w:val="auto"/>
        <w:rPr>
          <w:rFonts w:hint="eastAsia"/>
          <w:color w:val="auto"/>
          <w:sz w:val="24"/>
          <w:szCs w:val="24"/>
          <w:lang w:val="en-US" w:eastAsia="zh-CN"/>
        </w:rPr>
      </w:pPr>
      <w:r>
        <w:rPr>
          <w:rFonts w:hint="eastAsia" w:ascii="宋体" w:hAnsi="宋体" w:eastAsia="宋体" w:cs="宋体"/>
          <w:color w:val="auto"/>
          <w:sz w:val="24"/>
          <w:szCs w:val="24"/>
          <w:u w:val="none"/>
          <w:lang w:val="en-US" w:eastAsia="zh-CN"/>
        </w:rPr>
        <w:t>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w:t>
      </w:r>
    </w:p>
    <w:p w14:paraId="2EEF9359">
      <w:pPr>
        <w:keepNext w:val="0"/>
        <w:keepLines w:val="0"/>
        <w:pageBreakBefore w:val="0"/>
        <w:widowControl w:val="0"/>
        <w:kinsoku/>
        <w:wordWrap/>
        <w:overflowPunct/>
        <w:topLinePunct w:val="0"/>
        <w:autoSpaceDE w:val="0"/>
        <w:autoSpaceDN w:val="0"/>
        <w:bidi w:val="0"/>
        <w:adjustRightInd/>
        <w:snapToGrid/>
        <w:spacing w:line="500" w:lineRule="exact"/>
        <w:jc w:val="right"/>
        <w:textAlignment w:val="auto"/>
        <w:rPr>
          <w:rFonts w:hint="eastAsia"/>
          <w:color w:val="auto"/>
          <w:sz w:val="24"/>
          <w:szCs w:val="24"/>
          <w:lang w:val="en-US" w:eastAsia="zh-CN"/>
        </w:rPr>
      </w:pPr>
    </w:p>
    <w:p w14:paraId="7F19AFC9">
      <w:pPr>
        <w:keepNext w:val="0"/>
        <w:keepLines w:val="0"/>
        <w:pageBreakBefore w:val="0"/>
        <w:widowControl w:val="0"/>
        <w:kinsoku/>
        <w:wordWrap/>
        <w:overflowPunct/>
        <w:topLinePunct w:val="0"/>
        <w:autoSpaceDE w:val="0"/>
        <w:autoSpaceDN w:val="0"/>
        <w:bidi w:val="0"/>
        <w:adjustRightInd/>
        <w:snapToGrid/>
        <w:spacing w:line="500" w:lineRule="exact"/>
        <w:jc w:val="right"/>
        <w:textAlignment w:val="auto"/>
        <w:rPr>
          <w:color w:val="auto"/>
          <w:sz w:val="24"/>
          <w:szCs w:val="24"/>
          <w:lang w:val="en-US"/>
        </w:rPr>
      </w:pPr>
      <w:r>
        <w:rPr>
          <w:rFonts w:hint="eastAsia"/>
          <w:color w:val="auto"/>
          <w:sz w:val="24"/>
          <w:szCs w:val="24"/>
          <w:lang w:val="en-US" w:eastAsia="zh-CN"/>
        </w:rPr>
        <w:t xml:space="preserve">  联合体</w:t>
      </w:r>
      <w:r>
        <w:rPr>
          <w:rFonts w:hint="eastAsia"/>
          <w:color w:val="auto"/>
          <w:sz w:val="24"/>
          <w:szCs w:val="24"/>
          <w:lang w:val="en-US"/>
        </w:rPr>
        <w:t>成员</w:t>
      </w:r>
      <w:r>
        <w:rPr>
          <w:rFonts w:hint="eastAsia"/>
          <w:color w:val="auto"/>
          <w:sz w:val="24"/>
          <w:szCs w:val="24"/>
          <w:lang w:val="en-US" w:eastAsia="zh-CN"/>
        </w:rPr>
        <w:t>单位</w:t>
      </w:r>
      <w:r>
        <w:rPr>
          <w:rFonts w:hint="eastAsia"/>
          <w:color w:val="auto"/>
          <w:sz w:val="24"/>
          <w:szCs w:val="24"/>
          <w:lang w:val="en-US"/>
        </w:rPr>
        <w:t>名称：</w:t>
      </w:r>
      <w:r>
        <w:rPr>
          <w:rFonts w:hint="eastAsia"/>
          <w:color w:val="auto"/>
          <w:sz w:val="24"/>
          <w:szCs w:val="24"/>
          <w:u w:val="single"/>
          <w:lang w:val="en-US"/>
        </w:rPr>
        <w:t xml:space="preserve">          </w:t>
      </w:r>
      <w:r>
        <w:rPr>
          <w:rFonts w:hint="eastAsia"/>
          <w:color w:val="auto"/>
          <w:sz w:val="24"/>
          <w:szCs w:val="24"/>
          <w:lang w:val="en-US"/>
        </w:rPr>
        <w:t>（</w:t>
      </w:r>
      <w:r>
        <w:rPr>
          <w:rFonts w:hint="eastAsia" w:ascii="宋体" w:hAnsi="宋体"/>
          <w:color w:val="auto"/>
          <w:sz w:val="24"/>
          <w:szCs w:val="24"/>
          <w:lang w:eastAsia="zh-CN"/>
        </w:rPr>
        <w:t>章电子</w:t>
      </w:r>
      <w:r>
        <w:rPr>
          <w:rFonts w:hint="eastAsia" w:ascii="宋体" w:hAnsi="宋体"/>
          <w:color w:val="auto"/>
          <w:sz w:val="24"/>
          <w:szCs w:val="24"/>
        </w:rPr>
        <w:t>签章</w:t>
      </w:r>
      <w:r>
        <w:rPr>
          <w:rFonts w:hint="eastAsia"/>
          <w:color w:val="auto"/>
          <w:sz w:val="24"/>
          <w:szCs w:val="24"/>
          <w:lang w:val="en-US"/>
        </w:rPr>
        <w:t>）</w:t>
      </w:r>
    </w:p>
    <w:p w14:paraId="3626B05B">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lang w:val="en-US" w:eastAsia="zh-CN"/>
        </w:rPr>
      </w:pPr>
      <w:r>
        <w:rPr>
          <w:rFonts w:hint="eastAsia"/>
          <w:color w:val="auto"/>
          <w:sz w:val="24"/>
          <w:szCs w:val="24"/>
          <w:lang w:val="en-US" w:eastAsia="zh-CN"/>
        </w:rPr>
        <w:t xml:space="preserve">                                   </w:t>
      </w:r>
      <w:r>
        <w:rPr>
          <w:rFonts w:hint="eastAsia"/>
          <w:color w:val="auto"/>
          <w:sz w:val="24"/>
          <w:szCs w:val="24"/>
          <w:lang w:val="en-US"/>
        </w:rPr>
        <w:t>法定代表人或其委托代理人</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r>
        <w:rPr>
          <w:rFonts w:hint="eastAsia" w:cs="宋体" w:asciiTheme="minorEastAsia" w:hAnsiTheme="minorEastAsia" w:eastAsiaTheme="minorEastAsia"/>
          <w:color w:val="auto"/>
          <w:sz w:val="24"/>
          <w:szCs w:val="24"/>
          <w:highlight w:val="none"/>
          <w:lang w:val="en-GB"/>
        </w:rPr>
        <w:t>签字或盖章</w:t>
      </w:r>
      <w:r>
        <w:rPr>
          <w:rFonts w:hint="eastAsia" w:ascii="宋体" w:hAnsi="宋体" w:eastAsia="宋体" w:cs="宋体"/>
          <w:color w:val="auto"/>
          <w:sz w:val="24"/>
          <w:szCs w:val="24"/>
          <w:lang w:val="en-US" w:eastAsia="zh-CN"/>
        </w:rPr>
        <w:t>）</w:t>
      </w:r>
    </w:p>
    <w:p w14:paraId="0F97D596">
      <w:pPr>
        <w:keepNext w:val="0"/>
        <w:keepLines w:val="0"/>
        <w:pageBreakBefore w:val="0"/>
        <w:widowControl w:val="0"/>
        <w:kinsoku/>
        <w:wordWrap/>
        <w:overflowPunct/>
        <w:topLinePunct w:val="0"/>
        <w:autoSpaceDE w:val="0"/>
        <w:autoSpaceDN w:val="0"/>
        <w:bidi w:val="0"/>
        <w:adjustRightInd/>
        <w:snapToGrid/>
        <w:spacing w:line="500" w:lineRule="exact"/>
        <w:ind w:firstLine="4320" w:firstLineChars="1800"/>
        <w:jc w:val="both"/>
        <w:textAlignment w:val="auto"/>
        <w:rPr>
          <w:rFonts w:hint="default"/>
          <w:color w:val="auto"/>
          <w:sz w:val="24"/>
          <w:szCs w:val="24"/>
          <w:u w:val="single"/>
          <w:lang w:val="en-US" w:eastAsia="zh-CN"/>
        </w:rPr>
      </w:pPr>
      <w:r>
        <w:rPr>
          <w:rFonts w:hint="eastAsia"/>
          <w:color w:val="auto"/>
          <w:sz w:val="24"/>
          <w:szCs w:val="24"/>
          <w:lang w:val="en-US" w:eastAsia="zh-CN"/>
        </w:rPr>
        <w:t>联系电话：</w:t>
      </w:r>
      <w:r>
        <w:rPr>
          <w:rFonts w:hint="eastAsia"/>
          <w:color w:val="auto"/>
          <w:sz w:val="24"/>
          <w:szCs w:val="24"/>
          <w:u w:val="single"/>
          <w:lang w:val="en-US" w:eastAsia="zh-CN"/>
        </w:rPr>
        <w:t xml:space="preserve">                        </w:t>
      </w:r>
    </w:p>
    <w:p w14:paraId="6CE72890">
      <w:pPr>
        <w:keepNext w:val="0"/>
        <w:keepLines w:val="0"/>
        <w:pageBreakBefore w:val="0"/>
        <w:widowControl w:val="0"/>
        <w:kinsoku/>
        <w:wordWrap/>
        <w:overflowPunct/>
        <w:topLinePunct w:val="0"/>
        <w:autoSpaceDE w:val="0"/>
        <w:autoSpaceDN w:val="0"/>
        <w:bidi w:val="0"/>
        <w:adjustRightInd/>
        <w:snapToGrid/>
        <w:spacing w:line="500" w:lineRule="exact"/>
        <w:ind w:firstLine="4320" w:firstLineChars="1800"/>
        <w:jc w:val="both"/>
        <w:textAlignment w:val="auto"/>
        <w:rPr>
          <w:rFonts w:hint="eastAsia" w:asciiTheme="minorEastAsia" w:hAnsiTheme="minorEastAsia" w:eastAsiaTheme="minorEastAsia"/>
          <w:b/>
          <w:bCs/>
          <w:color w:val="auto"/>
          <w:kern w:val="0"/>
          <w:sz w:val="32"/>
          <w:szCs w:val="32"/>
        </w:rPr>
      </w:pPr>
      <w:r>
        <w:rPr>
          <w:rFonts w:hint="eastAsia" w:ascii="宋体" w:hAnsi="宋体" w:eastAsia="宋体" w:cs="宋体"/>
          <w:color w:val="auto"/>
          <w:sz w:val="24"/>
          <w:szCs w:val="24"/>
          <w:u w:val="none"/>
          <w:lang w:val="en-US" w:eastAsia="zh-CN"/>
        </w:rPr>
        <w:t>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w:t>
      </w:r>
    </w:p>
    <w:p w14:paraId="3EB534E8">
      <w:pPr>
        <w:widowControl/>
        <w:jc w:val="center"/>
        <w:outlineLvl w:val="0"/>
        <w:rPr>
          <w:rFonts w:hint="eastAsia" w:asciiTheme="minorEastAsia" w:hAnsiTheme="minorEastAsia" w:eastAsiaTheme="minorEastAsia"/>
          <w:b/>
          <w:bCs/>
          <w:color w:val="auto"/>
          <w:kern w:val="0"/>
          <w:sz w:val="32"/>
          <w:szCs w:val="32"/>
          <w:lang w:val="en-US" w:eastAsia="zh-CN"/>
        </w:rPr>
      </w:pPr>
    </w:p>
    <w:p w14:paraId="6522B69C">
      <w:pPr>
        <w:rPr>
          <w:rFonts w:hint="eastAsia" w:eastAsia="宋体"/>
          <w:color w:val="auto"/>
          <w:sz w:val="28"/>
          <w:szCs w:val="20"/>
          <w:highlight w:val="none"/>
          <w:lang w:val="en-US" w:eastAsia="zh-CN"/>
        </w:rPr>
      </w:pPr>
      <w:r>
        <w:rPr>
          <w:rFonts w:hint="eastAsia" w:eastAsia="宋体"/>
          <w:color w:val="auto"/>
          <w:sz w:val="28"/>
          <w:szCs w:val="20"/>
          <w:highlight w:val="none"/>
          <w:lang w:val="en-US" w:eastAsia="zh-CN"/>
        </w:rPr>
        <w:br w:type="page"/>
      </w:r>
    </w:p>
    <w:p w14:paraId="0C5C040C">
      <w:pPr>
        <w:keepNext w:val="0"/>
        <w:keepLines w:val="0"/>
        <w:pageBreakBefore w:val="0"/>
        <w:kinsoku/>
        <w:overflowPunct/>
        <w:topLinePunct w:val="0"/>
        <w:bidi w:val="0"/>
        <w:spacing w:beforeAutospacing="0" w:afterAutospacing="0" w:line="560" w:lineRule="exact"/>
        <w:jc w:val="center"/>
        <w:outlineLvl w:val="0"/>
        <w:rPr>
          <w:rFonts w:hint="eastAsia" w:eastAsia="宋体"/>
          <w:color w:val="auto"/>
          <w:sz w:val="28"/>
          <w:szCs w:val="20"/>
          <w:highlight w:val="none"/>
          <w:lang w:val="en-US" w:eastAsia="zh-CN"/>
        </w:rPr>
      </w:pPr>
      <w:r>
        <w:rPr>
          <w:rFonts w:hint="eastAsia" w:eastAsia="宋体"/>
          <w:color w:val="auto"/>
          <w:sz w:val="28"/>
          <w:szCs w:val="20"/>
          <w:highlight w:val="none"/>
          <w:lang w:val="en-US" w:eastAsia="zh-CN"/>
        </w:rPr>
        <w:t>五、磋商承诺函</w:t>
      </w:r>
    </w:p>
    <w:p w14:paraId="795816E7">
      <w:pPr>
        <w:widowControl/>
        <w:jc w:val="center"/>
        <w:rPr>
          <w:rFonts w:asciiTheme="minorEastAsia" w:hAnsiTheme="minorEastAsia" w:eastAsiaTheme="minorEastAsia"/>
          <w:color w:val="auto"/>
          <w:kern w:val="0"/>
          <w:sz w:val="20"/>
        </w:rPr>
      </w:pPr>
    </w:p>
    <w:p w14:paraId="34F93121">
      <w:pPr>
        <w:keepNext w:val="0"/>
        <w:keepLines w:val="0"/>
        <w:pageBreakBefore w:val="0"/>
        <w:kinsoku/>
        <w:wordWrap/>
        <w:overflowPunct/>
        <w:topLinePunct w:val="0"/>
        <w:autoSpaceDE w:val="0"/>
        <w:autoSpaceDN w:val="0"/>
        <w:bidi w:val="0"/>
        <w:snapToGrid/>
        <w:spacing w:line="600" w:lineRule="exact"/>
        <w:jc w:val="left"/>
        <w:textAlignment w:val="auto"/>
        <w:rPr>
          <w:rFonts w:ascii="宋体" w:hAnsi="宋体"/>
          <w:b w:val="0"/>
          <w:bCs w:val="0"/>
          <w:color w:val="auto"/>
          <w:sz w:val="24"/>
          <w:szCs w:val="24"/>
        </w:rPr>
      </w:pPr>
      <w:bookmarkStart w:id="215" w:name="_Toc9510"/>
      <w:r>
        <w:rPr>
          <w:rFonts w:hint="eastAsia" w:ascii="宋体" w:hAnsi="宋体"/>
          <w:b w:val="0"/>
          <w:bCs w:val="0"/>
          <w:color w:val="auto"/>
          <w:sz w:val="24"/>
          <w:szCs w:val="24"/>
        </w:rPr>
        <w:t>致：</w:t>
      </w:r>
      <w:r>
        <w:rPr>
          <w:rFonts w:hint="eastAsia" w:ascii="宋体" w:hAnsi="宋体"/>
          <w:b w:val="0"/>
          <w:bCs w:val="0"/>
          <w:color w:val="auto"/>
          <w:sz w:val="24"/>
          <w:szCs w:val="24"/>
          <w:u w:val="single"/>
          <w:lang w:val="en-US" w:eastAsia="zh-CN"/>
        </w:rPr>
        <w:t xml:space="preserve">           </w:t>
      </w:r>
      <w:r>
        <w:rPr>
          <w:rFonts w:hint="eastAsia" w:ascii="宋体" w:hAnsi="宋体"/>
          <w:b w:val="0"/>
          <w:bCs w:val="0"/>
          <w:color w:val="auto"/>
          <w:sz w:val="24"/>
          <w:szCs w:val="24"/>
        </w:rPr>
        <w:t>（采购人）</w:t>
      </w:r>
    </w:p>
    <w:p w14:paraId="5CE58BF7">
      <w:pPr>
        <w:pStyle w:val="33"/>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Ansi="宋体"/>
          <w:color w:val="auto"/>
          <w:sz w:val="24"/>
          <w:szCs w:val="24"/>
        </w:rPr>
      </w:pPr>
      <w:r>
        <w:rPr>
          <w:rFonts w:hint="eastAsia" w:hAnsi="宋体"/>
          <w:color w:val="auto"/>
          <w:sz w:val="24"/>
          <w:szCs w:val="24"/>
        </w:rPr>
        <w:t>我方已充分了解了</w:t>
      </w:r>
      <w:r>
        <w:rPr>
          <w:rFonts w:hint="eastAsia" w:ascii="宋体" w:hAnsi="宋体"/>
          <w:b w:val="0"/>
          <w:bCs w:val="0"/>
          <w:color w:val="auto"/>
          <w:sz w:val="24"/>
          <w:szCs w:val="24"/>
          <w:u w:val="single"/>
          <w:lang w:val="en-US" w:eastAsia="zh-CN"/>
        </w:rPr>
        <w:t xml:space="preserve">          </w:t>
      </w:r>
      <w:r>
        <w:rPr>
          <w:rFonts w:hint="eastAsia" w:hAnsi="宋体"/>
          <w:color w:val="auto"/>
          <w:sz w:val="24"/>
          <w:szCs w:val="24"/>
        </w:rPr>
        <w:t>（项目名称）</w:t>
      </w:r>
      <w:r>
        <w:rPr>
          <w:rFonts w:hint="eastAsia" w:ascii="宋体" w:hAnsi="宋体"/>
          <w:b w:val="0"/>
          <w:bCs w:val="0"/>
          <w:color w:val="auto"/>
          <w:sz w:val="24"/>
          <w:szCs w:val="24"/>
          <w:u w:val="single"/>
          <w:lang w:val="en-US" w:eastAsia="zh-CN"/>
        </w:rPr>
        <w:t xml:space="preserve">              </w:t>
      </w:r>
      <w:r>
        <w:rPr>
          <w:rFonts w:hint="eastAsia" w:hAnsi="宋体"/>
          <w:color w:val="auto"/>
          <w:sz w:val="24"/>
          <w:szCs w:val="24"/>
        </w:rPr>
        <w:t>（项目编号）的</w:t>
      </w:r>
      <w:r>
        <w:rPr>
          <w:rFonts w:hint="eastAsia" w:hAnsi="宋体"/>
          <w:color w:val="auto"/>
          <w:sz w:val="24"/>
          <w:szCs w:val="24"/>
          <w:lang w:eastAsia="zh-CN"/>
        </w:rPr>
        <w:t>磋商</w:t>
      </w:r>
      <w:r>
        <w:rPr>
          <w:rFonts w:hint="eastAsia" w:hAnsi="宋体"/>
          <w:color w:val="auto"/>
          <w:sz w:val="24"/>
          <w:szCs w:val="24"/>
        </w:rPr>
        <w:t>文件，愿意遵照本项目</w:t>
      </w:r>
      <w:r>
        <w:rPr>
          <w:rFonts w:hint="eastAsia" w:hAnsi="宋体"/>
          <w:color w:val="auto"/>
          <w:sz w:val="24"/>
          <w:szCs w:val="24"/>
          <w:lang w:eastAsia="zh-CN"/>
        </w:rPr>
        <w:t>磋商</w:t>
      </w:r>
      <w:r>
        <w:rPr>
          <w:rFonts w:hint="eastAsia" w:hAnsi="宋体"/>
          <w:color w:val="auto"/>
          <w:sz w:val="24"/>
          <w:szCs w:val="24"/>
        </w:rPr>
        <w:t>文件、《中华人民共和国政府采购法》等有关规定参与</w:t>
      </w:r>
      <w:r>
        <w:rPr>
          <w:rFonts w:hint="eastAsia" w:hAnsi="宋体"/>
          <w:color w:val="auto"/>
          <w:sz w:val="24"/>
          <w:szCs w:val="24"/>
          <w:lang w:eastAsia="zh-CN"/>
        </w:rPr>
        <w:t>磋商</w:t>
      </w:r>
      <w:r>
        <w:rPr>
          <w:rFonts w:hint="eastAsia" w:hAnsi="宋体"/>
          <w:color w:val="auto"/>
          <w:sz w:val="24"/>
          <w:szCs w:val="24"/>
        </w:rPr>
        <w:t>，并承诺如下：</w:t>
      </w:r>
    </w:p>
    <w:p w14:paraId="509B8AE6">
      <w:pPr>
        <w:pStyle w:val="33"/>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Ansi="宋体"/>
          <w:color w:val="auto"/>
          <w:sz w:val="24"/>
          <w:szCs w:val="24"/>
        </w:rPr>
      </w:pPr>
      <w:r>
        <w:rPr>
          <w:rFonts w:hint="eastAsia" w:hAnsi="宋体"/>
          <w:color w:val="auto"/>
          <w:sz w:val="24"/>
          <w:szCs w:val="24"/>
        </w:rPr>
        <w:t>1、我方承诺将严格按照“公开、公平、公正和诚实信用原则”参与本项目竞标活动。</w:t>
      </w:r>
    </w:p>
    <w:p w14:paraId="62CDE093">
      <w:pPr>
        <w:pStyle w:val="33"/>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Ansi="宋体"/>
          <w:color w:val="auto"/>
          <w:sz w:val="24"/>
          <w:szCs w:val="24"/>
        </w:rPr>
      </w:pPr>
      <w:r>
        <w:rPr>
          <w:rFonts w:hint="eastAsia" w:hAnsi="宋体"/>
          <w:color w:val="auto"/>
          <w:sz w:val="24"/>
          <w:szCs w:val="24"/>
        </w:rPr>
        <w:t>2、我方承诺在投标有效期内不撤销</w:t>
      </w:r>
      <w:r>
        <w:rPr>
          <w:rFonts w:hint="eastAsia" w:hAnsi="宋体"/>
          <w:color w:val="auto"/>
          <w:sz w:val="24"/>
          <w:szCs w:val="24"/>
          <w:lang w:val="en-US" w:eastAsia="zh-CN"/>
        </w:rPr>
        <w:t>投标</w:t>
      </w:r>
      <w:r>
        <w:rPr>
          <w:rFonts w:hint="eastAsia" w:hAnsi="宋体"/>
          <w:color w:val="auto"/>
          <w:sz w:val="24"/>
          <w:szCs w:val="24"/>
        </w:rPr>
        <w:t>文件；</w:t>
      </w:r>
    </w:p>
    <w:p w14:paraId="57682777">
      <w:pPr>
        <w:pStyle w:val="33"/>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Ansi="宋体"/>
          <w:color w:val="auto"/>
          <w:sz w:val="24"/>
          <w:szCs w:val="24"/>
        </w:rPr>
      </w:pPr>
      <w:r>
        <w:rPr>
          <w:rFonts w:hint="eastAsia" w:hAnsi="宋体"/>
          <w:color w:val="auto"/>
          <w:sz w:val="24"/>
          <w:szCs w:val="24"/>
        </w:rPr>
        <w:t>3、我方承诺在</w:t>
      </w:r>
      <w:r>
        <w:rPr>
          <w:rFonts w:hint="eastAsia" w:hAnsi="宋体"/>
          <w:color w:val="auto"/>
          <w:sz w:val="24"/>
          <w:szCs w:val="24"/>
          <w:lang w:val="en-US" w:eastAsia="zh-CN"/>
        </w:rPr>
        <w:t>投标</w:t>
      </w:r>
      <w:r>
        <w:rPr>
          <w:rFonts w:hint="eastAsia" w:hAnsi="宋体"/>
          <w:color w:val="auto"/>
          <w:sz w:val="24"/>
          <w:szCs w:val="24"/>
        </w:rPr>
        <w:t>文件及对三门峡市公共资源交易供应商主体信息库中提供的材料真实有效；</w:t>
      </w:r>
    </w:p>
    <w:p w14:paraId="7F28019F">
      <w:pPr>
        <w:pStyle w:val="33"/>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Ansi="宋体"/>
          <w:color w:val="auto"/>
          <w:sz w:val="24"/>
          <w:szCs w:val="24"/>
        </w:rPr>
      </w:pPr>
      <w:r>
        <w:rPr>
          <w:rFonts w:hint="eastAsia" w:hAnsi="宋体"/>
          <w:color w:val="auto"/>
          <w:sz w:val="24"/>
          <w:szCs w:val="24"/>
        </w:rPr>
        <w:t>4、我方承诺绝不与采购人、其他投标供应商或者代理机构恶意串通的投标；</w:t>
      </w:r>
    </w:p>
    <w:p w14:paraId="793BAD4A">
      <w:pPr>
        <w:pStyle w:val="33"/>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Ansi="宋体"/>
          <w:color w:val="auto"/>
          <w:sz w:val="24"/>
          <w:szCs w:val="24"/>
        </w:rPr>
      </w:pPr>
      <w:r>
        <w:rPr>
          <w:rFonts w:hint="eastAsia" w:hAnsi="宋体"/>
          <w:color w:val="auto"/>
          <w:sz w:val="24"/>
          <w:szCs w:val="24"/>
        </w:rPr>
        <w:t>5、我方承诺绝不以他人的名义投标、串通投标、以行贿手段谋取中标或者以其他弄虚作假方式投标；</w:t>
      </w:r>
    </w:p>
    <w:p w14:paraId="05A61C40">
      <w:pPr>
        <w:pStyle w:val="33"/>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Ansi="宋体"/>
          <w:color w:val="auto"/>
          <w:sz w:val="24"/>
          <w:szCs w:val="24"/>
        </w:rPr>
      </w:pPr>
      <w:r>
        <w:rPr>
          <w:rFonts w:hint="eastAsia" w:hAnsi="宋体"/>
          <w:color w:val="auto"/>
          <w:sz w:val="24"/>
          <w:szCs w:val="24"/>
        </w:rPr>
        <w:t>6、我方承诺绝不采取不正当手段谋取中标；</w:t>
      </w:r>
    </w:p>
    <w:p w14:paraId="78E24CB9">
      <w:pPr>
        <w:pStyle w:val="33"/>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Ansi="宋体"/>
          <w:color w:val="auto"/>
          <w:sz w:val="24"/>
          <w:szCs w:val="24"/>
        </w:rPr>
      </w:pPr>
      <w:r>
        <w:rPr>
          <w:rFonts w:hint="eastAsia" w:hAnsi="宋体"/>
          <w:color w:val="auto"/>
          <w:sz w:val="24"/>
          <w:szCs w:val="24"/>
        </w:rPr>
        <w:t>7、如我方中标，我方承诺在收到</w:t>
      </w:r>
      <w:r>
        <w:rPr>
          <w:rFonts w:hint="eastAsia" w:hAnsi="宋体"/>
          <w:color w:val="auto"/>
          <w:sz w:val="24"/>
          <w:szCs w:val="24"/>
          <w:lang w:val="en-US" w:eastAsia="zh-CN"/>
        </w:rPr>
        <w:t>中标</w:t>
      </w:r>
      <w:r>
        <w:rPr>
          <w:rFonts w:hint="eastAsia" w:hAnsi="宋体"/>
          <w:color w:val="auto"/>
          <w:sz w:val="24"/>
          <w:szCs w:val="24"/>
        </w:rPr>
        <w:t>通知书后，在</w:t>
      </w:r>
      <w:r>
        <w:rPr>
          <w:rFonts w:hint="eastAsia" w:hAnsi="宋体"/>
          <w:color w:val="auto"/>
          <w:sz w:val="24"/>
          <w:szCs w:val="24"/>
          <w:lang w:val="en-US" w:eastAsia="zh-CN"/>
        </w:rPr>
        <w:t>中标</w:t>
      </w:r>
      <w:r>
        <w:rPr>
          <w:rFonts w:hint="eastAsia" w:hAnsi="宋体"/>
          <w:color w:val="auto"/>
          <w:sz w:val="24"/>
          <w:szCs w:val="24"/>
        </w:rPr>
        <w:t>通知书规定的期限内，根据招标文件、我方的</w:t>
      </w:r>
      <w:r>
        <w:rPr>
          <w:rFonts w:hint="eastAsia" w:hAnsi="宋体"/>
          <w:color w:val="auto"/>
          <w:sz w:val="24"/>
          <w:szCs w:val="24"/>
          <w:lang w:val="en-US" w:eastAsia="zh-CN"/>
        </w:rPr>
        <w:t>投标</w:t>
      </w:r>
      <w:r>
        <w:rPr>
          <w:rFonts w:hint="eastAsia" w:hAnsi="宋体"/>
          <w:color w:val="auto"/>
          <w:sz w:val="24"/>
          <w:szCs w:val="24"/>
        </w:rPr>
        <w:t>文件及有关澄清承诺书的要求，与采购人订立书面合同，并按照合同约定承担完成合同的责任和义务；</w:t>
      </w:r>
    </w:p>
    <w:p w14:paraId="70D694D7">
      <w:pPr>
        <w:pStyle w:val="33"/>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int="eastAsia" w:hAnsi="宋体"/>
          <w:color w:val="auto"/>
          <w:sz w:val="24"/>
          <w:szCs w:val="24"/>
        </w:rPr>
      </w:pPr>
      <w:r>
        <w:rPr>
          <w:rFonts w:hint="eastAsia" w:hAnsi="宋体"/>
          <w:color w:val="auto"/>
          <w:sz w:val="24"/>
          <w:szCs w:val="24"/>
        </w:rPr>
        <w:t>8、如我方违反此约定，愿意承担对本项目造成的一切经济损失，并同时依法承担相应法律责任。</w:t>
      </w:r>
    </w:p>
    <w:p w14:paraId="23F9642E">
      <w:pPr>
        <w:keepNext w:val="0"/>
        <w:keepLines w:val="0"/>
        <w:pageBreakBefore w:val="0"/>
        <w:kinsoku/>
        <w:wordWrap/>
        <w:overflowPunct/>
        <w:topLinePunct w:val="0"/>
        <w:autoSpaceDE w:val="0"/>
        <w:autoSpaceDN w:val="0"/>
        <w:bidi w:val="0"/>
        <w:snapToGrid/>
        <w:spacing w:line="240" w:lineRule="auto"/>
        <w:jc w:val="right"/>
        <w:textAlignment w:val="auto"/>
        <w:rPr>
          <w:rFonts w:hint="eastAsia" w:ascii="宋体" w:hAnsi="宋体" w:cs="宋体"/>
          <w:color w:val="auto"/>
          <w:sz w:val="24"/>
          <w:szCs w:val="24"/>
        </w:rPr>
      </w:pPr>
    </w:p>
    <w:p w14:paraId="62564559">
      <w:pPr>
        <w:keepNext w:val="0"/>
        <w:keepLines w:val="0"/>
        <w:pageBreakBefore w:val="0"/>
        <w:kinsoku/>
        <w:wordWrap/>
        <w:overflowPunct/>
        <w:topLinePunct w:val="0"/>
        <w:autoSpaceDE w:val="0"/>
        <w:autoSpaceDN w:val="0"/>
        <w:bidi w:val="0"/>
        <w:snapToGrid/>
        <w:spacing w:line="360" w:lineRule="auto"/>
        <w:jc w:val="right"/>
        <w:textAlignment w:val="auto"/>
        <w:rPr>
          <w:rFonts w:ascii="宋体" w:hAnsi="宋体"/>
          <w:color w:val="auto"/>
          <w:sz w:val="24"/>
          <w:szCs w:val="24"/>
        </w:rPr>
      </w:pPr>
      <w:r>
        <w:rPr>
          <w:rFonts w:hint="eastAsia" w:ascii="宋体" w:hAnsi="宋体" w:cs="宋体"/>
          <w:color w:val="auto"/>
          <w:sz w:val="24"/>
          <w:szCs w:val="24"/>
          <w:lang w:eastAsia="zh-CN"/>
        </w:rPr>
        <w:t>磋商供应商</w:t>
      </w:r>
      <w:r>
        <w:rPr>
          <w:rFonts w:hint="eastAsia" w:ascii="宋体" w:hAnsi="宋体" w:cs="宋体"/>
          <w:color w:val="auto"/>
          <w:sz w:val="24"/>
          <w:szCs w:val="24"/>
        </w:rPr>
        <w:t>（联合体牵头人）</w:t>
      </w:r>
      <w:r>
        <w:rPr>
          <w:rFonts w:hint="eastAsia" w:cs="宋体"/>
          <w:color w:val="auto"/>
          <w:sz w:val="24"/>
          <w:szCs w:val="24"/>
          <w:lang w:val="en-US" w:eastAsia="zh-CN"/>
        </w:rPr>
        <w:t>名称</w:t>
      </w:r>
      <w:r>
        <w:rPr>
          <w:rFonts w:hint="eastAsia" w:ascii="宋体" w:hAnsi="宋体" w:cs="宋体"/>
          <w:color w:val="auto"/>
          <w:sz w:val="24"/>
          <w:szCs w:val="24"/>
        </w:rPr>
        <w:t>：</w:t>
      </w:r>
      <w:r>
        <w:rPr>
          <w:rFonts w:hint="eastAsia" w:ascii="宋体" w:hAnsi="宋体"/>
          <w:color w:val="auto"/>
          <w:kern w:val="2"/>
          <w:sz w:val="24"/>
          <w:szCs w:val="24"/>
          <w:u w:val="single"/>
          <w:lang w:val="en-US" w:eastAsia="zh-CN"/>
        </w:rPr>
        <w:t xml:space="preserve">       </w:t>
      </w:r>
      <w:r>
        <w:rPr>
          <w:rFonts w:hint="eastAsia" w:ascii="宋体" w:hAnsi="宋体" w:cs="宋体"/>
          <w:color w:val="auto"/>
          <w:sz w:val="24"/>
          <w:szCs w:val="24"/>
          <w:u w:val="none"/>
        </w:rPr>
        <w:t xml:space="preserve"> （</w:t>
      </w:r>
      <w:r>
        <w:rPr>
          <w:rFonts w:hint="eastAsia" w:ascii="宋体" w:hAnsi="宋体" w:cs="宋体"/>
          <w:color w:val="auto"/>
          <w:sz w:val="24"/>
          <w:szCs w:val="24"/>
          <w:u w:val="none"/>
          <w:lang w:eastAsia="zh-CN"/>
        </w:rPr>
        <w:t>电子</w:t>
      </w:r>
      <w:r>
        <w:rPr>
          <w:rFonts w:hint="eastAsia" w:ascii="宋体" w:hAnsi="宋体" w:cs="宋体"/>
          <w:color w:val="auto"/>
          <w:sz w:val="24"/>
          <w:szCs w:val="24"/>
          <w:u w:val="none"/>
        </w:rPr>
        <w:t xml:space="preserve">签章） </w:t>
      </w:r>
    </w:p>
    <w:p w14:paraId="4190715B">
      <w:pPr>
        <w:pStyle w:val="33"/>
        <w:keepNext w:val="0"/>
        <w:keepLines w:val="0"/>
        <w:pageBreakBefore w:val="0"/>
        <w:kinsoku/>
        <w:wordWrap/>
        <w:overflowPunct/>
        <w:topLinePunct w:val="0"/>
        <w:autoSpaceDE w:val="0"/>
        <w:autoSpaceDN w:val="0"/>
        <w:bidi w:val="0"/>
        <w:snapToGrid/>
        <w:spacing w:line="360" w:lineRule="auto"/>
        <w:ind w:firstLine="564" w:firstLineChars="235"/>
        <w:textAlignment w:val="auto"/>
        <w:rPr>
          <w:rFonts w:ascii="宋体" w:hAnsi="宋体"/>
          <w:bCs/>
          <w:color w:val="auto"/>
          <w:kern w:val="0"/>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法定代表人：</w:t>
      </w:r>
      <w:r>
        <w:rPr>
          <w:rFonts w:hint="eastAsia" w:ascii="宋体" w:hAnsi="宋体"/>
          <w:color w:val="auto"/>
          <w:kern w:val="2"/>
          <w:sz w:val="24"/>
          <w:szCs w:val="24"/>
          <w:u w:val="single"/>
          <w:lang w:val="en-US" w:eastAsia="zh-CN"/>
        </w:rPr>
        <w:t xml:space="preserve">            </w:t>
      </w:r>
      <w:r>
        <w:rPr>
          <w:rFonts w:hint="eastAsia" w:ascii="宋体" w:hAnsi="宋体" w:cs="宋体"/>
          <w:color w:val="auto"/>
          <w:sz w:val="24"/>
          <w:szCs w:val="24"/>
        </w:rPr>
        <w:t>（</w:t>
      </w:r>
      <w:r>
        <w:rPr>
          <w:rFonts w:hint="eastAsia" w:cs="宋体" w:asciiTheme="minorEastAsia" w:hAnsiTheme="minorEastAsia" w:eastAsiaTheme="minorEastAsia"/>
          <w:color w:val="auto"/>
          <w:sz w:val="24"/>
          <w:szCs w:val="24"/>
          <w:highlight w:val="none"/>
          <w:lang w:val="en-GB"/>
        </w:rPr>
        <w:t>签章</w:t>
      </w:r>
      <w:r>
        <w:rPr>
          <w:rFonts w:hint="eastAsia" w:ascii="宋体" w:hAnsi="宋体" w:cs="宋体"/>
          <w:color w:val="auto"/>
          <w:sz w:val="24"/>
          <w:szCs w:val="24"/>
        </w:rPr>
        <w:t>）</w:t>
      </w:r>
      <w:r>
        <w:rPr>
          <w:rFonts w:hint="eastAsia" w:ascii="宋体" w:hAnsi="宋体"/>
          <w:color w:val="auto"/>
          <w:sz w:val="24"/>
          <w:szCs w:val="24"/>
          <w:lang w:val="en-US" w:eastAsia="zh-CN"/>
        </w:rPr>
        <w:t xml:space="preserve"> </w:t>
      </w:r>
    </w:p>
    <w:p w14:paraId="47FDEE2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0"/>
        <w:rPr>
          <w:rFonts w:hint="default" w:ascii="宋体" w:hAnsi="宋体"/>
          <w:bCs/>
          <w:color w:val="auto"/>
          <w:kern w:val="0"/>
          <w:sz w:val="24"/>
          <w:szCs w:val="24"/>
          <w:lang w:val="en-US" w:eastAsia="zh-CN"/>
        </w:rPr>
      </w:pPr>
      <w:r>
        <w:rPr>
          <w:rFonts w:hint="eastAsia" w:ascii="宋体" w:hAnsi="宋体"/>
          <w:bCs/>
          <w:color w:val="auto"/>
          <w:kern w:val="0"/>
          <w:sz w:val="24"/>
          <w:szCs w:val="24"/>
          <w:lang w:val="en-US" w:eastAsia="zh-CN"/>
        </w:rPr>
        <w:t xml:space="preserve">                           </w:t>
      </w:r>
      <w:r>
        <w:rPr>
          <w:rFonts w:hint="eastAsia" w:ascii="宋体" w:hAnsi="宋体"/>
          <w:bCs/>
          <w:color w:val="auto"/>
          <w:kern w:val="0"/>
          <w:sz w:val="24"/>
          <w:szCs w:val="24"/>
        </w:rPr>
        <w:t>日期：</w:t>
      </w:r>
      <w:r>
        <w:rPr>
          <w:rFonts w:hint="eastAsia" w:ascii="宋体" w:hAnsi="宋体"/>
          <w:bCs/>
          <w:color w:val="auto"/>
          <w:kern w:val="0"/>
          <w:sz w:val="24"/>
          <w:szCs w:val="24"/>
          <w:lang w:val="en-US" w:eastAsia="zh-CN"/>
        </w:rPr>
        <w:t xml:space="preserve">  </w:t>
      </w:r>
      <w:r>
        <w:rPr>
          <w:rFonts w:hint="eastAsia" w:ascii="宋体" w:hAnsi="宋体"/>
          <w:bCs/>
          <w:color w:val="auto"/>
          <w:kern w:val="0"/>
          <w:sz w:val="24"/>
          <w:szCs w:val="24"/>
          <w:lang w:eastAsia="zh-CN"/>
        </w:rPr>
        <w:t>年</w:t>
      </w:r>
      <w:r>
        <w:rPr>
          <w:rFonts w:hint="eastAsia" w:ascii="宋体" w:hAnsi="宋体"/>
          <w:bCs/>
          <w:color w:val="auto"/>
          <w:kern w:val="0"/>
          <w:sz w:val="24"/>
          <w:szCs w:val="24"/>
          <w:lang w:val="en-US" w:eastAsia="zh-CN"/>
        </w:rPr>
        <w:t xml:space="preserve">  月  日</w:t>
      </w:r>
    </w:p>
    <w:bookmarkEnd w:id="215"/>
    <w:p w14:paraId="402E4AB4">
      <w:pPr>
        <w:spacing w:line="500" w:lineRule="exact"/>
        <w:ind w:firstLine="4320" w:firstLineChars="1800"/>
        <w:rPr>
          <w:rFonts w:hint="eastAsia" w:ascii="宋体" w:hAnsi="宋体" w:cs="宋体"/>
          <w:color w:val="auto"/>
          <w:sz w:val="24"/>
          <w:szCs w:val="24"/>
          <w:highlight w:val="none"/>
          <w:lang w:val="en-US" w:eastAsia="zh-CN"/>
        </w:rPr>
        <w:sectPr>
          <w:footerReference r:id="rId12" w:type="default"/>
          <w:pgSz w:w="11906" w:h="16838"/>
          <w:pgMar w:top="1361" w:right="1077" w:bottom="1361" w:left="1077" w:header="851" w:footer="964" w:gutter="0"/>
          <w:pgNumType w:fmt="decimal" w:start="1"/>
          <w:cols w:space="720" w:num="1"/>
          <w:docGrid w:type="lines" w:linePitch="312" w:charSpace="0"/>
        </w:sectPr>
      </w:pPr>
    </w:p>
    <w:p w14:paraId="7A30CDBB">
      <w:pPr>
        <w:keepNext w:val="0"/>
        <w:keepLines w:val="0"/>
        <w:pageBreakBefore w:val="0"/>
        <w:kinsoku/>
        <w:overflowPunct/>
        <w:topLinePunct w:val="0"/>
        <w:bidi w:val="0"/>
        <w:spacing w:beforeAutospacing="0" w:afterAutospacing="0" w:line="560" w:lineRule="exact"/>
        <w:jc w:val="center"/>
        <w:outlineLvl w:val="0"/>
        <w:rPr>
          <w:rFonts w:hint="eastAsia" w:eastAsia="宋体"/>
          <w:color w:val="auto"/>
          <w:sz w:val="28"/>
          <w:szCs w:val="20"/>
          <w:highlight w:val="none"/>
          <w:lang w:val="en-US" w:eastAsia="zh-CN"/>
        </w:rPr>
      </w:pPr>
      <w:r>
        <w:rPr>
          <w:rFonts w:hint="eastAsia" w:eastAsia="宋体"/>
          <w:color w:val="auto"/>
          <w:sz w:val="28"/>
          <w:szCs w:val="20"/>
          <w:highlight w:val="none"/>
          <w:lang w:val="en-US" w:eastAsia="zh-CN"/>
        </w:rPr>
        <w:t>六、资格审查资料</w:t>
      </w:r>
    </w:p>
    <w:p w14:paraId="6AE75670">
      <w:pPr>
        <w:keepNext w:val="0"/>
        <w:keepLines w:val="0"/>
        <w:pageBreakBefore w:val="0"/>
        <w:kinsoku/>
        <w:overflowPunct/>
        <w:topLinePunct w:val="0"/>
        <w:bidi w:val="0"/>
        <w:spacing w:beforeAutospacing="0" w:afterAutospacing="0" w:line="560" w:lineRule="exact"/>
        <w:jc w:val="center"/>
        <w:outlineLvl w:val="0"/>
        <w:rPr>
          <w:rFonts w:hint="eastAsia" w:eastAsia="宋体"/>
          <w:color w:val="auto"/>
          <w:sz w:val="28"/>
          <w:szCs w:val="20"/>
          <w:highlight w:val="none"/>
          <w:lang w:val="en-US"/>
        </w:rPr>
      </w:pPr>
      <w:r>
        <w:rPr>
          <w:rFonts w:hint="eastAsia" w:eastAsia="宋体"/>
          <w:color w:val="auto"/>
          <w:sz w:val="28"/>
          <w:szCs w:val="20"/>
          <w:highlight w:val="none"/>
          <w:lang w:val="en-US"/>
        </w:rPr>
        <w:t>（一）基本情况表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1131"/>
        <w:gridCol w:w="976"/>
        <w:gridCol w:w="927"/>
        <w:gridCol w:w="1213"/>
        <w:gridCol w:w="233"/>
        <w:gridCol w:w="1578"/>
      </w:tblGrid>
      <w:tr w14:paraId="4AF2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center"/>
          </w:tcPr>
          <w:p w14:paraId="605D06F1">
            <w:pPr>
              <w:wordWrap w:val="0"/>
              <w:spacing w:line="360" w:lineRule="auto"/>
              <w:jc w:val="center"/>
              <w:rPr>
                <w:rFonts w:hint="eastAsia"/>
                <w:color w:val="auto"/>
                <w:sz w:val="24"/>
              </w:rPr>
            </w:pPr>
            <w:r>
              <w:rPr>
                <w:rFonts w:hint="eastAsia"/>
                <w:color w:val="auto"/>
                <w:sz w:val="24"/>
                <w:lang w:val="en-US" w:eastAsia="zh-CN"/>
              </w:rPr>
              <w:t>供应商</w:t>
            </w:r>
            <w:r>
              <w:rPr>
                <w:rFonts w:hint="eastAsia"/>
                <w:color w:val="auto"/>
                <w:sz w:val="24"/>
              </w:rPr>
              <w:t>名称</w:t>
            </w:r>
          </w:p>
        </w:tc>
        <w:tc>
          <w:tcPr>
            <w:tcW w:w="6058" w:type="dxa"/>
            <w:gridSpan w:val="6"/>
            <w:tcBorders>
              <w:top w:val="single" w:color="auto" w:sz="4" w:space="0"/>
              <w:left w:val="single" w:color="auto" w:sz="4" w:space="0"/>
              <w:bottom w:val="single" w:color="auto" w:sz="4" w:space="0"/>
              <w:right w:val="single" w:color="auto" w:sz="4" w:space="0"/>
            </w:tcBorders>
            <w:noWrap w:val="0"/>
            <w:vAlign w:val="center"/>
          </w:tcPr>
          <w:p w14:paraId="7A4F91FA">
            <w:pPr>
              <w:wordWrap w:val="0"/>
              <w:spacing w:line="360" w:lineRule="auto"/>
              <w:jc w:val="center"/>
              <w:rPr>
                <w:rFonts w:hint="eastAsia"/>
                <w:color w:val="auto"/>
                <w:sz w:val="24"/>
              </w:rPr>
            </w:pPr>
          </w:p>
        </w:tc>
      </w:tr>
      <w:tr w14:paraId="7B4A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center"/>
          </w:tcPr>
          <w:p w14:paraId="7713209D">
            <w:pPr>
              <w:wordWrap w:val="0"/>
              <w:spacing w:line="360" w:lineRule="auto"/>
              <w:jc w:val="center"/>
              <w:rPr>
                <w:rFonts w:hint="eastAsia"/>
                <w:color w:val="auto"/>
                <w:sz w:val="24"/>
              </w:rPr>
            </w:pPr>
            <w:r>
              <w:rPr>
                <w:rFonts w:hint="eastAsia"/>
                <w:color w:val="auto"/>
                <w:sz w:val="24"/>
              </w:rPr>
              <w:t>注册地址</w:t>
            </w:r>
          </w:p>
        </w:tc>
        <w:tc>
          <w:tcPr>
            <w:tcW w:w="3034" w:type="dxa"/>
            <w:gridSpan w:val="3"/>
            <w:tcBorders>
              <w:top w:val="single" w:color="auto" w:sz="4" w:space="0"/>
              <w:left w:val="single" w:color="auto" w:sz="4" w:space="0"/>
              <w:bottom w:val="single" w:color="auto" w:sz="4" w:space="0"/>
              <w:right w:val="single" w:color="auto" w:sz="4" w:space="0"/>
            </w:tcBorders>
            <w:noWrap w:val="0"/>
            <w:vAlign w:val="center"/>
          </w:tcPr>
          <w:p w14:paraId="35742788">
            <w:pPr>
              <w:wordWrap w:val="0"/>
              <w:spacing w:line="360" w:lineRule="auto"/>
              <w:jc w:val="center"/>
              <w:rPr>
                <w:rFonts w:hint="eastAsia"/>
                <w:color w:val="auto"/>
                <w:sz w:val="24"/>
              </w:rPr>
            </w:pP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14:paraId="63CDB672">
            <w:pPr>
              <w:wordWrap w:val="0"/>
              <w:spacing w:line="360" w:lineRule="auto"/>
              <w:jc w:val="center"/>
              <w:rPr>
                <w:rFonts w:hint="eastAsia"/>
                <w:color w:val="auto"/>
                <w:sz w:val="24"/>
              </w:rPr>
            </w:pPr>
            <w:r>
              <w:rPr>
                <w:rFonts w:hint="eastAsia"/>
                <w:color w:val="auto"/>
                <w:sz w:val="24"/>
              </w:rPr>
              <w:t>邮政编码</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73CCC6CA">
            <w:pPr>
              <w:wordWrap w:val="0"/>
              <w:spacing w:line="360" w:lineRule="auto"/>
              <w:jc w:val="center"/>
              <w:rPr>
                <w:rFonts w:hint="eastAsia"/>
                <w:color w:val="auto"/>
                <w:sz w:val="24"/>
              </w:rPr>
            </w:pPr>
          </w:p>
        </w:tc>
      </w:tr>
      <w:tr w14:paraId="47B9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301" w:type="dxa"/>
            <w:vMerge w:val="restart"/>
            <w:tcBorders>
              <w:top w:val="single" w:color="auto" w:sz="4" w:space="0"/>
              <w:left w:val="single" w:color="auto" w:sz="4" w:space="0"/>
              <w:bottom w:val="single" w:color="auto" w:sz="4" w:space="0"/>
              <w:right w:val="single" w:color="auto" w:sz="4" w:space="0"/>
            </w:tcBorders>
            <w:noWrap w:val="0"/>
            <w:vAlign w:val="center"/>
          </w:tcPr>
          <w:p w14:paraId="0B07350B">
            <w:pPr>
              <w:wordWrap w:val="0"/>
              <w:spacing w:line="360" w:lineRule="auto"/>
              <w:jc w:val="center"/>
              <w:rPr>
                <w:rFonts w:hint="eastAsia"/>
                <w:color w:val="auto"/>
                <w:sz w:val="24"/>
              </w:rPr>
            </w:pPr>
            <w:r>
              <w:rPr>
                <w:rFonts w:hint="eastAsia"/>
                <w:color w:val="auto"/>
                <w:sz w:val="24"/>
              </w:rPr>
              <w:t>联系方式</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B6A8AEC">
            <w:pPr>
              <w:wordWrap w:val="0"/>
              <w:spacing w:line="360" w:lineRule="auto"/>
              <w:jc w:val="center"/>
              <w:rPr>
                <w:rFonts w:hint="eastAsia"/>
                <w:color w:val="auto"/>
                <w:sz w:val="24"/>
              </w:rPr>
            </w:pPr>
            <w:r>
              <w:rPr>
                <w:rFonts w:hint="eastAsia"/>
                <w:color w:val="auto"/>
                <w:sz w:val="24"/>
              </w:rPr>
              <w:t>联系人</w:t>
            </w:r>
          </w:p>
        </w:tc>
        <w:tc>
          <w:tcPr>
            <w:tcW w:w="1903" w:type="dxa"/>
            <w:gridSpan w:val="2"/>
            <w:tcBorders>
              <w:top w:val="single" w:color="auto" w:sz="4" w:space="0"/>
              <w:left w:val="single" w:color="auto" w:sz="4" w:space="0"/>
              <w:bottom w:val="single" w:color="auto" w:sz="4" w:space="0"/>
              <w:right w:val="single" w:color="auto" w:sz="4" w:space="0"/>
            </w:tcBorders>
            <w:noWrap w:val="0"/>
            <w:vAlign w:val="center"/>
          </w:tcPr>
          <w:p w14:paraId="3EF442C7">
            <w:pPr>
              <w:wordWrap w:val="0"/>
              <w:spacing w:line="360" w:lineRule="auto"/>
              <w:jc w:val="both"/>
              <w:rPr>
                <w:rFonts w:hint="eastAsia"/>
                <w:color w:val="auto"/>
                <w:sz w:val="24"/>
              </w:rPr>
            </w:pP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14:paraId="35EB2F60">
            <w:pPr>
              <w:wordWrap w:val="0"/>
              <w:spacing w:line="360" w:lineRule="auto"/>
              <w:jc w:val="center"/>
              <w:rPr>
                <w:rFonts w:hint="eastAsia"/>
                <w:color w:val="auto"/>
                <w:sz w:val="24"/>
              </w:rPr>
            </w:pPr>
            <w:r>
              <w:rPr>
                <w:rFonts w:hint="eastAsia"/>
                <w:color w:val="auto"/>
                <w:sz w:val="24"/>
              </w:rPr>
              <w:t>电话</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2A0340EF">
            <w:pPr>
              <w:wordWrap w:val="0"/>
              <w:spacing w:line="360" w:lineRule="auto"/>
              <w:jc w:val="center"/>
              <w:rPr>
                <w:rFonts w:hint="eastAsia"/>
                <w:color w:val="auto"/>
                <w:sz w:val="24"/>
              </w:rPr>
            </w:pPr>
          </w:p>
        </w:tc>
      </w:tr>
      <w:tr w14:paraId="3D63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01" w:type="dxa"/>
            <w:vMerge w:val="continue"/>
            <w:tcBorders>
              <w:top w:val="single" w:color="auto" w:sz="4" w:space="0"/>
              <w:left w:val="single" w:color="auto" w:sz="4" w:space="0"/>
              <w:bottom w:val="single" w:color="auto" w:sz="4" w:space="0"/>
              <w:right w:val="single" w:color="auto" w:sz="4" w:space="0"/>
            </w:tcBorders>
            <w:noWrap w:val="0"/>
            <w:vAlign w:val="center"/>
          </w:tcPr>
          <w:p w14:paraId="50D8CFF7">
            <w:pPr>
              <w:jc w:val="center"/>
              <w:rPr>
                <w:rFonts w:hint="eastAsia"/>
                <w:color w:val="auto"/>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B20BE72">
            <w:pPr>
              <w:wordWrap w:val="0"/>
              <w:spacing w:line="360" w:lineRule="auto"/>
              <w:jc w:val="center"/>
              <w:rPr>
                <w:rFonts w:hint="eastAsia"/>
                <w:color w:val="auto"/>
                <w:sz w:val="24"/>
              </w:rPr>
            </w:pPr>
            <w:r>
              <w:rPr>
                <w:rFonts w:hint="eastAsia"/>
                <w:color w:val="auto"/>
                <w:sz w:val="24"/>
              </w:rPr>
              <w:t>传真</w:t>
            </w:r>
          </w:p>
        </w:tc>
        <w:tc>
          <w:tcPr>
            <w:tcW w:w="1903" w:type="dxa"/>
            <w:gridSpan w:val="2"/>
            <w:tcBorders>
              <w:top w:val="single" w:color="auto" w:sz="4" w:space="0"/>
              <w:left w:val="single" w:color="auto" w:sz="4" w:space="0"/>
              <w:bottom w:val="single" w:color="auto" w:sz="4" w:space="0"/>
              <w:right w:val="single" w:color="auto" w:sz="4" w:space="0"/>
            </w:tcBorders>
            <w:noWrap w:val="0"/>
            <w:vAlign w:val="center"/>
          </w:tcPr>
          <w:p w14:paraId="390B269E">
            <w:pPr>
              <w:wordWrap w:val="0"/>
              <w:spacing w:line="360" w:lineRule="auto"/>
              <w:jc w:val="both"/>
              <w:rPr>
                <w:rFonts w:hint="eastAsia"/>
                <w:color w:val="auto"/>
                <w:sz w:val="24"/>
              </w:rPr>
            </w:pP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14:paraId="6CFFB5F7">
            <w:pPr>
              <w:wordWrap w:val="0"/>
              <w:spacing w:line="360" w:lineRule="auto"/>
              <w:jc w:val="center"/>
              <w:rPr>
                <w:rFonts w:hint="eastAsia"/>
                <w:color w:val="auto"/>
                <w:sz w:val="24"/>
              </w:rPr>
            </w:pPr>
            <w:r>
              <w:rPr>
                <w:rFonts w:hint="eastAsia"/>
                <w:color w:val="auto"/>
                <w:sz w:val="24"/>
              </w:rPr>
              <w:t>网址</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325DEF1B">
            <w:pPr>
              <w:wordWrap w:val="0"/>
              <w:spacing w:line="360" w:lineRule="auto"/>
              <w:jc w:val="center"/>
              <w:rPr>
                <w:rFonts w:hint="eastAsia"/>
                <w:color w:val="auto"/>
                <w:sz w:val="24"/>
              </w:rPr>
            </w:pPr>
          </w:p>
        </w:tc>
      </w:tr>
      <w:tr w14:paraId="4C54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center"/>
          </w:tcPr>
          <w:p w14:paraId="4B6E1819">
            <w:pPr>
              <w:wordWrap w:val="0"/>
              <w:spacing w:line="360" w:lineRule="auto"/>
              <w:jc w:val="center"/>
              <w:rPr>
                <w:rFonts w:hint="eastAsia"/>
                <w:color w:val="auto"/>
                <w:sz w:val="24"/>
              </w:rPr>
            </w:pPr>
            <w:r>
              <w:rPr>
                <w:rFonts w:hint="eastAsia"/>
                <w:color w:val="auto"/>
                <w:sz w:val="24"/>
              </w:rPr>
              <w:t>组织结构</w:t>
            </w:r>
          </w:p>
        </w:tc>
        <w:tc>
          <w:tcPr>
            <w:tcW w:w="6058" w:type="dxa"/>
            <w:gridSpan w:val="6"/>
            <w:tcBorders>
              <w:top w:val="single" w:color="auto" w:sz="4" w:space="0"/>
              <w:left w:val="single" w:color="auto" w:sz="4" w:space="0"/>
              <w:bottom w:val="single" w:color="auto" w:sz="4" w:space="0"/>
              <w:right w:val="single" w:color="auto" w:sz="4" w:space="0"/>
            </w:tcBorders>
            <w:noWrap w:val="0"/>
            <w:vAlign w:val="center"/>
          </w:tcPr>
          <w:p w14:paraId="19523141">
            <w:pPr>
              <w:tabs>
                <w:tab w:val="left" w:pos="4776"/>
              </w:tabs>
              <w:wordWrap w:val="0"/>
              <w:spacing w:line="360" w:lineRule="auto"/>
              <w:jc w:val="center"/>
              <w:rPr>
                <w:rFonts w:hint="eastAsia"/>
                <w:color w:val="auto"/>
                <w:sz w:val="24"/>
              </w:rPr>
            </w:pPr>
          </w:p>
        </w:tc>
      </w:tr>
      <w:tr w14:paraId="1113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bottom"/>
          </w:tcPr>
          <w:p w14:paraId="06EA98AC">
            <w:pPr>
              <w:wordWrap w:val="0"/>
              <w:spacing w:line="360" w:lineRule="auto"/>
              <w:jc w:val="center"/>
              <w:rPr>
                <w:rFonts w:hint="eastAsia"/>
                <w:color w:val="auto"/>
                <w:sz w:val="24"/>
              </w:rPr>
            </w:pPr>
            <w:r>
              <w:rPr>
                <w:rFonts w:hint="eastAsia"/>
                <w:color w:val="auto"/>
                <w:sz w:val="24"/>
              </w:rPr>
              <w:t>法定代表人</w:t>
            </w:r>
          </w:p>
        </w:tc>
        <w:tc>
          <w:tcPr>
            <w:tcW w:w="1131" w:type="dxa"/>
            <w:tcBorders>
              <w:top w:val="single" w:color="auto" w:sz="4" w:space="0"/>
              <w:left w:val="single" w:color="auto" w:sz="4" w:space="0"/>
              <w:bottom w:val="single" w:color="auto" w:sz="4" w:space="0"/>
              <w:right w:val="single" w:color="auto" w:sz="4" w:space="0"/>
            </w:tcBorders>
            <w:noWrap w:val="0"/>
            <w:vAlign w:val="bottom"/>
          </w:tcPr>
          <w:p w14:paraId="6FE8A792">
            <w:pPr>
              <w:wordWrap w:val="0"/>
              <w:spacing w:line="360" w:lineRule="auto"/>
              <w:jc w:val="center"/>
              <w:rPr>
                <w:rFonts w:hint="eastAsia"/>
                <w:color w:val="auto"/>
                <w:sz w:val="24"/>
              </w:rPr>
            </w:pPr>
            <w:r>
              <w:rPr>
                <w:rFonts w:hint="eastAsia"/>
                <w:color w:val="auto"/>
                <w:sz w:val="24"/>
              </w:rPr>
              <w:t>姓名</w:t>
            </w:r>
          </w:p>
        </w:tc>
        <w:tc>
          <w:tcPr>
            <w:tcW w:w="1903" w:type="dxa"/>
            <w:gridSpan w:val="2"/>
            <w:tcBorders>
              <w:top w:val="single" w:color="auto" w:sz="4" w:space="0"/>
              <w:left w:val="single" w:color="auto" w:sz="4" w:space="0"/>
              <w:bottom w:val="single" w:color="auto" w:sz="4" w:space="0"/>
              <w:right w:val="single" w:color="auto" w:sz="4" w:space="0"/>
            </w:tcBorders>
            <w:noWrap w:val="0"/>
            <w:vAlign w:val="bottom"/>
          </w:tcPr>
          <w:p w14:paraId="0D70B496">
            <w:pPr>
              <w:wordWrap w:val="0"/>
              <w:spacing w:line="360" w:lineRule="auto"/>
              <w:jc w:val="center"/>
              <w:rPr>
                <w:rFonts w:hint="eastAsia"/>
                <w:color w:val="auto"/>
                <w:sz w:val="24"/>
              </w:rPr>
            </w:pPr>
          </w:p>
        </w:tc>
        <w:tc>
          <w:tcPr>
            <w:tcW w:w="1213" w:type="dxa"/>
            <w:tcBorders>
              <w:top w:val="single" w:color="auto" w:sz="4" w:space="0"/>
              <w:left w:val="single" w:color="auto" w:sz="4" w:space="0"/>
              <w:bottom w:val="single" w:color="auto" w:sz="4" w:space="0"/>
              <w:right w:val="single" w:color="auto" w:sz="4" w:space="0"/>
            </w:tcBorders>
            <w:noWrap w:val="0"/>
            <w:vAlign w:val="bottom"/>
          </w:tcPr>
          <w:p w14:paraId="0FFB4674">
            <w:pPr>
              <w:wordWrap w:val="0"/>
              <w:spacing w:line="360" w:lineRule="auto"/>
              <w:jc w:val="center"/>
              <w:rPr>
                <w:rFonts w:hint="eastAsia"/>
                <w:color w:val="auto"/>
                <w:sz w:val="24"/>
              </w:rPr>
            </w:pPr>
            <w:r>
              <w:rPr>
                <w:rFonts w:hint="eastAsia"/>
                <w:color w:val="auto"/>
                <w:sz w:val="24"/>
              </w:rPr>
              <w:t>电话</w:t>
            </w:r>
          </w:p>
        </w:tc>
        <w:tc>
          <w:tcPr>
            <w:tcW w:w="1811" w:type="dxa"/>
            <w:gridSpan w:val="2"/>
            <w:tcBorders>
              <w:top w:val="single" w:color="auto" w:sz="4" w:space="0"/>
              <w:left w:val="single" w:color="auto" w:sz="4" w:space="0"/>
              <w:bottom w:val="single" w:color="auto" w:sz="4" w:space="0"/>
              <w:right w:val="single" w:color="auto" w:sz="4" w:space="0"/>
            </w:tcBorders>
            <w:noWrap w:val="0"/>
            <w:vAlign w:val="bottom"/>
          </w:tcPr>
          <w:p w14:paraId="00BAA279">
            <w:pPr>
              <w:wordWrap w:val="0"/>
              <w:spacing w:line="360" w:lineRule="auto"/>
              <w:jc w:val="center"/>
              <w:rPr>
                <w:rFonts w:hint="eastAsia"/>
                <w:color w:val="auto"/>
                <w:sz w:val="24"/>
              </w:rPr>
            </w:pPr>
          </w:p>
        </w:tc>
      </w:tr>
      <w:tr w14:paraId="6B21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center"/>
          </w:tcPr>
          <w:p w14:paraId="2A1908DD">
            <w:pPr>
              <w:widowControl/>
              <w:spacing w:line="520" w:lineRule="atLeast"/>
              <w:jc w:val="center"/>
              <w:rPr>
                <w:rFonts w:hint="eastAsia" w:ascii="宋体" w:hAnsi="宋体" w:eastAsia="宋体" w:cs="宋体"/>
                <w:bCs/>
                <w:color w:val="auto"/>
                <w:kern w:val="0"/>
                <w:sz w:val="24"/>
                <w:szCs w:val="22"/>
                <w:lang w:val="zh-CN" w:eastAsia="zh-CN" w:bidi="zh-CN"/>
              </w:rPr>
            </w:pPr>
            <w:r>
              <w:rPr>
                <w:rFonts w:hint="eastAsia" w:cs="宋体"/>
                <w:bCs/>
                <w:color w:val="auto"/>
                <w:kern w:val="0"/>
                <w:sz w:val="24"/>
                <w:lang w:eastAsia="zh-CN"/>
              </w:rPr>
              <w:t>项目</w:t>
            </w:r>
            <w:r>
              <w:rPr>
                <w:rFonts w:hint="eastAsia" w:ascii="宋体" w:hAnsi="宋体" w:eastAsia="宋体" w:cs="宋体"/>
                <w:bCs/>
                <w:color w:val="auto"/>
                <w:kern w:val="0"/>
                <w:sz w:val="24"/>
              </w:rPr>
              <w:t>负责人</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BB2284A">
            <w:pPr>
              <w:widowControl/>
              <w:spacing w:line="520" w:lineRule="atLeast"/>
              <w:jc w:val="center"/>
              <w:rPr>
                <w:rFonts w:hint="eastAsia" w:ascii="宋体" w:hAnsi="宋体" w:eastAsia="宋体" w:cs="宋体"/>
                <w:bCs/>
                <w:color w:val="auto"/>
                <w:kern w:val="0"/>
                <w:sz w:val="24"/>
                <w:szCs w:val="22"/>
                <w:lang w:val="zh-CN" w:eastAsia="zh-CN" w:bidi="zh-CN"/>
              </w:rPr>
            </w:pPr>
            <w:r>
              <w:rPr>
                <w:rFonts w:hint="eastAsia" w:ascii="宋体" w:hAnsi="宋体" w:eastAsia="宋体" w:cs="宋体"/>
                <w:bCs/>
                <w:color w:val="auto"/>
                <w:kern w:val="0"/>
                <w:sz w:val="24"/>
              </w:rPr>
              <w:t>姓名</w:t>
            </w:r>
          </w:p>
        </w:tc>
        <w:tc>
          <w:tcPr>
            <w:tcW w:w="1903" w:type="dxa"/>
            <w:gridSpan w:val="2"/>
            <w:tcBorders>
              <w:top w:val="single" w:color="auto" w:sz="4" w:space="0"/>
              <w:left w:val="single" w:color="auto" w:sz="4" w:space="0"/>
              <w:bottom w:val="single" w:color="auto" w:sz="4" w:space="0"/>
              <w:right w:val="single" w:color="auto" w:sz="4" w:space="0"/>
            </w:tcBorders>
            <w:noWrap w:val="0"/>
            <w:vAlign w:val="center"/>
          </w:tcPr>
          <w:p w14:paraId="36DE62DB">
            <w:pPr>
              <w:widowControl/>
              <w:spacing w:line="520" w:lineRule="atLeast"/>
              <w:jc w:val="center"/>
              <w:rPr>
                <w:rFonts w:hint="eastAsia" w:ascii="宋体" w:hAnsi="宋体" w:eastAsia="宋体" w:cs="宋体"/>
                <w:bCs/>
                <w:color w:val="auto"/>
                <w:kern w:val="0"/>
                <w:sz w:val="24"/>
                <w:szCs w:val="22"/>
                <w:lang w:val="zh-CN" w:eastAsia="zh-CN" w:bidi="zh-CN"/>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D96D1F1">
            <w:pPr>
              <w:widowControl/>
              <w:spacing w:line="520" w:lineRule="atLeast"/>
              <w:jc w:val="center"/>
              <w:rPr>
                <w:rFonts w:hint="eastAsia" w:ascii="宋体" w:hAnsi="宋体" w:eastAsia="宋体" w:cs="宋体"/>
                <w:bCs/>
                <w:color w:val="auto"/>
                <w:kern w:val="0"/>
                <w:sz w:val="24"/>
                <w:szCs w:val="22"/>
                <w:lang w:val="zh-CN" w:eastAsia="zh-CN" w:bidi="zh-CN"/>
              </w:rPr>
            </w:pPr>
            <w:r>
              <w:rPr>
                <w:rFonts w:hint="eastAsia" w:ascii="宋体" w:hAnsi="宋体" w:eastAsia="宋体" w:cs="宋体"/>
                <w:bCs/>
                <w:color w:val="auto"/>
                <w:kern w:val="0"/>
                <w:sz w:val="24"/>
              </w:rPr>
              <w:t>电话</w:t>
            </w:r>
          </w:p>
        </w:tc>
        <w:tc>
          <w:tcPr>
            <w:tcW w:w="1811" w:type="dxa"/>
            <w:gridSpan w:val="2"/>
            <w:tcBorders>
              <w:top w:val="single" w:color="auto" w:sz="4" w:space="0"/>
              <w:left w:val="single" w:color="auto" w:sz="4" w:space="0"/>
              <w:bottom w:val="single" w:color="auto" w:sz="4" w:space="0"/>
              <w:right w:val="single" w:color="auto" w:sz="4" w:space="0"/>
            </w:tcBorders>
            <w:noWrap w:val="0"/>
            <w:vAlign w:val="center"/>
          </w:tcPr>
          <w:p w14:paraId="465854EB">
            <w:pPr>
              <w:wordWrap w:val="0"/>
              <w:spacing w:line="360" w:lineRule="auto"/>
              <w:jc w:val="center"/>
              <w:rPr>
                <w:rFonts w:hint="eastAsia"/>
                <w:color w:val="auto"/>
                <w:sz w:val="24"/>
              </w:rPr>
            </w:pPr>
          </w:p>
        </w:tc>
      </w:tr>
      <w:tr w14:paraId="27CC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bottom"/>
          </w:tcPr>
          <w:p w14:paraId="148FB36D">
            <w:pPr>
              <w:wordWrap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成立时间</w:t>
            </w:r>
          </w:p>
        </w:tc>
        <w:tc>
          <w:tcPr>
            <w:tcW w:w="2107" w:type="dxa"/>
            <w:gridSpan w:val="2"/>
            <w:tcBorders>
              <w:top w:val="single" w:color="auto" w:sz="4" w:space="0"/>
              <w:left w:val="single" w:color="auto" w:sz="4" w:space="0"/>
              <w:bottom w:val="single" w:color="auto" w:sz="4" w:space="0"/>
              <w:right w:val="single" w:color="auto" w:sz="4" w:space="0"/>
            </w:tcBorders>
            <w:noWrap w:val="0"/>
            <w:vAlign w:val="bottom"/>
          </w:tcPr>
          <w:p w14:paraId="19C4F48C">
            <w:pPr>
              <w:wordWrap w:val="0"/>
              <w:spacing w:line="360" w:lineRule="auto"/>
              <w:jc w:val="center"/>
              <w:rPr>
                <w:rFonts w:hint="eastAsia" w:ascii="宋体" w:hAnsi="宋体" w:eastAsia="宋体" w:cs="宋体"/>
                <w:color w:val="auto"/>
                <w:sz w:val="24"/>
              </w:rPr>
            </w:pPr>
          </w:p>
        </w:tc>
        <w:tc>
          <w:tcPr>
            <w:tcW w:w="2140" w:type="dxa"/>
            <w:gridSpan w:val="2"/>
            <w:tcBorders>
              <w:top w:val="single" w:color="auto" w:sz="4" w:space="0"/>
              <w:left w:val="single" w:color="auto" w:sz="4" w:space="0"/>
              <w:bottom w:val="single" w:color="auto" w:sz="4" w:space="0"/>
              <w:right w:val="single" w:color="auto" w:sz="4" w:space="0"/>
            </w:tcBorders>
            <w:noWrap w:val="0"/>
            <w:vAlign w:val="bottom"/>
          </w:tcPr>
          <w:p w14:paraId="74C9E96A">
            <w:pPr>
              <w:wordWrap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员工总人数</w:t>
            </w:r>
          </w:p>
        </w:tc>
        <w:tc>
          <w:tcPr>
            <w:tcW w:w="1811" w:type="dxa"/>
            <w:gridSpan w:val="2"/>
            <w:tcBorders>
              <w:top w:val="single" w:color="auto" w:sz="4" w:space="0"/>
              <w:left w:val="single" w:color="auto" w:sz="4" w:space="0"/>
              <w:bottom w:val="single" w:color="auto" w:sz="4" w:space="0"/>
              <w:right w:val="single" w:color="auto" w:sz="4" w:space="0"/>
            </w:tcBorders>
            <w:noWrap w:val="0"/>
            <w:vAlign w:val="center"/>
          </w:tcPr>
          <w:p w14:paraId="66FD46E9">
            <w:pPr>
              <w:wordWrap w:val="0"/>
              <w:spacing w:line="360" w:lineRule="auto"/>
              <w:rPr>
                <w:rFonts w:hint="eastAsia"/>
                <w:color w:val="auto"/>
                <w:sz w:val="24"/>
              </w:rPr>
            </w:pPr>
          </w:p>
        </w:tc>
      </w:tr>
      <w:tr w14:paraId="23CD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bottom"/>
          </w:tcPr>
          <w:p w14:paraId="45E39ED0">
            <w:pPr>
              <w:wordWrap w:val="0"/>
              <w:spacing w:line="360" w:lineRule="auto"/>
              <w:jc w:val="center"/>
              <w:rPr>
                <w:rFonts w:hint="eastAsia"/>
                <w:color w:val="auto"/>
                <w:sz w:val="24"/>
              </w:rPr>
            </w:pPr>
            <w:r>
              <w:rPr>
                <w:rFonts w:hint="eastAsia" w:ascii="Times New Roman" w:hAnsi="Times New Roman" w:eastAsia="宋体" w:cs="Times New Roman"/>
                <w:color w:val="auto"/>
                <w:sz w:val="24"/>
              </w:rPr>
              <w:t>统一社会信用代码</w:t>
            </w:r>
          </w:p>
        </w:tc>
        <w:tc>
          <w:tcPr>
            <w:tcW w:w="2107" w:type="dxa"/>
            <w:gridSpan w:val="2"/>
            <w:tcBorders>
              <w:top w:val="single" w:color="auto" w:sz="4" w:space="0"/>
              <w:left w:val="single" w:color="auto" w:sz="4" w:space="0"/>
              <w:bottom w:val="single" w:color="auto" w:sz="4" w:space="0"/>
              <w:right w:val="single" w:color="auto" w:sz="4" w:space="0"/>
            </w:tcBorders>
            <w:noWrap w:val="0"/>
            <w:vAlign w:val="bottom"/>
          </w:tcPr>
          <w:p w14:paraId="553FCBB4">
            <w:pPr>
              <w:wordWrap w:val="0"/>
              <w:spacing w:line="360" w:lineRule="auto"/>
              <w:jc w:val="center"/>
              <w:rPr>
                <w:rFonts w:hint="eastAsia"/>
                <w:color w:val="auto"/>
                <w:sz w:val="24"/>
              </w:rPr>
            </w:pPr>
          </w:p>
        </w:tc>
        <w:tc>
          <w:tcPr>
            <w:tcW w:w="2140" w:type="dxa"/>
            <w:gridSpan w:val="2"/>
            <w:tcBorders>
              <w:top w:val="single" w:color="auto" w:sz="4" w:space="0"/>
              <w:left w:val="single" w:color="auto" w:sz="4" w:space="0"/>
              <w:bottom w:val="single" w:color="auto" w:sz="4" w:space="0"/>
              <w:right w:val="single" w:color="auto" w:sz="4" w:space="0"/>
            </w:tcBorders>
            <w:noWrap w:val="0"/>
            <w:vAlign w:val="bottom"/>
          </w:tcPr>
          <w:p w14:paraId="28DBBA18">
            <w:pPr>
              <w:wordWrap w:val="0"/>
              <w:spacing w:line="360" w:lineRule="auto"/>
              <w:jc w:val="center"/>
              <w:rPr>
                <w:rFonts w:hint="eastAsia"/>
                <w:color w:val="auto"/>
                <w:sz w:val="24"/>
              </w:rPr>
            </w:pPr>
            <w:r>
              <w:rPr>
                <w:rFonts w:hint="eastAsia"/>
                <w:color w:val="auto"/>
                <w:sz w:val="24"/>
              </w:rPr>
              <w:t>注册资金</w:t>
            </w:r>
          </w:p>
        </w:tc>
        <w:tc>
          <w:tcPr>
            <w:tcW w:w="1811" w:type="dxa"/>
            <w:gridSpan w:val="2"/>
            <w:tcBorders>
              <w:top w:val="single" w:color="auto" w:sz="4" w:space="0"/>
              <w:left w:val="single" w:color="auto" w:sz="4" w:space="0"/>
              <w:bottom w:val="single" w:color="auto" w:sz="4" w:space="0"/>
              <w:right w:val="single" w:color="auto" w:sz="4" w:space="0"/>
            </w:tcBorders>
            <w:noWrap w:val="0"/>
            <w:vAlign w:val="center"/>
          </w:tcPr>
          <w:p w14:paraId="21BEA3B5">
            <w:pPr>
              <w:wordWrap w:val="0"/>
              <w:spacing w:line="360" w:lineRule="auto"/>
              <w:rPr>
                <w:rFonts w:hint="eastAsia"/>
                <w:color w:val="auto"/>
                <w:sz w:val="24"/>
              </w:rPr>
            </w:pPr>
          </w:p>
        </w:tc>
      </w:tr>
      <w:tr w14:paraId="4BAB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center"/>
          </w:tcPr>
          <w:p w14:paraId="6764F8B9">
            <w:pPr>
              <w:wordWrap w:val="0"/>
              <w:spacing w:line="360" w:lineRule="auto"/>
              <w:jc w:val="center"/>
              <w:rPr>
                <w:rFonts w:hint="eastAsia"/>
                <w:color w:val="auto"/>
                <w:sz w:val="24"/>
              </w:rPr>
            </w:pPr>
            <w:r>
              <w:rPr>
                <w:rFonts w:hint="eastAsia"/>
                <w:color w:val="auto"/>
                <w:sz w:val="24"/>
              </w:rPr>
              <w:t>开户银行</w:t>
            </w:r>
            <w:r>
              <w:rPr>
                <w:rFonts w:hint="eastAsia"/>
                <w:color w:val="auto"/>
                <w:sz w:val="24"/>
                <w:lang w:eastAsia="zh-CN"/>
              </w:rPr>
              <w:t>及户名</w:t>
            </w:r>
          </w:p>
        </w:tc>
        <w:tc>
          <w:tcPr>
            <w:tcW w:w="6058" w:type="dxa"/>
            <w:gridSpan w:val="6"/>
            <w:tcBorders>
              <w:top w:val="single" w:color="auto" w:sz="4" w:space="0"/>
              <w:left w:val="single" w:color="auto" w:sz="4" w:space="0"/>
              <w:bottom w:val="single" w:color="auto" w:sz="4" w:space="0"/>
              <w:right w:val="single" w:color="auto" w:sz="4" w:space="0"/>
            </w:tcBorders>
            <w:noWrap w:val="0"/>
            <w:vAlign w:val="center"/>
          </w:tcPr>
          <w:p w14:paraId="6EA283A0">
            <w:pPr>
              <w:wordWrap w:val="0"/>
              <w:spacing w:line="360" w:lineRule="auto"/>
              <w:rPr>
                <w:rFonts w:hint="eastAsia"/>
                <w:color w:val="auto"/>
                <w:sz w:val="24"/>
              </w:rPr>
            </w:pPr>
          </w:p>
        </w:tc>
      </w:tr>
      <w:tr w14:paraId="0A58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center"/>
          </w:tcPr>
          <w:p w14:paraId="554449FA">
            <w:pPr>
              <w:wordWrap w:val="0"/>
              <w:spacing w:line="360" w:lineRule="auto"/>
              <w:jc w:val="center"/>
              <w:rPr>
                <w:rFonts w:hint="eastAsia"/>
                <w:color w:val="auto"/>
                <w:sz w:val="24"/>
              </w:rPr>
            </w:pPr>
            <w:r>
              <w:rPr>
                <w:rFonts w:hint="eastAsia"/>
                <w:color w:val="auto"/>
                <w:sz w:val="24"/>
              </w:rPr>
              <w:t>账号</w:t>
            </w:r>
          </w:p>
        </w:tc>
        <w:tc>
          <w:tcPr>
            <w:tcW w:w="6058" w:type="dxa"/>
            <w:gridSpan w:val="6"/>
            <w:tcBorders>
              <w:top w:val="single" w:color="auto" w:sz="4" w:space="0"/>
              <w:left w:val="single" w:color="auto" w:sz="4" w:space="0"/>
              <w:bottom w:val="single" w:color="auto" w:sz="4" w:space="0"/>
              <w:right w:val="single" w:color="auto" w:sz="4" w:space="0"/>
            </w:tcBorders>
            <w:noWrap w:val="0"/>
            <w:vAlign w:val="center"/>
          </w:tcPr>
          <w:p w14:paraId="0C2BA8F9">
            <w:pPr>
              <w:wordWrap w:val="0"/>
              <w:spacing w:line="360" w:lineRule="auto"/>
              <w:rPr>
                <w:rFonts w:hint="eastAsia"/>
                <w:color w:val="auto"/>
                <w:sz w:val="24"/>
              </w:rPr>
            </w:pPr>
          </w:p>
        </w:tc>
      </w:tr>
      <w:tr w14:paraId="5942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center"/>
          </w:tcPr>
          <w:p w14:paraId="7F99A150">
            <w:pPr>
              <w:wordWrap w:val="0"/>
              <w:spacing w:line="360" w:lineRule="auto"/>
              <w:jc w:val="center"/>
              <w:rPr>
                <w:rFonts w:hint="eastAsia"/>
                <w:color w:val="auto"/>
                <w:sz w:val="24"/>
              </w:rPr>
            </w:pPr>
            <w:r>
              <w:rPr>
                <w:rFonts w:hint="eastAsia"/>
                <w:color w:val="auto"/>
                <w:sz w:val="24"/>
              </w:rPr>
              <w:t>经营范围</w:t>
            </w:r>
          </w:p>
        </w:tc>
        <w:tc>
          <w:tcPr>
            <w:tcW w:w="6058" w:type="dxa"/>
            <w:gridSpan w:val="6"/>
            <w:tcBorders>
              <w:top w:val="single" w:color="auto" w:sz="4" w:space="0"/>
              <w:left w:val="single" w:color="auto" w:sz="4" w:space="0"/>
              <w:bottom w:val="single" w:color="auto" w:sz="4" w:space="0"/>
              <w:right w:val="single" w:color="auto" w:sz="4" w:space="0"/>
            </w:tcBorders>
            <w:noWrap w:val="0"/>
            <w:vAlign w:val="center"/>
          </w:tcPr>
          <w:p w14:paraId="46525E28">
            <w:pPr>
              <w:wordWrap w:val="0"/>
              <w:spacing w:line="360" w:lineRule="auto"/>
              <w:rPr>
                <w:rFonts w:hint="eastAsia"/>
                <w:color w:val="auto"/>
                <w:sz w:val="24"/>
              </w:rPr>
            </w:pPr>
          </w:p>
          <w:p w14:paraId="2C2C076E">
            <w:pPr>
              <w:pStyle w:val="77"/>
              <w:ind w:left="0" w:leftChars="0" w:firstLine="0" w:firstLineChars="0"/>
              <w:jc w:val="both"/>
              <w:rPr>
                <w:rFonts w:hint="eastAsia"/>
                <w:color w:val="auto"/>
                <w:sz w:val="24"/>
              </w:rPr>
            </w:pPr>
          </w:p>
          <w:p w14:paraId="2E6865FC">
            <w:pPr>
              <w:pStyle w:val="77"/>
              <w:rPr>
                <w:rFonts w:hint="eastAsia"/>
                <w:color w:val="auto"/>
                <w:sz w:val="24"/>
              </w:rPr>
            </w:pPr>
          </w:p>
        </w:tc>
      </w:tr>
      <w:tr w14:paraId="3FCB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bottom"/>
          </w:tcPr>
          <w:p w14:paraId="255A0164">
            <w:pPr>
              <w:wordWrap w:val="0"/>
              <w:spacing w:line="360" w:lineRule="auto"/>
              <w:jc w:val="center"/>
              <w:rPr>
                <w:rFonts w:hint="eastAsia" w:eastAsia="宋体"/>
                <w:color w:val="auto"/>
                <w:sz w:val="24"/>
                <w:lang w:val="en-US" w:eastAsia="zh-CN"/>
              </w:rPr>
            </w:pPr>
            <w:r>
              <w:rPr>
                <w:rFonts w:hint="eastAsia"/>
                <w:color w:val="auto"/>
                <w:sz w:val="24"/>
                <w:lang w:val="en-US" w:eastAsia="zh-CN"/>
              </w:rPr>
              <w:t>备注</w:t>
            </w:r>
          </w:p>
        </w:tc>
        <w:tc>
          <w:tcPr>
            <w:tcW w:w="6058" w:type="dxa"/>
            <w:gridSpan w:val="6"/>
            <w:tcBorders>
              <w:top w:val="single" w:color="auto" w:sz="4" w:space="0"/>
              <w:left w:val="single" w:color="auto" w:sz="4" w:space="0"/>
              <w:bottom w:val="single" w:color="auto" w:sz="4" w:space="0"/>
              <w:right w:val="single" w:color="auto" w:sz="4" w:space="0"/>
            </w:tcBorders>
            <w:noWrap w:val="0"/>
            <w:vAlign w:val="center"/>
          </w:tcPr>
          <w:p w14:paraId="3D81A063">
            <w:pPr>
              <w:pStyle w:val="77"/>
              <w:rPr>
                <w:rFonts w:hint="eastAsia"/>
                <w:color w:val="auto"/>
                <w:sz w:val="24"/>
              </w:rPr>
            </w:pPr>
          </w:p>
        </w:tc>
      </w:tr>
    </w:tbl>
    <w:p w14:paraId="5A1BD8A7">
      <w:pPr>
        <w:wordWrap w:val="0"/>
        <w:spacing w:beforeAutospacing="0" w:afterAutospacing="0" w:line="600" w:lineRule="exact"/>
        <w:ind w:firstLine="480" w:firstLineChars="200"/>
        <w:rPr>
          <w:rFonts w:hint="eastAsia" w:ascii="Calibri" w:hAnsi="Calibri" w:eastAsia="宋体"/>
          <w:b/>
          <w:color w:val="auto"/>
          <w:sz w:val="24"/>
          <w:szCs w:val="28"/>
          <w:highlight w:val="none"/>
        </w:rPr>
      </w:pPr>
      <w:r>
        <w:rPr>
          <w:rFonts w:hint="eastAsia" w:cs="宋体"/>
          <w:color w:val="auto"/>
          <w:sz w:val="24"/>
          <w:szCs w:val="24"/>
          <w:lang w:val="en-US" w:eastAsia="zh-CN"/>
        </w:rPr>
        <w:t>注</w:t>
      </w:r>
      <w:r>
        <w:rPr>
          <w:rFonts w:hint="eastAsia" w:cs="宋体"/>
          <w:color w:val="auto"/>
          <w:sz w:val="24"/>
          <w:szCs w:val="24"/>
          <w:lang w:eastAsia="zh-CN"/>
        </w:rPr>
        <w:t>：</w:t>
      </w:r>
      <w:r>
        <w:rPr>
          <w:rFonts w:hint="eastAsia" w:cs="宋体"/>
          <w:color w:val="auto"/>
          <w:sz w:val="24"/>
          <w:szCs w:val="24"/>
          <w:lang w:val="en-US" w:eastAsia="zh-CN"/>
        </w:rPr>
        <w:t>本表后附营业执照或事业单位法人证书</w:t>
      </w:r>
      <w:r>
        <w:rPr>
          <w:rFonts w:hint="eastAsia" w:ascii="宋体" w:hAnsi="宋体" w:eastAsia="宋体" w:cs="宋体"/>
          <w:color w:val="auto"/>
          <w:sz w:val="24"/>
          <w:szCs w:val="24"/>
        </w:rPr>
        <w:t>等原件的扫描件</w:t>
      </w:r>
      <w:r>
        <w:rPr>
          <w:rFonts w:hint="eastAsia" w:cs="宋体"/>
          <w:color w:val="auto"/>
          <w:sz w:val="24"/>
          <w:szCs w:val="24"/>
          <w:lang w:eastAsia="zh-CN"/>
        </w:rPr>
        <w:t>。</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如投标人为联合体投标，联合体</w:t>
      </w:r>
      <w:r>
        <w:rPr>
          <w:rFonts w:hint="eastAsia" w:ascii="宋体" w:hAnsi="宋体" w:eastAsia="宋体" w:cs="宋体"/>
          <w:color w:val="auto"/>
          <w:sz w:val="24"/>
          <w:szCs w:val="24"/>
          <w:lang w:val="en-US" w:eastAsia="zh-CN"/>
        </w:rPr>
        <w:t>各方</w:t>
      </w:r>
      <w:r>
        <w:rPr>
          <w:rFonts w:hint="eastAsia" w:ascii="宋体" w:hAnsi="宋体" w:eastAsia="宋体" w:cs="宋体"/>
          <w:color w:val="auto"/>
          <w:sz w:val="24"/>
          <w:szCs w:val="24"/>
          <w:lang w:val="en-US"/>
        </w:rPr>
        <w:t>需</w:t>
      </w:r>
      <w:r>
        <w:rPr>
          <w:rFonts w:hint="eastAsia" w:ascii="宋体" w:hAnsi="宋体" w:eastAsia="宋体" w:cs="宋体"/>
          <w:color w:val="auto"/>
          <w:sz w:val="24"/>
          <w:szCs w:val="24"/>
          <w:lang w:val="en-US" w:eastAsia="zh-CN"/>
        </w:rPr>
        <w:t>分别</w:t>
      </w:r>
      <w:r>
        <w:rPr>
          <w:rFonts w:hint="eastAsia" w:ascii="宋体" w:hAnsi="宋体" w:eastAsia="宋体" w:cs="宋体"/>
          <w:color w:val="auto"/>
          <w:sz w:val="24"/>
          <w:szCs w:val="24"/>
          <w:lang w:val="en-US"/>
        </w:rPr>
        <w:t>填写本表</w:t>
      </w:r>
      <w:r>
        <w:rPr>
          <w:rFonts w:hint="eastAsia" w:ascii="宋体" w:hAnsi="宋体" w:eastAsia="宋体" w:cs="宋体"/>
          <w:color w:val="auto"/>
          <w:sz w:val="24"/>
          <w:szCs w:val="24"/>
        </w:rPr>
        <w:t>并附相关证件</w:t>
      </w:r>
      <w:r>
        <w:rPr>
          <w:rFonts w:hint="eastAsia" w:ascii="宋体" w:hAnsi="宋体" w:eastAsia="宋体" w:cs="宋体"/>
          <w:color w:val="auto"/>
          <w:sz w:val="24"/>
          <w:szCs w:val="24"/>
          <w:lang w:val="en-US" w:eastAsia="zh-CN"/>
        </w:rPr>
        <w:t>）</w:t>
      </w:r>
    </w:p>
    <w:p w14:paraId="7E10E9EE">
      <w:pPr>
        <w:autoSpaceDE w:val="0"/>
        <w:autoSpaceDN w:val="0"/>
        <w:adjustRightInd w:val="0"/>
        <w:snapToGrid w:val="0"/>
        <w:spacing w:after="200" w:line="500" w:lineRule="exact"/>
        <w:jc w:val="both"/>
        <w:rPr>
          <w:rFonts w:hint="eastAsia"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 xml:space="preserve"> </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lang w:val="en-GB"/>
        </w:rPr>
        <w:t>磋商供应商</w:t>
      </w:r>
      <w:r>
        <w:rPr>
          <w:rFonts w:hint="eastAsia" w:cs="宋体" w:asciiTheme="minorEastAsia" w:hAnsiTheme="minorEastAsia" w:eastAsiaTheme="minorEastAsia"/>
          <w:color w:val="auto"/>
          <w:sz w:val="24"/>
          <w:szCs w:val="24"/>
          <w:highlight w:val="none"/>
          <w:lang w:val="en-GB" w:eastAsia="zh-CN"/>
        </w:rPr>
        <w:t>（</w:t>
      </w:r>
      <w:r>
        <w:rPr>
          <w:rFonts w:hint="eastAsia" w:cs="宋体" w:asciiTheme="minorEastAsia" w:hAnsiTheme="minorEastAsia" w:eastAsiaTheme="minorEastAsia"/>
          <w:color w:val="auto"/>
          <w:sz w:val="24"/>
          <w:szCs w:val="24"/>
          <w:highlight w:val="none"/>
          <w:lang w:val="en-US" w:eastAsia="zh-CN"/>
        </w:rPr>
        <w:t>联合体牵头人</w:t>
      </w:r>
      <w:r>
        <w:rPr>
          <w:rFonts w:hint="eastAsia" w:cs="宋体" w:asciiTheme="minorEastAsia" w:hAnsiTheme="minorEastAsia" w:eastAsiaTheme="minorEastAsia"/>
          <w:color w:val="auto"/>
          <w:sz w:val="24"/>
          <w:szCs w:val="24"/>
          <w:highlight w:val="none"/>
          <w:lang w:val="en-GB" w:eastAsia="zh-CN"/>
        </w:rPr>
        <w:t>）</w:t>
      </w:r>
      <w:r>
        <w:rPr>
          <w:rFonts w:hint="eastAsia" w:cs="宋体" w:asciiTheme="minorEastAsia" w:hAnsiTheme="minorEastAsia" w:eastAsiaTheme="minorEastAsia"/>
          <w:color w:val="auto"/>
          <w:sz w:val="24"/>
          <w:szCs w:val="24"/>
          <w:highlight w:val="none"/>
          <w:lang w:val="en-GB"/>
        </w:rPr>
        <w:t xml:space="preserve">： </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 xml:space="preserve"> （电子签章）</w:t>
      </w:r>
    </w:p>
    <w:p w14:paraId="3CF25F82">
      <w:pPr>
        <w:autoSpaceDE w:val="0"/>
        <w:autoSpaceDN w:val="0"/>
        <w:adjustRightInd w:val="0"/>
        <w:snapToGrid w:val="0"/>
        <w:spacing w:after="200" w:line="500" w:lineRule="exact"/>
        <w:ind w:firstLine="2400" w:firstLineChars="1000"/>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p>
    <w:p w14:paraId="0DEFC483">
      <w:pPr>
        <w:autoSpaceDE w:val="0"/>
        <w:autoSpaceDN w:val="0"/>
        <w:adjustRightInd w:val="0"/>
        <w:snapToGrid w:val="0"/>
        <w:spacing w:after="200"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GB"/>
        </w:rPr>
        <w:t xml:space="preserve">                                    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56559A82">
      <w:pPr>
        <w:keepNext w:val="0"/>
        <w:keepLines w:val="0"/>
        <w:pageBreakBefore w:val="0"/>
        <w:kinsoku/>
        <w:overflowPunct/>
        <w:topLinePunct w:val="0"/>
        <w:bidi w:val="0"/>
        <w:spacing w:beforeAutospacing="0" w:afterAutospacing="0" w:line="560" w:lineRule="exact"/>
        <w:jc w:val="center"/>
        <w:outlineLvl w:val="0"/>
        <w:rPr>
          <w:rFonts w:hint="eastAsia" w:eastAsia="宋体"/>
          <w:color w:val="auto"/>
          <w:sz w:val="28"/>
          <w:szCs w:val="20"/>
          <w:highlight w:val="none"/>
          <w:lang w:val="en-US"/>
        </w:rPr>
      </w:pPr>
    </w:p>
    <w:p w14:paraId="2FF1E9E5">
      <w:pPr>
        <w:keepNext w:val="0"/>
        <w:keepLines w:val="0"/>
        <w:pageBreakBefore w:val="0"/>
        <w:kinsoku/>
        <w:overflowPunct/>
        <w:topLinePunct w:val="0"/>
        <w:bidi w:val="0"/>
        <w:spacing w:beforeAutospacing="0" w:afterAutospacing="0" w:line="560" w:lineRule="exact"/>
        <w:jc w:val="center"/>
        <w:outlineLvl w:val="0"/>
        <w:rPr>
          <w:rFonts w:hint="eastAsia" w:eastAsia="宋体"/>
          <w:color w:val="auto"/>
          <w:sz w:val="28"/>
          <w:szCs w:val="20"/>
          <w:highlight w:val="none"/>
          <w:lang w:val="en-US"/>
        </w:rPr>
      </w:pPr>
      <w:r>
        <w:rPr>
          <w:rFonts w:hint="eastAsia" w:eastAsia="宋体"/>
          <w:color w:val="auto"/>
          <w:sz w:val="28"/>
          <w:szCs w:val="20"/>
          <w:highlight w:val="none"/>
          <w:lang w:val="en-US"/>
        </w:rPr>
        <w:t>（二） 拟派</w:t>
      </w:r>
      <w:r>
        <w:rPr>
          <w:rFonts w:hint="eastAsia" w:eastAsia="宋体"/>
          <w:color w:val="auto"/>
          <w:sz w:val="28"/>
          <w:szCs w:val="20"/>
          <w:highlight w:val="none"/>
          <w:lang w:val="en-US" w:eastAsia="zh-CN"/>
        </w:rPr>
        <w:t>本项目</w:t>
      </w:r>
      <w:r>
        <w:rPr>
          <w:rFonts w:hint="eastAsia" w:eastAsia="宋体"/>
          <w:color w:val="auto"/>
          <w:sz w:val="28"/>
          <w:szCs w:val="20"/>
          <w:highlight w:val="none"/>
          <w:lang w:val="en-US"/>
        </w:rPr>
        <w:t>负责人情况表</w:t>
      </w:r>
    </w:p>
    <w:p w14:paraId="0380A353">
      <w:pPr>
        <w:wordWrap w:val="0"/>
        <w:spacing w:beforeAutospacing="0" w:afterAutospacing="0" w:line="600" w:lineRule="exact"/>
        <w:ind w:firstLine="482" w:firstLineChars="200"/>
        <w:jc w:val="center"/>
        <w:rPr>
          <w:rFonts w:ascii="新宋体" w:hAnsi="新宋体" w:eastAsia="新宋体"/>
          <w:b/>
          <w:color w:val="auto"/>
          <w:sz w:val="24"/>
          <w:szCs w:val="28"/>
          <w:highlight w:val="none"/>
        </w:rPr>
      </w:pP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0"/>
        <w:gridCol w:w="573"/>
        <w:gridCol w:w="2351"/>
        <w:gridCol w:w="2426"/>
        <w:gridCol w:w="2639"/>
      </w:tblGrid>
      <w:tr w14:paraId="2CAB9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166C8615">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姓</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名</w:t>
            </w:r>
          </w:p>
        </w:tc>
        <w:tc>
          <w:tcPr>
            <w:tcW w:w="2351" w:type="dxa"/>
            <w:vAlign w:val="center"/>
          </w:tcPr>
          <w:p w14:paraId="0B945DB2">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14:paraId="5E7C50AD">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年</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龄</w:t>
            </w:r>
          </w:p>
        </w:tc>
        <w:tc>
          <w:tcPr>
            <w:tcW w:w="2639" w:type="dxa"/>
            <w:vAlign w:val="center"/>
          </w:tcPr>
          <w:p w14:paraId="7AE77A9E">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6BD4F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00817FB6">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学</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历</w:t>
            </w:r>
          </w:p>
        </w:tc>
        <w:tc>
          <w:tcPr>
            <w:tcW w:w="2351" w:type="dxa"/>
            <w:vAlign w:val="center"/>
          </w:tcPr>
          <w:p w14:paraId="29977F68">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14:paraId="447F8BE7">
            <w:pPr>
              <w:wordWrap w:val="0"/>
              <w:spacing w:beforeAutospacing="0" w:afterAutospacing="0" w:line="600" w:lineRule="exact"/>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注册证书情况</w:t>
            </w:r>
          </w:p>
        </w:tc>
        <w:tc>
          <w:tcPr>
            <w:tcW w:w="2639" w:type="dxa"/>
            <w:vAlign w:val="center"/>
          </w:tcPr>
          <w:p w14:paraId="419CBB6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4572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4119B15E">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务</w:t>
            </w:r>
          </w:p>
        </w:tc>
        <w:tc>
          <w:tcPr>
            <w:tcW w:w="2351" w:type="dxa"/>
            <w:vAlign w:val="center"/>
          </w:tcPr>
          <w:p w14:paraId="6C49BF7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14:paraId="4A23F54D">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称</w:t>
            </w:r>
          </w:p>
        </w:tc>
        <w:tc>
          <w:tcPr>
            <w:tcW w:w="2639" w:type="dxa"/>
            <w:vAlign w:val="center"/>
          </w:tcPr>
          <w:p w14:paraId="20356A6D">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2E9B4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4574" w:type="dxa"/>
            <w:gridSpan w:val="3"/>
            <w:vAlign w:val="center"/>
          </w:tcPr>
          <w:p w14:paraId="02B350A3">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从事工作年限</w:t>
            </w:r>
          </w:p>
        </w:tc>
        <w:tc>
          <w:tcPr>
            <w:tcW w:w="5065" w:type="dxa"/>
            <w:gridSpan w:val="2"/>
            <w:vAlign w:val="center"/>
          </w:tcPr>
          <w:p w14:paraId="59840E8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5DE24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4574" w:type="dxa"/>
            <w:gridSpan w:val="3"/>
            <w:vAlign w:val="center"/>
          </w:tcPr>
          <w:p w14:paraId="3828465A">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在本项目中拟担任的职务</w:t>
            </w:r>
          </w:p>
        </w:tc>
        <w:tc>
          <w:tcPr>
            <w:tcW w:w="5065" w:type="dxa"/>
            <w:gridSpan w:val="2"/>
            <w:vAlign w:val="center"/>
          </w:tcPr>
          <w:p w14:paraId="6D08B60C">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186E4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7882DE74">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联系方式</w:t>
            </w:r>
          </w:p>
        </w:tc>
        <w:tc>
          <w:tcPr>
            <w:tcW w:w="7416" w:type="dxa"/>
            <w:gridSpan w:val="3"/>
            <w:vAlign w:val="center"/>
          </w:tcPr>
          <w:p w14:paraId="007E156E">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2116E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9" w:type="dxa"/>
            <w:gridSpan w:val="5"/>
            <w:vAlign w:val="center"/>
          </w:tcPr>
          <w:p w14:paraId="5BF3421B">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r>
              <w:rPr>
                <w:rFonts w:ascii="新宋体" w:hAnsi="新宋体" w:eastAsia="新宋体"/>
                <w:color w:val="auto"/>
                <w:sz w:val="24"/>
                <w:szCs w:val="28"/>
                <w:highlight w:val="none"/>
              </w:rPr>
              <w:t>20</w:t>
            </w:r>
            <w:r>
              <w:rPr>
                <w:rFonts w:hint="eastAsia" w:ascii="新宋体" w:hAnsi="新宋体" w:eastAsia="新宋体"/>
                <w:color w:val="auto"/>
                <w:sz w:val="24"/>
                <w:szCs w:val="28"/>
                <w:highlight w:val="none"/>
                <w:lang w:val="en-US" w:eastAsia="zh-CN"/>
              </w:rPr>
              <w:t>21</w:t>
            </w:r>
            <w:r>
              <w:rPr>
                <w:rFonts w:hint="eastAsia" w:ascii="新宋体" w:hAnsi="新宋体" w:eastAsia="新宋体"/>
                <w:color w:val="auto"/>
                <w:sz w:val="24"/>
                <w:szCs w:val="28"/>
                <w:highlight w:val="none"/>
              </w:rPr>
              <w:t>以来完成过的项目业绩</w:t>
            </w:r>
          </w:p>
        </w:tc>
      </w:tr>
      <w:tr w14:paraId="7A92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1121BE11">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时间</w:t>
            </w:r>
          </w:p>
        </w:tc>
        <w:tc>
          <w:tcPr>
            <w:tcW w:w="7989" w:type="dxa"/>
            <w:gridSpan w:val="4"/>
            <w:vAlign w:val="center"/>
          </w:tcPr>
          <w:p w14:paraId="6ACBA382">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（项目内容及本人承担工作）</w:t>
            </w:r>
          </w:p>
        </w:tc>
      </w:tr>
      <w:tr w14:paraId="32FEA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67DFEDCB">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1581D846">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68FED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56E625B7">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1C36243B">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688F6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446A8A48">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079FA389">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58351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30AF029D">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09A0F6FF">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5911F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58690249">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2E247379">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bl>
    <w:p w14:paraId="6B28A8BD">
      <w:pPr>
        <w:wordWrap w:val="0"/>
        <w:spacing w:beforeAutospacing="0" w:afterAutospacing="0" w:line="600" w:lineRule="exact"/>
        <w:rPr>
          <w:rFonts w:ascii="新宋体" w:hAnsi="新宋体" w:eastAsia="新宋体"/>
          <w:b/>
          <w:bCs/>
          <w:color w:val="auto"/>
          <w:sz w:val="24"/>
          <w:szCs w:val="28"/>
          <w:highlight w:val="none"/>
        </w:rPr>
      </w:pPr>
      <w:r>
        <w:rPr>
          <w:rFonts w:hint="eastAsia" w:ascii="宋体" w:hAnsi="宋体" w:eastAsia="宋体" w:cs="宋体"/>
          <w:color w:val="auto"/>
          <w:sz w:val="24"/>
          <w:szCs w:val="24"/>
          <w:lang w:val="en-US" w:eastAsia="zh-CN"/>
        </w:rPr>
        <w:t>（注：</w:t>
      </w:r>
      <w:r>
        <w:rPr>
          <w:rFonts w:hint="eastAsia" w:cs="宋体"/>
          <w:color w:val="auto"/>
          <w:sz w:val="24"/>
          <w:szCs w:val="24"/>
          <w:lang w:val="en-US" w:eastAsia="zh-CN"/>
        </w:rPr>
        <w:t>若以联合体形式投标，以联合体牵头人提供的证明材料为准</w:t>
      </w:r>
      <w:r>
        <w:rPr>
          <w:rFonts w:hint="eastAsia" w:ascii="宋体" w:hAnsi="宋体" w:eastAsia="宋体" w:cs="宋体"/>
          <w:color w:val="auto"/>
          <w:sz w:val="24"/>
          <w:szCs w:val="24"/>
          <w:lang w:val="en-US" w:eastAsia="zh-CN"/>
        </w:rPr>
        <w:t>）</w:t>
      </w:r>
    </w:p>
    <w:p w14:paraId="4BCA92AF">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 xml:space="preserve">               </w:t>
      </w:r>
      <w:r>
        <w:rPr>
          <w:rFonts w:hint="eastAsia" w:ascii="宋体" w:hAnsi="宋体" w:eastAsia="宋体" w:cs="宋体"/>
          <w:color w:val="auto"/>
          <w:sz w:val="24"/>
          <w:szCs w:val="24"/>
        </w:rPr>
        <w:t>磋商供应商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联合体牵头人</w:t>
      </w:r>
      <w:r>
        <w:rPr>
          <w:rFonts w:hint="eastAsia" w:ascii="宋体" w:hAnsi="宋体" w:eastAsia="宋体" w:cs="宋体"/>
          <w:color w:val="auto"/>
          <w:sz w:val="24"/>
          <w:szCs w:val="24"/>
          <w:lang w:eastAsia="zh-CN"/>
        </w:rPr>
        <w:t>）</w:t>
      </w:r>
      <w:r>
        <w:rPr>
          <w:rFonts w:hint="eastAsia" w:ascii="宋体" w:hAnsi="宋体" w:eastAsia="宋体"/>
          <w:color w:val="auto"/>
          <w:sz w:val="24"/>
          <w:szCs w:val="28"/>
          <w:highlight w:val="none"/>
        </w:rPr>
        <w:t>：</w:t>
      </w:r>
      <w:r>
        <w:rPr>
          <w:rFonts w:hint="eastAsia" w:ascii="宋体" w:hAnsi="宋体"/>
          <w:color w:val="auto"/>
          <w:sz w:val="24"/>
          <w:szCs w:val="28"/>
          <w:highlight w:val="none"/>
          <w:lang w:val="en-US" w:eastAsia="zh-CN"/>
        </w:rPr>
        <w:t xml:space="preserve">  </w:t>
      </w:r>
      <w:r>
        <w:rPr>
          <w:rFonts w:hint="eastAsia" w:ascii="宋体" w:hAnsi="宋体" w:eastAsia="宋体"/>
          <w:color w:val="auto"/>
          <w:sz w:val="24"/>
          <w:szCs w:val="28"/>
          <w:highlight w:val="none"/>
        </w:rPr>
        <w:t>（</w:t>
      </w:r>
      <w:r>
        <w:rPr>
          <w:rFonts w:hint="eastAsia" w:ascii="宋体" w:hAnsi="宋体" w:cs="宋体"/>
          <w:color w:val="auto"/>
          <w:sz w:val="24"/>
          <w:szCs w:val="24"/>
          <w:highlight w:val="none"/>
        </w:rPr>
        <w:t>电子签章</w:t>
      </w:r>
      <w:r>
        <w:rPr>
          <w:rFonts w:hint="eastAsia" w:ascii="宋体" w:hAnsi="宋体" w:eastAsia="宋体"/>
          <w:color w:val="auto"/>
          <w:sz w:val="24"/>
          <w:szCs w:val="28"/>
          <w:highlight w:val="none"/>
        </w:rPr>
        <w:t>）</w:t>
      </w:r>
    </w:p>
    <w:p w14:paraId="32DC7E1B">
      <w:pPr>
        <w:wordWrap w:val="0"/>
        <w:spacing w:beforeAutospacing="0" w:afterAutospacing="0" w:line="600" w:lineRule="exact"/>
        <w:ind w:firstLine="480" w:firstLineChars="200"/>
        <w:rPr>
          <w:rFonts w:ascii="宋体" w:hAnsi="宋体" w:eastAsia="宋体"/>
          <w:color w:val="auto"/>
          <w:sz w:val="24"/>
          <w:szCs w:val="28"/>
          <w:highlight w:val="none"/>
        </w:rPr>
      </w:pPr>
      <w:r>
        <w:rPr>
          <w:rFonts w:ascii="宋体" w:hAnsi="宋体" w:eastAsia="宋体"/>
          <w:color w:val="auto"/>
          <w:sz w:val="24"/>
          <w:szCs w:val="28"/>
          <w:highlight w:val="none"/>
        </w:rPr>
        <w:t xml:space="preserve">                             </w:t>
      </w:r>
      <w:r>
        <w:rPr>
          <w:rFonts w:hint="eastAsia" w:ascii="宋体" w:hAnsi="宋体"/>
          <w:color w:val="auto"/>
          <w:sz w:val="24"/>
          <w:szCs w:val="28"/>
          <w:highlight w:val="none"/>
          <w:lang w:val="en-US" w:eastAsia="zh-CN"/>
        </w:rPr>
        <w:t xml:space="preserve">       </w:t>
      </w:r>
      <w:r>
        <w:rPr>
          <w:rFonts w:hint="eastAsia" w:ascii="宋体" w:hAnsi="宋体" w:eastAsia="宋体"/>
          <w:color w:val="auto"/>
          <w:sz w:val="24"/>
          <w:szCs w:val="28"/>
          <w:highlight w:val="none"/>
        </w:rPr>
        <w:t>法定代表人：</w:t>
      </w:r>
      <w:r>
        <w:rPr>
          <w:rFonts w:hint="eastAsia" w:ascii="宋体" w:hAnsi="宋体"/>
          <w:color w:val="auto"/>
          <w:sz w:val="24"/>
          <w:szCs w:val="28"/>
          <w:highlight w:val="none"/>
          <w:lang w:val="en-US" w:eastAsia="zh-CN"/>
        </w:rPr>
        <w:t xml:space="preserve">      </w:t>
      </w:r>
      <w:r>
        <w:rPr>
          <w:rFonts w:hint="eastAsia" w:ascii="宋体" w:hAnsi="宋体" w:eastAsia="宋体"/>
          <w:color w:val="auto"/>
          <w:sz w:val="24"/>
          <w:szCs w:val="28"/>
          <w:highlight w:val="none"/>
        </w:rPr>
        <w:t>（</w:t>
      </w:r>
      <w:r>
        <w:rPr>
          <w:rFonts w:hint="eastAsia" w:cs="宋体" w:asciiTheme="minorEastAsia" w:hAnsiTheme="minorEastAsia" w:eastAsiaTheme="minorEastAsia"/>
          <w:color w:val="auto"/>
          <w:sz w:val="24"/>
          <w:szCs w:val="24"/>
          <w:highlight w:val="none"/>
          <w:lang w:val="en-GB"/>
        </w:rPr>
        <w:t>签字或盖章</w:t>
      </w:r>
      <w:r>
        <w:rPr>
          <w:rFonts w:ascii="宋体" w:hAnsi="宋体" w:eastAsia="宋体"/>
          <w:color w:val="auto"/>
          <w:sz w:val="24"/>
          <w:szCs w:val="28"/>
          <w:highlight w:val="none"/>
        </w:rPr>
        <w:t>)</w:t>
      </w:r>
    </w:p>
    <w:p w14:paraId="6212B23F">
      <w:pPr>
        <w:wordWrap w:val="0"/>
        <w:spacing w:beforeAutospacing="0" w:afterAutospacing="0" w:line="600" w:lineRule="exact"/>
        <w:ind w:firstLine="480" w:firstLineChars="200"/>
        <w:rPr>
          <w:rFonts w:hint="eastAsia" w:ascii="宋体" w:hAnsi="Calibri" w:eastAsia="宋体"/>
          <w:color w:val="auto"/>
          <w:sz w:val="24"/>
          <w:szCs w:val="28"/>
          <w:highlight w:val="none"/>
        </w:rPr>
      </w:pPr>
      <w:r>
        <w:rPr>
          <w:rFonts w:hint="eastAsia" w:ascii="宋体" w:hAnsi="Calibri" w:eastAsia="宋体"/>
          <w:color w:val="auto"/>
          <w:sz w:val="24"/>
          <w:szCs w:val="28"/>
          <w:highlight w:val="none"/>
        </w:rPr>
        <w:t xml:space="preserve">                            </w:t>
      </w:r>
      <w:r>
        <w:rPr>
          <w:rFonts w:hint="eastAsia" w:ascii="宋体"/>
          <w:color w:val="auto"/>
          <w:sz w:val="24"/>
          <w:szCs w:val="28"/>
          <w:highlight w:val="none"/>
          <w:lang w:val="en-US" w:eastAsia="zh-CN"/>
        </w:rPr>
        <w:t xml:space="preserve">        </w:t>
      </w:r>
      <w:r>
        <w:rPr>
          <w:rFonts w:hint="eastAsia" w:cs="宋体" w:asciiTheme="minorEastAsia" w:hAnsiTheme="minorEastAsia" w:eastAsiaTheme="minorEastAsia"/>
          <w:color w:val="auto"/>
          <w:sz w:val="24"/>
          <w:szCs w:val="24"/>
          <w:highlight w:val="none"/>
          <w:lang w:val="en-GB"/>
        </w:rPr>
        <w:t>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1EDF78D2">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p>
    <w:p w14:paraId="29426AB3">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p>
    <w:p w14:paraId="48E809E4">
      <w:pPr>
        <w:keepNext w:val="0"/>
        <w:keepLines w:val="0"/>
        <w:pageBreakBefore w:val="0"/>
        <w:kinsoku/>
        <w:overflowPunct/>
        <w:topLinePunct w:val="0"/>
        <w:bidi w:val="0"/>
        <w:spacing w:beforeAutospacing="0" w:afterAutospacing="0" w:line="560" w:lineRule="exact"/>
        <w:jc w:val="center"/>
        <w:outlineLvl w:val="0"/>
        <w:rPr>
          <w:rFonts w:hint="eastAsia" w:eastAsia="宋体"/>
          <w:color w:val="auto"/>
          <w:sz w:val="28"/>
          <w:szCs w:val="20"/>
          <w:highlight w:val="none"/>
          <w:lang w:val="en-US" w:eastAsia="zh-CN"/>
        </w:rPr>
      </w:pPr>
      <w:r>
        <w:rPr>
          <w:rFonts w:hint="eastAsia" w:eastAsia="宋体"/>
          <w:color w:val="auto"/>
          <w:sz w:val="28"/>
          <w:szCs w:val="20"/>
          <w:highlight w:val="none"/>
          <w:lang w:val="en-US"/>
        </w:rPr>
        <w:t>（三）证明投标供应商资格和能力的资料</w:t>
      </w:r>
      <w:r>
        <w:rPr>
          <w:rFonts w:hint="eastAsia" w:eastAsia="宋体"/>
          <w:color w:val="auto"/>
          <w:sz w:val="28"/>
          <w:szCs w:val="20"/>
          <w:highlight w:val="none"/>
          <w:lang w:val="en-US" w:eastAsia="zh-CN"/>
        </w:rPr>
        <w:t xml:space="preserve"> </w:t>
      </w:r>
    </w:p>
    <w:p w14:paraId="464E3573">
      <w:pPr>
        <w:pStyle w:val="41"/>
        <w:rPr>
          <w:rFonts w:ascii="宋体" w:hAnsi="宋体" w:eastAsia="宋体"/>
          <w:color w:val="auto"/>
          <w:sz w:val="28"/>
          <w:szCs w:val="24"/>
          <w:highlight w:val="none"/>
        </w:rPr>
      </w:pPr>
      <w:r>
        <w:rPr>
          <w:rFonts w:hint="eastAsia" w:ascii="宋体" w:hAnsi="宋体" w:eastAsia="宋体"/>
          <w:color w:val="auto"/>
          <w:sz w:val="28"/>
          <w:szCs w:val="24"/>
          <w:highlight w:val="none"/>
        </w:rPr>
        <w:t>（如投标人为联合体投标，联合体各方需分别</w:t>
      </w:r>
      <w:r>
        <w:rPr>
          <w:rFonts w:hint="eastAsia" w:ascii="宋体" w:hAnsi="宋体"/>
          <w:color w:val="auto"/>
          <w:sz w:val="28"/>
          <w:szCs w:val="24"/>
          <w:highlight w:val="none"/>
          <w:lang w:val="en-US" w:eastAsia="zh-CN"/>
        </w:rPr>
        <w:t>提供</w:t>
      </w:r>
      <w:r>
        <w:rPr>
          <w:rFonts w:hint="eastAsia" w:ascii="宋体" w:hAnsi="宋体" w:eastAsia="宋体"/>
          <w:color w:val="auto"/>
          <w:sz w:val="28"/>
          <w:szCs w:val="24"/>
          <w:highlight w:val="none"/>
        </w:rPr>
        <w:t>相关</w:t>
      </w:r>
      <w:r>
        <w:rPr>
          <w:rFonts w:hint="eastAsia" w:ascii="宋体" w:hAnsi="宋体"/>
          <w:color w:val="auto"/>
          <w:sz w:val="28"/>
          <w:szCs w:val="24"/>
          <w:highlight w:val="none"/>
          <w:lang w:val="en-US" w:eastAsia="zh-CN"/>
        </w:rPr>
        <w:t>证明材料</w:t>
      </w:r>
      <w:r>
        <w:rPr>
          <w:rFonts w:hint="eastAsia" w:ascii="宋体" w:hAnsi="宋体" w:eastAsia="宋体"/>
          <w:color w:val="auto"/>
          <w:sz w:val="28"/>
          <w:szCs w:val="24"/>
          <w:highlight w:val="none"/>
        </w:rPr>
        <w:t>）</w:t>
      </w:r>
    </w:p>
    <w:p w14:paraId="0CD50AEE">
      <w:pPr>
        <w:pStyle w:val="41"/>
        <w:rPr>
          <w:rFonts w:ascii="宋体" w:hAnsi="宋体" w:eastAsia="宋体"/>
          <w:color w:val="auto"/>
          <w:sz w:val="28"/>
          <w:szCs w:val="24"/>
          <w:highlight w:val="none"/>
        </w:rPr>
      </w:pPr>
    </w:p>
    <w:p w14:paraId="11AC9F61">
      <w:pPr>
        <w:pStyle w:val="38"/>
        <w:rPr>
          <w:color w:val="auto"/>
          <w:highlight w:val="none"/>
        </w:rPr>
      </w:pPr>
    </w:p>
    <w:p w14:paraId="1A443F9D">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01ACABE7">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7D96F81F">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0D7672FF">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1C75D186">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60FB13F4">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56390F99">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1F65371A">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3F1391A0">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37BEC462">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4A9BFF03">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526D52C4">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0C5CFA87">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4BA7447C">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6CB917FE">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68528C61">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7563A614">
      <w:pPr>
        <w:keepNext w:val="0"/>
        <w:keepLines w:val="0"/>
        <w:pageBreakBefore w:val="0"/>
        <w:kinsoku/>
        <w:overflowPunct/>
        <w:topLinePunct w:val="0"/>
        <w:bidi w:val="0"/>
        <w:spacing w:beforeAutospacing="0" w:afterAutospacing="0" w:line="560" w:lineRule="exact"/>
        <w:jc w:val="center"/>
        <w:outlineLvl w:val="0"/>
        <w:rPr>
          <w:rFonts w:hint="eastAsia" w:eastAsia="宋体"/>
          <w:color w:val="auto"/>
          <w:sz w:val="28"/>
          <w:szCs w:val="20"/>
          <w:highlight w:val="none"/>
          <w:lang w:val="en-US" w:eastAsia="zh-CN"/>
        </w:rPr>
      </w:pPr>
    </w:p>
    <w:p w14:paraId="4A56D122">
      <w:pPr>
        <w:rPr>
          <w:rFonts w:hint="eastAsia" w:eastAsia="宋体"/>
          <w:color w:val="auto"/>
          <w:sz w:val="28"/>
          <w:szCs w:val="20"/>
          <w:highlight w:val="none"/>
          <w:lang w:val="en-US" w:eastAsia="zh-CN"/>
        </w:rPr>
      </w:pPr>
      <w:r>
        <w:rPr>
          <w:rFonts w:hint="eastAsia" w:eastAsia="宋体"/>
          <w:color w:val="auto"/>
          <w:sz w:val="28"/>
          <w:szCs w:val="20"/>
          <w:highlight w:val="none"/>
          <w:lang w:val="en-US" w:eastAsia="zh-CN"/>
        </w:rPr>
        <w:br w:type="page"/>
      </w:r>
    </w:p>
    <w:p w14:paraId="470DDC3B">
      <w:pPr>
        <w:keepNext w:val="0"/>
        <w:keepLines w:val="0"/>
        <w:pageBreakBefore w:val="0"/>
        <w:kinsoku/>
        <w:overflowPunct/>
        <w:topLinePunct w:val="0"/>
        <w:bidi w:val="0"/>
        <w:spacing w:beforeAutospacing="0" w:afterAutospacing="0" w:line="560" w:lineRule="exact"/>
        <w:jc w:val="center"/>
        <w:outlineLvl w:val="0"/>
        <w:rPr>
          <w:rFonts w:hint="eastAsia" w:eastAsia="宋体"/>
          <w:color w:val="auto"/>
          <w:sz w:val="28"/>
          <w:szCs w:val="20"/>
          <w:highlight w:val="none"/>
          <w:lang w:val="en-US" w:eastAsia="zh-CN"/>
        </w:rPr>
      </w:pPr>
      <w:r>
        <w:rPr>
          <w:rFonts w:hint="eastAsia" w:eastAsia="宋体"/>
          <w:color w:val="auto"/>
          <w:sz w:val="28"/>
          <w:szCs w:val="20"/>
          <w:highlight w:val="none"/>
          <w:lang w:val="en-US" w:eastAsia="zh-CN"/>
        </w:rPr>
        <w:t>七、完成的主要业绩表</w:t>
      </w:r>
    </w:p>
    <w:tbl>
      <w:tblPr>
        <w:tblStyle w:val="16"/>
        <w:tblpPr w:leftFromText="180" w:rightFromText="180" w:vertAnchor="text" w:horzAnchor="page" w:tblpX="1502" w:tblpY="20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693"/>
        <w:gridCol w:w="1560"/>
        <w:gridCol w:w="2126"/>
        <w:gridCol w:w="1417"/>
        <w:gridCol w:w="993"/>
      </w:tblGrid>
      <w:tr w14:paraId="0100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851" w:type="dxa"/>
            <w:vAlign w:val="center"/>
          </w:tcPr>
          <w:p w14:paraId="1CC8AE41">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序号</w:t>
            </w:r>
          </w:p>
        </w:tc>
        <w:tc>
          <w:tcPr>
            <w:tcW w:w="2693" w:type="dxa"/>
            <w:vAlign w:val="center"/>
          </w:tcPr>
          <w:p w14:paraId="3AD56036">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项目名称</w:t>
            </w:r>
          </w:p>
        </w:tc>
        <w:tc>
          <w:tcPr>
            <w:tcW w:w="1560" w:type="dxa"/>
            <w:vAlign w:val="center"/>
          </w:tcPr>
          <w:p w14:paraId="69283157">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投资金额</w:t>
            </w:r>
          </w:p>
        </w:tc>
        <w:tc>
          <w:tcPr>
            <w:tcW w:w="2126" w:type="dxa"/>
            <w:vAlign w:val="center"/>
          </w:tcPr>
          <w:p w14:paraId="361F67FD">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业主单位名称</w:t>
            </w:r>
          </w:p>
        </w:tc>
        <w:tc>
          <w:tcPr>
            <w:tcW w:w="1417" w:type="dxa"/>
            <w:vAlign w:val="center"/>
          </w:tcPr>
          <w:p w14:paraId="2D202F2C">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完成时间</w:t>
            </w:r>
          </w:p>
        </w:tc>
        <w:tc>
          <w:tcPr>
            <w:tcW w:w="993" w:type="dxa"/>
            <w:vAlign w:val="center"/>
          </w:tcPr>
          <w:p w14:paraId="0AE9FD66">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备注</w:t>
            </w:r>
          </w:p>
        </w:tc>
      </w:tr>
      <w:tr w14:paraId="30B48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851" w:type="dxa"/>
            <w:vAlign w:val="center"/>
          </w:tcPr>
          <w:p w14:paraId="77DAF86E">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1</w:t>
            </w:r>
          </w:p>
        </w:tc>
        <w:tc>
          <w:tcPr>
            <w:tcW w:w="2693" w:type="dxa"/>
            <w:vAlign w:val="center"/>
          </w:tcPr>
          <w:p w14:paraId="65D09A72">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560" w:type="dxa"/>
            <w:vAlign w:val="center"/>
          </w:tcPr>
          <w:p w14:paraId="3BBA0BF3">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2126" w:type="dxa"/>
            <w:vAlign w:val="center"/>
          </w:tcPr>
          <w:p w14:paraId="7BD12B12">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417" w:type="dxa"/>
            <w:vAlign w:val="center"/>
          </w:tcPr>
          <w:p w14:paraId="73D0E3B5">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993" w:type="dxa"/>
            <w:vAlign w:val="center"/>
          </w:tcPr>
          <w:p w14:paraId="1BBFECE3">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r>
      <w:tr w14:paraId="4E0EB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851" w:type="dxa"/>
            <w:vAlign w:val="center"/>
          </w:tcPr>
          <w:p w14:paraId="4E4F61C3">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2</w:t>
            </w:r>
          </w:p>
        </w:tc>
        <w:tc>
          <w:tcPr>
            <w:tcW w:w="2693" w:type="dxa"/>
            <w:vAlign w:val="center"/>
          </w:tcPr>
          <w:p w14:paraId="7BF5C3BA">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560" w:type="dxa"/>
            <w:vAlign w:val="center"/>
          </w:tcPr>
          <w:p w14:paraId="7F1EADED">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2126" w:type="dxa"/>
            <w:vAlign w:val="center"/>
          </w:tcPr>
          <w:p w14:paraId="259C922C">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417" w:type="dxa"/>
            <w:vAlign w:val="center"/>
          </w:tcPr>
          <w:p w14:paraId="4454B321">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993" w:type="dxa"/>
            <w:vAlign w:val="center"/>
          </w:tcPr>
          <w:p w14:paraId="3CFAC627">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r>
      <w:tr w14:paraId="660E9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851" w:type="dxa"/>
            <w:vAlign w:val="center"/>
          </w:tcPr>
          <w:p w14:paraId="342CD706">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3</w:t>
            </w:r>
          </w:p>
        </w:tc>
        <w:tc>
          <w:tcPr>
            <w:tcW w:w="2693" w:type="dxa"/>
            <w:vAlign w:val="center"/>
          </w:tcPr>
          <w:p w14:paraId="62A0D20A">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560" w:type="dxa"/>
            <w:vAlign w:val="center"/>
          </w:tcPr>
          <w:p w14:paraId="59661111">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2126" w:type="dxa"/>
            <w:vAlign w:val="center"/>
          </w:tcPr>
          <w:p w14:paraId="20E9D6E8">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417" w:type="dxa"/>
            <w:vAlign w:val="center"/>
          </w:tcPr>
          <w:p w14:paraId="26513E79">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993" w:type="dxa"/>
            <w:vAlign w:val="center"/>
          </w:tcPr>
          <w:p w14:paraId="30087A23">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r>
      <w:tr w14:paraId="366F7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851" w:type="dxa"/>
            <w:vAlign w:val="center"/>
          </w:tcPr>
          <w:p w14:paraId="44DEDF26">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4</w:t>
            </w:r>
          </w:p>
        </w:tc>
        <w:tc>
          <w:tcPr>
            <w:tcW w:w="2693" w:type="dxa"/>
            <w:vAlign w:val="center"/>
          </w:tcPr>
          <w:p w14:paraId="252AAD02">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560" w:type="dxa"/>
            <w:vAlign w:val="center"/>
          </w:tcPr>
          <w:p w14:paraId="7FB4F16B">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2126" w:type="dxa"/>
            <w:vAlign w:val="center"/>
          </w:tcPr>
          <w:p w14:paraId="2D25CED6">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417" w:type="dxa"/>
            <w:vAlign w:val="center"/>
          </w:tcPr>
          <w:p w14:paraId="63050322">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993" w:type="dxa"/>
            <w:vAlign w:val="center"/>
          </w:tcPr>
          <w:p w14:paraId="661EA1DC">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r>
      <w:tr w14:paraId="20FDB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851" w:type="dxa"/>
            <w:vAlign w:val="center"/>
          </w:tcPr>
          <w:p w14:paraId="27392A9A">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5</w:t>
            </w:r>
          </w:p>
        </w:tc>
        <w:tc>
          <w:tcPr>
            <w:tcW w:w="2693" w:type="dxa"/>
            <w:vAlign w:val="center"/>
          </w:tcPr>
          <w:p w14:paraId="25CDE0CD">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560" w:type="dxa"/>
            <w:vAlign w:val="center"/>
          </w:tcPr>
          <w:p w14:paraId="12969CA9">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2126" w:type="dxa"/>
            <w:vAlign w:val="center"/>
          </w:tcPr>
          <w:p w14:paraId="0A2B8E3F">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417" w:type="dxa"/>
            <w:vAlign w:val="center"/>
          </w:tcPr>
          <w:p w14:paraId="5798CFCB">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993" w:type="dxa"/>
            <w:vAlign w:val="center"/>
          </w:tcPr>
          <w:p w14:paraId="517BE86B">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r>
      <w:tr w14:paraId="3A2CC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851" w:type="dxa"/>
            <w:vAlign w:val="center"/>
          </w:tcPr>
          <w:p w14:paraId="59F6C708">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6</w:t>
            </w:r>
          </w:p>
        </w:tc>
        <w:tc>
          <w:tcPr>
            <w:tcW w:w="2693" w:type="dxa"/>
            <w:vAlign w:val="center"/>
          </w:tcPr>
          <w:p w14:paraId="065FB789">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560" w:type="dxa"/>
            <w:vAlign w:val="center"/>
          </w:tcPr>
          <w:p w14:paraId="26026A96">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2126" w:type="dxa"/>
            <w:vAlign w:val="center"/>
          </w:tcPr>
          <w:p w14:paraId="329A4AF0">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417" w:type="dxa"/>
            <w:vAlign w:val="center"/>
          </w:tcPr>
          <w:p w14:paraId="699E4175">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993" w:type="dxa"/>
            <w:vAlign w:val="center"/>
          </w:tcPr>
          <w:p w14:paraId="75357D6A">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r>
      <w:tr w14:paraId="2BFF3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851" w:type="dxa"/>
            <w:vAlign w:val="center"/>
          </w:tcPr>
          <w:p w14:paraId="31E69BCB">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7</w:t>
            </w:r>
          </w:p>
        </w:tc>
        <w:tc>
          <w:tcPr>
            <w:tcW w:w="2693" w:type="dxa"/>
            <w:vAlign w:val="center"/>
          </w:tcPr>
          <w:p w14:paraId="44B8F916">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560" w:type="dxa"/>
            <w:vAlign w:val="center"/>
          </w:tcPr>
          <w:p w14:paraId="6A0B637B">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2126" w:type="dxa"/>
            <w:vAlign w:val="center"/>
          </w:tcPr>
          <w:p w14:paraId="1EFD18CE">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417" w:type="dxa"/>
            <w:vAlign w:val="center"/>
          </w:tcPr>
          <w:p w14:paraId="68AAD3E6">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993" w:type="dxa"/>
            <w:vAlign w:val="center"/>
          </w:tcPr>
          <w:p w14:paraId="5D547128">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r>
      <w:tr w14:paraId="77AA9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851" w:type="dxa"/>
            <w:vAlign w:val="center"/>
          </w:tcPr>
          <w:p w14:paraId="7D90D2AD">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8</w:t>
            </w:r>
          </w:p>
        </w:tc>
        <w:tc>
          <w:tcPr>
            <w:tcW w:w="2693" w:type="dxa"/>
            <w:vAlign w:val="center"/>
          </w:tcPr>
          <w:p w14:paraId="0A6C2F5E">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560" w:type="dxa"/>
            <w:vAlign w:val="center"/>
          </w:tcPr>
          <w:p w14:paraId="43A88D72">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2126" w:type="dxa"/>
            <w:vAlign w:val="center"/>
          </w:tcPr>
          <w:p w14:paraId="2E0DB634">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417" w:type="dxa"/>
            <w:vAlign w:val="center"/>
          </w:tcPr>
          <w:p w14:paraId="300D4D74">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993" w:type="dxa"/>
            <w:vAlign w:val="center"/>
          </w:tcPr>
          <w:p w14:paraId="6BB635FB">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r>
      <w:tr w14:paraId="03499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851" w:type="dxa"/>
            <w:vAlign w:val="center"/>
          </w:tcPr>
          <w:p w14:paraId="5047E478">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9</w:t>
            </w:r>
          </w:p>
        </w:tc>
        <w:tc>
          <w:tcPr>
            <w:tcW w:w="2693" w:type="dxa"/>
            <w:vAlign w:val="center"/>
          </w:tcPr>
          <w:p w14:paraId="101CAACC">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560" w:type="dxa"/>
            <w:vAlign w:val="center"/>
          </w:tcPr>
          <w:p w14:paraId="2FE78B26">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2126" w:type="dxa"/>
            <w:vAlign w:val="center"/>
          </w:tcPr>
          <w:p w14:paraId="17E33540">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1417" w:type="dxa"/>
            <w:vAlign w:val="center"/>
          </w:tcPr>
          <w:p w14:paraId="724685BD">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c>
          <w:tcPr>
            <w:tcW w:w="993" w:type="dxa"/>
            <w:vAlign w:val="center"/>
          </w:tcPr>
          <w:p w14:paraId="0BC0535E">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jc w:val="center"/>
              <w:textAlignment w:val="auto"/>
              <w:rPr>
                <w:rFonts w:ascii="宋体" w:hAnsi="宋体" w:eastAsia="宋体"/>
                <w:color w:val="auto"/>
                <w:sz w:val="24"/>
                <w:szCs w:val="28"/>
                <w:highlight w:val="none"/>
              </w:rPr>
            </w:pPr>
          </w:p>
        </w:tc>
      </w:tr>
    </w:tbl>
    <w:p w14:paraId="269D312D">
      <w:pPr>
        <w:wordWrap w:val="0"/>
        <w:spacing w:beforeAutospacing="0" w:afterAutospacing="0" w:line="600" w:lineRule="exact"/>
        <w:ind w:firstLine="560" w:firstLineChars="200"/>
        <w:rPr>
          <w:rFonts w:hint="eastAsia" w:ascii="宋体" w:hAnsi="宋体" w:eastAsia="宋体" w:cstheme="minorBidi"/>
          <w:color w:val="auto"/>
          <w:kern w:val="2"/>
          <w:sz w:val="28"/>
          <w:szCs w:val="24"/>
          <w:highlight w:val="none"/>
          <w:lang w:val="en-US" w:eastAsia="zh-CN" w:bidi="ar-SA"/>
        </w:rPr>
      </w:pPr>
      <w:r>
        <w:rPr>
          <w:rFonts w:hint="eastAsia" w:ascii="宋体" w:hAnsi="宋体" w:eastAsia="宋体" w:cstheme="minorBidi"/>
          <w:color w:val="auto"/>
          <w:kern w:val="2"/>
          <w:sz w:val="28"/>
          <w:szCs w:val="24"/>
          <w:highlight w:val="none"/>
          <w:lang w:val="en-US" w:eastAsia="zh-CN" w:bidi="ar-SA"/>
        </w:rPr>
        <w:t>注：1.此表后附项目业绩合同或中标（成交）通知书的扫描件。</w:t>
      </w:r>
    </w:p>
    <w:p w14:paraId="016A09B6">
      <w:pPr>
        <w:pStyle w:val="2"/>
        <w:keepNext w:val="0"/>
        <w:keepLines w:val="0"/>
        <w:pageBreakBefore w:val="0"/>
        <w:widowControl w:val="0"/>
        <w:kinsoku/>
        <w:wordWrap w:val="0"/>
        <w:overflowPunct/>
        <w:topLinePunct w:val="0"/>
        <w:autoSpaceDE w:val="0"/>
        <w:autoSpaceDN w:val="0"/>
        <w:bidi w:val="0"/>
        <w:adjustRightInd/>
        <w:snapToGrid/>
        <w:spacing w:line="360" w:lineRule="auto"/>
        <w:ind w:left="458" w:leftChars="218" w:firstLine="560" w:firstLineChars="200"/>
        <w:jc w:val="left"/>
        <w:textAlignment w:val="auto"/>
        <w:rPr>
          <w:rFonts w:hint="eastAsia" w:ascii="宋体" w:hAnsi="宋体" w:eastAsia="宋体" w:cstheme="minorBidi"/>
          <w:color w:val="auto"/>
          <w:kern w:val="2"/>
          <w:sz w:val="28"/>
          <w:szCs w:val="24"/>
          <w:highlight w:val="none"/>
          <w:lang w:val="en-US" w:eastAsia="zh-CN" w:bidi="ar-SA"/>
        </w:rPr>
      </w:pPr>
      <w:r>
        <w:rPr>
          <w:rFonts w:hint="eastAsia" w:ascii="宋体" w:hAnsi="宋体" w:eastAsia="宋体" w:cstheme="minorBidi"/>
          <w:color w:val="auto"/>
          <w:kern w:val="2"/>
          <w:sz w:val="28"/>
          <w:szCs w:val="24"/>
          <w:highlight w:val="none"/>
          <w:lang w:val="en-US" w:eastAsia="zh-CN" w:bidi="ar-SA"/>
        </w:rPr>
        <w:t>2.若以联合体形式投标，联合体牵头人</w:t>
      </w:r>
      <w:r>
        <w:rPr>
          <w:rFonts w:hint="eastAsia" w:ascii="宋体" w:hAnsi="宋体" w:cstheme="minorBidi"/>
          <w:color w:val="auto"/>
          <w:kern w:val="2"/>
          <w:sz w:val="28"/>
          <w:szCs w:val="24"/>
          <w:highlight w:val="none"/>
          <w:lang w:val="en-US" w:eastAsia="zh-CN" w:bidi="ar-SA"/>
        </w:rPr>
        <w:t>及联合体成员</w:t>
      </w:r>
      <w:r>
        <w:rPr>
          <w:rFonts w:hint="eastAsia" w:ascii="宋体" w:hAnsi="宋体" w:eastAsia="宋体" w:cstheme="minorBidi"/>
          <w:color w:val="auto"/>
          <w:kern w:val="2"/>
          <w:sz w:val="28"/>
          <w:szCs w:val="24"/>
          <w:highlight w:val="none"/>
          <w:lang w:val="en-US" w:eastAsia="zh-CN" w:bidi="ar-SA"/>
        </w:rPr>
        <w:t>提供的</w:t>
      </w:r>
      <w:r>
        <w:rPr>
          <w:rFonts w:hint="eastAsia" w:ascii="宋体" w:hAnsi="宋体" w:cstheme="minorBidi"/>
          <w:color w:val="auto"/>
          <w:kern w:val="2"/>
          <w:sz w:val="28"/>
          <w:szCs w:val="24"/>
          <w:highlight w:val="none"/>
          <w:lang w:val="en-US" w:eastAsia="zh-CN" w:bidi="ar-SA"/>
        </w:rPr>
        <w:t>业绩</w:t>
      </w:r>
      <w:r>
        <w:rPr>
          <w:rFonts w:hint="eastAsia" w:ascii="宋体" w:hAnsi="宋体" w:eastAsia="宋体" w:cstheme="minorBidi"/>
          <w:color w:val="auto"/>
          <w:kern w:val="2"/>
          <w:sz w:val="28"/>
          <w:szCs w:val="24"/>
          <w:highlight w:val="none"/>
          <w:lang w:val="en-US" w:eastAsia="zh-CN" w:bidi="ar-SA"/>
        </w:rPr>
        <w:t>证明</w:t>
      </w:r>
      <w:r>
        <w:rPr>
          <w:rFonts w:hint="eastAsia" w:ascii="宋体" w:hAnsi="宋体" w:cstheme="minorBidi"/>
          <w:color w:val="auto"/>
          <w:kern w:val="2"/>
          <w:sz w:val="28"/>
          <w:szCs w:val="24"/>
          <w:highlight w:val="none"/>
          <w:lang w:val="en-US" w:eastAsia="zh-CN" w:bidi="ar-SA"/>
        </w:rPr>
        <w:t>均可</w:t>
      </w:r>
      <w:r>
        <w:rPr>
          <w:rFonts w:hint="eastAsia" w:ascii="宋体" w:hAnsi="宋体" w:eastAsia="宋体" w:cstheme="minorBidi"/>
          <w:color w:val="auto"/>
          <w:kern w:val="2"/>
          <w:sz w:val="28"/>
          <w:szCs w:val="24"/>
          <w:highlight w:val="none"/>
          <w:lang w:val="en-US" w:eastAsia="zh-CN" w:bidi="ar-SA"/>
        </w:rPr>
        <w:t>。</w:t>
      </w:r>
    </w:p>
    <w:p w14:paraId="021E1C5F">
      <w:pPr>
        <w:pStyle w:val="31"/>
        <w:rPr>
          <w:rFonts w:hint="eastAsia"/>
          <w:color w:val="auto"/>
        </w:rPr>
      </w:pPr>
    </w:p>
    <w:p w14:paraId="141703B2">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7AD485F9">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0FE90286">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74F6EB7B">
      <w:pPr>
        <w:rPr>
          <w:rFonts w:hint="eastAsia" w:eastAsia="宋体"/>
          <w:color w:val="auto"/>
          <w:sz w:val="28"/>
          <w:szCs w:val="20"/>
          <w:highlight w:val="none"/>
          <w:lang w:val="en-US" w:eastAsia="zh-CN"/>
        </w:rPr>
      </w:pPr>
      <w:r>
        <w:rPr>
          <w:rFonts w:hint="eastAsia" w:eastAsia="宋体"/>
          <w:color w:val="auto"/>
          <w:sz w:val="28"/>
          <w:szCs w:val="20"/>
          <w:highlight w:val="none"/>
          <w:lang w:val="en-US" w:eastAsia="zh-CN"/>
        </w:rPr>
        <w:br w:type="page"/>
      </w:r>
    </w:p>
    <w:p w14:paraId="194EEF9B">
      <w:pPr>
        <w:keepNext w:val="0"/>
        <w:keepLines w:val="0"/>
        <w:pageBreakBefore w:val="0"/>
        <w:kinsoku/>
        <w:overflowPunct/>
        <w:topLinePunct w:val="0"/>
        <w:bidi w:val="0"/>
        <w:spacing w:beforeAutospacing="0" w:afterAutospacing="0" w:line="560" w:lineRule="exact"/>
        <w:jc w:val="center"/>
        <w:outlineLvl w:val="0"/>
        <w:rPr>
          <w:rFonts w:hint="eastAsia" w:eastAsia="宋体"/>
          <w:color w:val="auto"/>
          <w:sz w:val="28"/>
          <w:szCs w:val="20"/>
          <w:highlight w:val="none"/>
          <w:lang w:val="en-US" w:eastAsia="zh-CN"/>
        </w:rPr>
      </w:pPr>
      <w:r>
        <w:rPr>
          <w:rFonts w:hint="eastAsia" w:eastAsia="宋体"/>
          <w:color w:val="auto"/>
          <w:sz w:val="28"/>
          <w:szCs w:val="20"/>
          <w:highlight w:val="none"/>
          <w:lang w:val="en-US" w:eastAsia="zh-CN"/>
        </w:rPr>
        <w:t>八、服务方案</w:t>
      </w:r>
    </w:p>
    <w:p w14:paraId="3734E122">
      <w:pPr>
        <w:wordWrap w:val="0"/>
        <w:spacing w:beforeAutospacing="0" w:afterAutospacing="0" w:line="600" w:lineRule="exact"/>
        <w:rPr>
          <w:rFonts w:ascii="宋体" w:hAnsi="宋体" w:eastAsia="宋体"/>
          <w:color w:val="auto"/>
          <w:sz w:val="28"/>
          <w:szCs w:val="28"/>
          <w:highlight w:val="none"/>
        </w:rPr>
      </w:pPr>
    </w:p>
    <w:p w14:paraId="61BAE152">
      <w:pPr>
        <w:wordWrap w:val="0"/>
        <w:spacing w:beforeAutospacing="0" w:afterAutospacing="0" w:line="600" w:lineRule="exact"/>
        <w:ind w:firstLine="480" w:firstLineChars="20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此项格式自理，内容应包括但不限制于评分办法提到的内容。</w:t>
      </w:r>
    </w:p>
    <w:p w14:paraId="7723B42F">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620AA26C">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31B4F553">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5423E8BA">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7D403C66">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69398953">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33488073">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657EE901">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72AF17D8">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27500A23">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5487FE59">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6CD61F80">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4D515727">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59E1F1F2">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7EE4DAD8">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201CEE68">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4F3130CA">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3F00203F">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1640620F">
      <w:pPr>
        <w:keepNext w:val="0"/>
        <w:keepLines w:val="0"/>
        <w:pageBreakBefore w:val="0"/>
        <w:kinsoku/>
        <w:overflowPunct/>
        <w:topLinePunct w:val="0"/>
        <w:bidi w:val="0"/>
        <w:spacing w:beforeAutospacing="0" w:afterAutospacing="0" w:line="560" w:lineRule="exact"/>
        <w:jc w:val="center"/>
        <w:outlineLvl w:val="0"/>
        <w:rPr>
          <w:rFonts w:hint="eastAsia" w:eastAsia="宋体"/>
          <w:color w:val="auto"/>
          <w:sz w:val="28"/>
          <w:szCs w:val="20"/>
          <w:highlight w:val="none"/>
          <w:lang w:val="en-US" w:eastAsia="zh-CN"/>
        </w:rPr>
      </w:pPr>
    </w:p>
    <w:p w14:paraId="4BF93476">
      <w:pPr>
        <w:rPr>
          <w:rFonts w:hint="eastAsia" w:eastAsia="宋体"/>
          <w:color w:val="auto"/>
          <w:sz w:val="28"/>
          <w:szCs w:val="20"/>
          <w:highlight w:val="none"/>
          <w:lang w:val="en-US" w:eastAsia="zh-CN"/>
        </w:rPr>
      </w:pPr>
      <w:r>
        <w:rPr>
          <w:rFonts w:hint="eastAsia" w:eastAsia="宋体"/>
          <w:color w:val="auto"/>
          <w:sz w:val="28"/>
          <w:szCs w:val="20"/>
          <w:highlight w:val="none"/>
          <w:lang w:val="en-US" w:eastAsia="zh-CN"/>
        </w:rPr>
        <w:br w:type="page"/>
      </w:r>
    </w:p>
    <w:p w14:paraId="4BDEB250">
      <w:pPr>
        <w:keepNext w:val="0"/>
        <w:keepLines w:val="0"/>
        <w:pageBreakBefore w:val="0"/>
        <w:kinsoku/>
        <w:overflowPunct/>
        <w:topLinePunct w:val="0"/>
        <w:bidi w:val="0"/>
        <w:spacing w:beforeAutospacing="0" w:afterAutospacing="0" w:line="560" w:lineRule="exact"/>
        <w:jc w:val="center"/>
        <w:outlineLvl w:val="0"/>
        <w:rPr>
          <w:rFonts w:hint="eastAsia" w:eastAsia="宋体"/>
          <w:color w:val="auto"/>
          <w:sz w:val="28"/>
          <w:szCs w:val="20"/>
          <w:highlight w:val="none"/>
          <w:lang w:val="en-US" w:eastAsia="zh-CN"/>
        </w:rPr>
      </w:pPr>
      <w:r>
        <w:rPr>
          <w:rFonts w:hint="eastAsia" w:eastAsia="宋体"/>
          <w:color w:val="auto"/>
          <w:sz w:val="28"/>
          <w:szCs w:val="20"/>
          <w:highlight w:val="none"/>
          <w:lang w:val="en-US" w:eastAsia="zh-CN"/>
        </w:rPr>
        <w:t>九、其它相关资料</w:t>
      </w:r>
    </w:p>
    <w:p w14:paraId="0BD3D369">
      <w:pPr>
        <w:keepNext w:val="0"/>
        <w:keepLines w:val="0"/>
        <w:pageBreakBefore w:val="0"/>
        <w:kinsoku/>
        <w:overflowPunct/>
        <w:topLinePunct w:val="0"/>
        <w:bidi w:val="0"/>
        <w:spacing w:beforeAutospacing="0" w:afterAutospacing="0" w:line="560" w:lineRule="exact"/>
        <w:jc w:val="center"/>
        <w:outlineLvl w:val="0"/>
        <w:rPr>
          <w:rFonts w:hint="eastAsia" w:eastAsia="宋体"/>
          <w:color w:val="auto"/>
          <w:sz w:val="28"/>
          <w:szCs w:val="20"/>
          <w:highlight w:val="none"/>
          <w:lang w:val="en-US"/>
        </w:rPr>
      </w:pPr>
      <w:r>
        <w:rPr>
          <w:rFonts w:hint="eastAsia" w:eastAsia="宋体"/>
          <w:color w:val="auto"/>
          <w:sz w:val="28"/>
          <w:szCs w:val="20"/>
          <w:highlight w:val="none"/>
          <w:lang w:val="en-US"/>
        </w:rPr>
        <w:t>投标供应商认为应附的其它相关资料</w:t>
      </w:r>
    </w:p>
    <w:p w14:paraId="05FE180B">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60D9500">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D85D85E">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359A4A0">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6D3D30C">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23025AD">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3F2978AA">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3BB7E8EB">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B40AC28">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11186AB">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13C6F9CB">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49B6AF28">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5A110B6">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7DAE9C55">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2D5D533">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2A647D6">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6B1F7C21">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67268E8B">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43B67532">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21259140">
      <w:pPr>
        <w:rPr>
          <w:rFonts w:hint="eastAsia" w:ascii="宋体" w:hAnsi="宋体"/>
          <w:b/>
          <w:bCs/>
          <w:color w:val="auto"/>
          <w:sz w:val="24"/>
          <w:szCs w:val="24"/>
          <w:highlight w:val="none"/>
        </w:rPr>
      </w:pPr>
    </w:p>
    <w:p w14:paraId="459AA8EE">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7A0E87B7">
      <w:pPr>
        <w:rPr>
          <w:rFonts w:hint="eastAsia" w:ascii="宋体" w:hAnsi="宋体"/>
          <w:b/>
          <w:bCs/>
          <w:color w:val="auto"/>
          <w:sz w:val="24"/>
          <w:szCs w:val="24"/>
          <w:highlight w:val="none"/>
        </w:rPr>
      </w:pPr>
      <w:r>
        <w:rPr>
          <w:rFonts w:hint="eastAsia" w:ascii="宋体" w:hAnsi="宋体"/>
          <w:b/>
          <w:bCs/>
          <w:color w:val="auto"/>
          <w:sz w:val="24"/>
          <w:szCs w:val="24"/>
          <w:highlight w:val="none"/>
        </w:rPr>
        <w:t>附件</w:t>
      </w:r>
    </w:p>
    <w:p w14:paraId="1A797763">
      <w:pPr>
        <w:spacing w:line="360" w:lineRule="auto"/>
        <w:jc w:val="center"/>
        <w:outlineLvl w:val="1"/>
        <w:rPr>
          <w:rFonts w:hint="eastAsia" w:ascii="宋体" w:hAnsi="宋体" w:cs="宋体"/>
          <w:b/>
          <w:bCs/>
          <w:color w:val="auto"/>
          <w:sz w:val="32"/>
          <w:szCs w:val="32"/>
          <w:highlight w:val="none"/>
        </w:rPr>
      </w:pPr>
      <w:bookmarkStart w:id="216" w:name="_Toc15511"/>
      <w:r>
        <w:rPr>
          <w:rFonts w:hint="eastAsia" w:ascii="宋体" w:hAnsi="宋体" w:cs="宋体"/>
          <w:b/>
          <w:bCs/>
          <w:color w:val="auto"/>
          <w:sz w:val="32"/>
          <w:szCs w:val="32"/>
          <w:highlight w:val="none"/>
        </w:rPr>
        <w:t>中小企业声明函（服务）（如有）</w:t>
      </w:r>
      <w:bookmarkEnd w:id="216"/>
    </w:p>
    <w:p w14:paraId="4184D1FE">
      <w:pPr>
        <w:widowControl/>
        <w:spacing w:line="4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本公司（联合体）郑重声明，根据《政府采购促进中小企业发展管理办法》（财库﹝2020﹞46号）的规定，本公司 （联合体）参加</w:t>
      </w:r>
      <w:r>
        <w:rPr>
          <w:rFonts w:hint="eastAsia" w:ascii="宋体" w:hAnsi="宋体" w:eastAsia="宋体" w:cs="宋体"/>
          <w:color w:val="auto"/>
          <w:kern w:val="0"/>
          <w:sz w:val="24"/>
          <w:szCs w:val="24"/>
          <w:u w:val="single"/>
        </w:rPr>
        <w:t>（单位名称）</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u w:val="single"/>
        </w:rPr>
        <w:t>（项目名称）</w:t>
      </w:r>
      <w:r>
        <w:rPr>
          <w:rFonts w:hint="eastAsia" w:ascii="宋体" w:hAnsi="宋体" w:eastAsia="宋体" w:cs="宋体"/>
          <w:color w:val="auto"/>
          <w:kern w:val="0"/>
          <w:sz w:val="24"/>
          <w:szCs w:val="24"/>
        </w:rPr>
        <w:t>采购活动，提供的</w:t>
      </w:r>
      <w:r>
        <w:rPr>
          <w:rFonts w:hint="eastAsia" w:ascii="宋体" w:hAnsi="宋体" w:eastAsia="宋体" w:cs="宋体"/>
          <w:color w:val="auto"/>
          <w:kern w:val="0"/>
          <w:sz w:val="24"/>
          <w:szCs w:val="24"/>
          <w:lang w:eastAsia="zh-CN"/>
        </w:rPr>
        <w:t>服务</w:t>
      </w:r>
      <w:r>
        <w:rPr>
          <w:rFonts w:hint="eastAsia" w:ascii="宋体" w:hAnsi="宋体" w:eastAsia="宋体" w:cs="宋体"/>
          <w:color w:val="auto"/>
          <w:kern w:val="0"/>
          <w:sz w:val="24"/>
          <w:szCs w:val="24"/>
        </w:rPr>
        <w:t xml:space="preserve">全部由符合政策要求的中小企业制造。相关企业（含联合体中的中小企业、签订分包意向协议的中小企业）的具体情况如下： </w:t>
      </w:r>
    </w:p>
    <w:p w14:paraId="47ADD4D1">
      <w:pPr>
        <w:widowControl/>
        <w:spacing w:line="4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 </w:t>
      </w:r>
      <w:r>
        <w:rPr>
          <w:rFonts w:hint="eastAsia" w:ascii="宋体" w:hAnsi="宋体" w:eastAsia="宋体" w:cs="宋体"/>
          <w:color w:val="auto"/>
          <w:kern w:val="0"/>
          <w:sz w:val="24"/>
          <w:szCs w:val="24"/>
          <w:u w:val="single"/>
        </w:rPr>
        <w:t xml:space="preserve">（标的名称） </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 xml:space="preserve">（采购文件中明确的所属行业） </w:t>
      </w:r>
      <w:r>
        <w:rPr>
          <w:rFonts w:hint="eastAsia" w:ascii="宋体" w:hAnsi="宋体" w:eastAsia="宋体" w:cs="宋体"/>
          <w:color w:val="auto"/>
          <w:kern w:val="0"/>
          <w:sz w:val="24"/>
          <w:szCs w:val="24"/>
        </w:rPr>
        <w:t>行业；制造商为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，从业人员人，营业收入为万元，资产总额为万元，属于</w:t>
      </w:r>
      <w:r>
        <w:rPr>
          <w:rFonts w:hint="eastAsia" w:ascii="宋体" w:hAnsi="宋体" w:eastAsia="宋体" w:cs="宋体"/>
          <w:color w:val="auto"/>
          <w:kern w:val="0"/>
          <w:sz w:val="24"/>
          <w:szCs w:val="24"/>
          <w:u w:val="single"/>
        </w:rPr>
        <w:t>（中型企业、小 型企业、微型企业）</w:t>
      </w:r>
      <w:r>
        <w:rPr>
          <w:rFonts w:hint="eastAsia" w:ascii="宋体" w:hAnsi="宋体" w:eastAsia="宋体" w:cs="宋体"/>
          <w:color w:val="auto"/>
          <w:kern w:val="0"/>
          <w:sz w:val="24"/>
          <w:szCs w:val="24"/>
        </w:rPr>
        <w:t xml:space="preserve">； </w:t>
      </w:r>
    </w:p>
    <w:p w14:paraId="2495B36F">
      <w:pPr>
        <w:widowControl/>
        <w:spacing w:line="4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 </w:t>
      </w:r>
      <w:r>
        <w:rPr>
          <w:rFonts w:hint="eastAsia" w:ascii="宋体" w:hAnsi="宋体" w:eastAsia="宋体" w:cs="宋体"/>
          <w:color w:val="auto"/>
          <w:kern w:val="0"/>
          <w:sz w:val="24"/>
          <w:szCs w:val="24"/>
          <w:u w:val="single"/>
        </w:rPr>
        <w:t xml:space="preserve">（标的名称） </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（采购文件中明确的所属行业）</w:t>
      </w:r>
      <w:r>
        <w:rPr>
          <w:rFonts w:hint="eastAsia" w:ascii="宋体" w:hAnsi="宋体" w:eastAsia="宋体" w:cs="宋体"/>
          <w:color w:val="auto"/>
          <w:kern w:val="0"/>
          <w:sz w:val="24"/>
          <w:szCs w:val="24"/>
        </w:rPr>
        <w:t>行业；制造商为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从业人员人，营业收入为万元，资产总额为万元，属于</w:t>
      </w:r>
      <w:r>
        <w:rPr>
          <w:rFonts w:hint="eastAsia" w:ascii="宋体" w:hAnsi="宋体" w:eastAsia="宋体" w:cs="宋体"/>
          <w:color w:val="auto"/>
          <w:kern w:val="0"/>
          <w:sz w:val="24"/>
          <w:szCs w:val="24"/>
          <w:u w:val="single"/>
        </w:rPr>
        <w:t>（中型企业、小型企业、微型企业）</w:t>
      </w:r>
      <w:r>
        <w:rPr>
          <w:rFonts w:hint="eastAsia" w:ascii="宋体" w:hAnsi="宋体" w:eastAsia="宋体" w:cs="宋体"/>
          <w:color w:val="auto"/>
          <w:kern w:val="0"/>
          <w:sz w:val="24"/>
          <w:szCs w:val="24"/>
        </w:rPr>
        <w:t xml:space="preserve">； </w:t>
      </w:r>
    </w:p>
    <w:p w14:paraId="5696D7B5">
      <w:pPr>
        <w:widowControl/>
        <w:spacing w:line="4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p w14:paraId="289D0E22">
      <w:pPr>
        <w:widowControl/>
        <w:spacing w:line="4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以上企业，不属于大企业的分支机构，不存在控股股东为大企业的情形，也不存在与大企业的负责人为同一人的情形。</w:t>
      </w:r>
    </w:p>
    <w:p w14:paraId="075F289D">
      <w:pPr>
        <w:widowControl/>
        <w:spacing w:line="4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本企业对上述声明内容的真实性负责。如有虚假，将依法承担相应责任。 </w:t>
      </w:r>
    </w:p>
    <w:p w14:paraId="6EE46975">
      <w:pPr>
        <w:widowControl/>
        <w:spacing w:line="400" w:lineRule="exact"/>
        <w:jc w:val="left"/>
        <w:rPr>
          <w:rFonts w:hint="eastAsia" w:ascii="宋体" w:hAnsi="宋体" w:eastAsia="宋体" w:cs="宋体"/>
          <w:color w:val="auto"/>
          <w:kern w:val="0"/>
          <w:sz w:val="24"/>
          <w:szCs w:val="24"/>
        </w:rPr>
      </w:pPr>
    </w:p>
    <w:p w14:paraId="69576362">
      <w:pPr>
        <w:widowControl/>
        <w:spacing w:line="400" w:lineRule="exact"/>
        <w:ind w:firstLine="6240" w:firstLineChars="26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企业名称（盖章）： </w:t>
      </w:r>
    </w:p>
    <w:p w14:paraId="389D46C0">
      <w:pPr>
        <w:widowControl/>
        <w:spacing w:line="400" w:lineRule="exact"/>
        <w:ind w:firstLine="6240" w:firstLineChars="26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日 期： </w:t>
      </w:r>
    </w:p>
    <w:p w14:paraId="5F581A77">
      <w:pPr>
        <w:widowControl/>
        <w:spacing w:line="400" w:lineRule="exact"/>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注：</w:t>
      </w:r>
      <w:r>
        <w:rPr>
          <w:rFonts w:hint="eastAsia" w:ascii="宋体" w:hAnsi="宋体" w:eastAsia="宋体" w:cs="宋体"/>
          <w:color w:val="auto"/>
          <w:kern w:val="0"/>
          <w:sz w:val="24"/>
          <w:szCs w:val="24"/>
        </w:rPr>
        <w:t>①从业人员、营业收入、资产总额填报上一年度数据，无上一年度数据的新成立企业可不填报。</w:t>
      </w:r>
    </w:p>
    <w:p w14:paraId="79F26C66">
      <w:pPr>
        <w:widowControl/>
        <w:spacing w:line="4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②</w:t>
      </w:r>
      <w:r>
        <w:rPr>
          <w:rFonts w:hint="eastAsia" w:ascii="宋体" w:hAnsi="宋体" w:eastAsia="宋体" w:cs="宋体"/>
          <w:color w:val="auto"/>
          <w:kern w:val="0"/>
          <w:sz w:val="24"/>
          <w:szCs w:val="24"/>
        </w:rPr>
        <w:t>供应商提供的货物既有中小企业制造货物，也有大型企业制造货物的，不享受《政府采购促进中小企业发展管理办法》规定的中小企业扶持政策。</w:t>
      </w:r>
    </w:p>
    <w:p w14:paraId="339E28A6">
      <w:pPr>
        <w:widowControl/>
        <w:spacing w:line="4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③</w:t>
      </w:r>
      <w:r>
        <w:rPr>
          <w:rFonts w:hint="eastAsia" w:ascii="宋体" w:hAnsi="宋体" w:eastAsia="宋体" w:cs="宋体"/>
          <w:color w:val="auto"/>
          <w:kern w:val="0"/>
          <w:sz w:val="24"/>
          <w:szCs w:val="24"/>
        </w:rPr>
        <w:t xml:space="preserve">以联合体形式参加政府采购活动，联合体各方均为中小企业的，联合体视同中小企业。其中，联合体各方均为小微企业的，联合体视同小微企业。 </w:t>
      </w:r>
    </w:p>
    <w:p w14:paraId="1627DB68">
      <w:pPr>
        <w:widowControl/>
        <w:spacing w:line="4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④在政府采购活动中，供应商提供的所有货物由小微企业制造，即货物由小微企业生产且使用该小微企业商号或者注册商标的，才能享受《政府采购促进中小企业发展管理办法》规定的价格扣减。</w:t>
      </w:r>
    </w:p>
    <w:p w14:paraId="50CEA200">
      <w:pPr>
        <w:widowControl/>
        <w:spacing w:line="4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⑤中小企业声明函格式应严格按照招标文件提供的格式填写。非单一产品采购的，设备制造商不止一家时，中小企业声明函中须列出所有的设备及制造商，罗列不全的中小企业声明函不予认可。</w:t>
      </w:r>
    </w:p>
    <w:p w14:paraId="04EC8BAE">
      <w:pPr>
        <w:spacing w:line="360" w:lineRule="auto"/>
        <w:ind w:right="560" w:firstLine="480" w:firstLineChars="200"/>
        <w:rPr>
          <w:rFonts w:hint="eastAsia" w:ascii="宋体" w:hAnsi="宋体" w:cs="宋体"/>
          <w:color w:val="auto"/>
          <w:sz w:val="24"/>
          <w:szCs w:val="24"/>
          <w:highlight w:val="none"/>
        </w:rPr>
      </w:pPr>
      <w:r>
        <w:rPr>
          <w:rFonts w:hint="eastAsia" w:ascii="宋体" w:hAnsi="宋体" w:eastAsia="宋体" w:cs="宋体"/>
          <w:color w:val="auto"/>
          <w:kern w:val="0"/>
          <w:sz w:val="24"/>
          <w:szCs w:val="24"/>
        </w:rPr>
        <w:t>⑥在货物采购项目中，货物应当由中小企业制造，不对其中涉及的服务的承接商作出要求。</w:t>
      </w:r>
    </w:p>
    <w:p w14:paraId="65AB7CF0">
      <w:pPr>
        <w:spacing w:line="360" w:lineRule="auto"/>
        <w:ind w:right="560" w:firstLine="420" w:firstLineChars="200"/>
        <w:rPr>
          <w:rFonts w:hint="eastAsia" w:ascii="宋体" w:hAnsi="宋体" w:cs="宋体"/>
          <w:color w:val="auto"/>
          <w:szCs w:val="28"/>
          <w:highlight w:val="none"/>
        </w:rPr>
      </w:pPr>
    </w:p>
    <w:sectPr>
      <w:pgSz w:w="11906" w:h="16838"/>
      <w:pgMar w:top="1361" w:right="1077" w:bottom="1361" w:left="1077" w:header="851"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仿宋"/>
    <w:panose1 w:val="00000000000000000000"/>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Plotter">
    <w:altName w:val="Arial"/>
    <w:panose1 w:val="00000000000000000000"/>
    <w:charset w:val="00"/>
    <w:family w:val="moder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DejaVu Sans">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DD0E">
    <w:pPr>
      <w:pStyle w:val="45"/>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14300" cy="152400"/>
              <wp:effectExtent l="0" t="0" r="0" b="0"/>
              <wp:wrapNone/>
              <wp:docPr id="3" name="_x0000_s2054"/>
              <wp:cNvGraphicFramePr/>
              <a:graphic xmlns:a="http://schemas.openxmlformats.org/drawingml/2006/main">
                <a:graphicData uri="http://schemas.microsoft.com/office/word/2010/wordprocessingShape">
                  <wps:wsp>
                    <wps:cNvSpPr/>
                    <wps:spPr>
                      <a:xfrm>
                        <a:off x="0" y="0"/>
                        <a:ext cx="114300" cy="152400"/>
                      </a:xfrm>
                      <a:prstGeom prst="rect">
                        <a:avLst/>
                      </a:prstGeom>
                    </wps:spPr>
                    <wps:txbx>
                      <w:txbxContent>
                        <w:p w14:paraId="305A2794"/>
                        <w:p w14:paraId="51822AC0"/>
                      </w:txbxContent>
                    </wps:txbx>
                    <wps:bodyPr rot="0" vert="horz" wrap="square" lIns="0" tIns="0" rIns="0" bIns="0" anchor="t" anchorCtr="0"/>
                  </wps:wsp>
                </a:graphicData>
              </a:graphic>
            </wp:anchor>
          </w:drawing>
        </mc:Choice>
        <mc:Fallback>
          <w:pict>
            <v:rect id="_x0000_s2054" o:spid="_x0000_s1026" o:spt="1" style="position:absolute;left:0pt;margin-top:0pt;height:12pt;width:9pt;mso-position-horizontal:right;mso-position-horizontal-relative:margin;z-index:251659264;mso-width-relative:page;mso-height-relative:page;" filled="f" stroked="f" coordsize="21600,21600" o:gfxdata="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dtk8m&#10;1AAAAAMBAAAPAAAAAAAAAAEAIAAAACIAAABkcnMvZG93bnJldi54bWxQSwECFAAUAAAACACHTuJA&#10;Lje+m7MBAAB0AwAADgAAAAAAAAABACAAAAAjAQAAZHJzL2Uyb0RvYy54bWxQSwUGAAAAAAYABgBZ&#10;AQAASAUAAAAA&#10;">
              <v:fill on="f" focussize="0,0"/>
              <v:stroke on="f"/>
              <v:imagedata o:title=""/>
              <o:lock v:ext="edit" aspectratio="f"/>
              <v:textbox inset="0mm,0mm,0mm,0mm">
                <w:txbxContent>
                  <w:p w14:paraId="305A2794"/>
                  <w:p w14:paraId="51822AC0"/>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BC09">
    <w:pPr>
      <w:pStyle w:val="45"/>
      <w:framePr w:wrap="around" w:vAnchor="text" w:hAnchor="margin" w:xAlign="right" w:y="1"/>
      <w:tabs>
        <w:tab w:val="clear" w:pos="4153"/>
        <w:tab w:val="clear" w:pos="8306"/>
      </w:tabs>
    </w:pPr>
    <w:r>
      <w:fldChar w:fldCharType="begin"/>
    </w:r>
    <w:r>
      <w:rPr>
        <w:rStyle w:val="49"/>
      </w:rPr>
      <w:instrText xml:space="preserve">PAGE  </w:instrText>
    </w:r>
    <w:r>
      <w:fldChar w:fldCharType="separate"/>
    </w:r>
    <w:r>
      <w:rPr>
        <w:rStyle w:val="49"/>
      </w:rPr>
      <w:t>1</w:t>
    </w:r>
    <w:r>
      <w:fldChar w:fldCharType="end"/>
    </w:r>
  </w:p>
  <w:p w14:paraId="63A2D263">
    <w:pPr>
      <w:pStyle w:val="45"/>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4D97">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F140C">
    <w:pPr>
      <w:pStyle w:val="45"/>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55"/>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6B028521">
                          <w:pPr>
                            <w:pStyle w:val="45"/>
                            <w:tabs>
                              <w:tab w:val="clear" w:pos="4153"/>
                              <w:tab w:val="clear" w:pos="8306"/>
                            </w:tabs>
                          </w:pPr>
                          <w:r>
                            <w:fldChar w:fldCharType="begin"/>
                          </w:r>
                          <w:r>
                            <w:instrText xml:space="preserve"> PAGE  \* MERGEFORMAT </w:instrText>
                          </w:r>
                          <w:r>
                            <w:fldChar w:fldCharType="separate"/>
                          </w:r>
                          <w:r>
                            <w:t>- 1 -</w:t>
                          </w:r>
                          <w:r>
                            <w:fldChar w:fldCharType="end"/>
                          </w:r>
                        </w:p>
                        <w:p w14:paraId="67DE7FFB"/>
                      </w:txbxContent>
                    </wps:txbx>
                    <wps:bodyPr rot="0" vert="horz" wrap="square" lIns="0" tIns="0" rIns="0" bIns="0" anchor="t" anchorCtr="0"/>
                  </wps:wsp>
                </a:graphicData>
              </a:graphic>
            </wp:anchor>
          </w:drawing>
        </mc:Choice>
        <mc:Fallback>
          <w:pict>
            <v:rect id="_x0000_s2055"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ZrZjy0wAA&#10;AAUBAAAPAAAAAAAAAAEAIAAAACIAAABkcnMvZG93bnJldi54bWxQSwECFAAUAAAACACHTuJAQwgZ&#10;NLEBAAB2AwAADgAAAAAAAAABACAAAAAiAQAAZHJzL2Uyb0RvYy54bWxQSwUGAAAAAAYABgBZAQAA&#10;RQUAAAAA&#10;">
              <v:fill on="f" focussize="0,0"/>
              <v:stroke on="f"/>
              <v:imagedata o:title=""/>
              <o:lock v:ext="edit" aspectratio="f"/>
              <v:textbox inset="0mm,0mm,0mm,0mm">
                <w:txbxContent>
                  <w:p w14:paraId="6B028521">
                    <w:pPr>
                      <w:pStyle w:val="45"/>
                      <w:tabs>
                        <w:tab w:val="clear" w:pos="4153"/>
                        <w:tab w:val="clear" w:pos="8306"/>
                      </w:tabs>
                    </w:pPr>
                    <w:r>
                      <w:fldChar w:fldCharType="begin"/>
                    </w:r>
                    <w:r>
                      <w:instrText xml:space="preserve"> PAGE  \* MERGEFORMAT </w:instrText>
                    </w:r>
                    <w:r>
                      <w:fldChar w:fldCharType="separate"/>
                    </w:r>
                    <w:r>
                      <w:t>- 1 -</w:t>
                    </w:r>
                    <w:r>
                      <w:fldChar w:fldCharType="end"/>
                    </w:r>
                  </w:p>
                  <w:p w14:paraId="67DE7FFB"/>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1911A">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E39B7">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8E39B7">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1F5CD">
    <w:pPr>
      <w:pStyle w:val="46"/>
      <w:pBdr>
        <w:bottom w:val="none" w:color="000000" w:sz="0" w:space="0"/>
      </w:pBdr>
      <w:tabs>
        <w:tab w:val="clear" w:pos="4153"/>
        <w:tab w:val="clear" w:pos="8306"/>
      </w:tabs>
      <w:jc w:val="left"/>
    </w:pPr>
  </w:p>
  <w:p w14:paraId="6ADB9A99">
    <w:pPr>
      <w:pStyle w:val="46"/>
      <w:pBdr>
        <w:bottom w:val="none" w:color="000000" w:sz="0" w:space="0"/>
      </w:pBdr>
      <w:tabs>
        <w:tab w:val="clear" w:pos="4153"/>
        <w:tab w:val="clear" w:pos="8306"/>
      </w:tabs>
      <w:ind w:firstLine="90" w:firstLineChars="5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6575B">
    <w:pPr>
      <w:pStyle w:val="46"/>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8172">
    <w:pPr>
      <w:pStyle w:val="46"/>
      <w:pBdr>
        <w:bottom w:val="none" w:color="000000" w:sz="0" w:space="1"/>
      </w:pBdr>
      <w:tabs>
        <w:tab w:val="clear" w:pos="4153"/>
        <w:tab w:val="clear" w:pos="8306"/>
      </w:tabs>
      <w:ind w:left="8640" w:hanging="8640" w:hangingChars="480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3F10C">
    <w:pPr>
      <w:pStyle w:val="46"/>
      <w:pBdr>
        <w:bottom w:val="none" w:color="auto" w:sz="0" w:space="1"/>
      </w:pBdr>
      <w:tabs>
        <w:tab w:val="clear" w:pos="4153"/>
        <w:tab w:val="clear" w:pos="8306"/>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CE997">
    <w:pPr>
      <w:pStyle w:val="46"/>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755B"/>
    <w:multiLevelType w:val="singleLevel"/>
    <w:tmpl w:val="861B755B"/>
    <w:lvl w:ilvl="0" w:tentative="0">
      <w:start w:val="1"/>
      <w:numFmt w:val="decimal"/>
      <w:suff w:val="nothing"/>
      <w:lvlText w:val="%1、"/>
      <w:lvlJc w:val="left"/>
    </w:lvl>
  </w:abstractNum>
  <w:abstractNum w:abstractNumId="1">
    <w:nsid w:val="D49C4B69"/>
    <w:multiLevelType w:val="singleLevel"/>
    <w:tmpl w:val="D49C4B69"/>
    <w:lvl w:ilvl="0" w:tentative="0">
      <w:start w:val="2"/>
      <w:numFmt w:val="chineseCounting"/>
      <w:suff w:val="space"/>
      <w:lvlText w:val="第%1章"/>
      <w:lvlJc w:val="left"/>
      <w:rPr>
        <w:rFonts w:hint="eastAsia"/>
      </w:rPr>
    </w:lvl>
  </w:abstractNum>
  <w:abstractNum w:abstractNumId="2">
    <w:nsid w:val="3F1C44AF"/>
    <w:multiLevelType w:val="singleLevel"/>
    <w:tmpl w:val="3F1C44AF"/>
    <w:lvl w:ilvl="0" w:tentative="0">
      <w:start w:val="1"/>
      <w:numFmt w:val="chineseCounting"/>
      <w:suff w:val="nothing"/>
      <w:lvlText w:val="%1、"/>
      <w:lvlJc w:val="left"/>
      <w:rPr>
        <w:rFonts w:hint="eastAsia"/>
      </w:rPr>
    </w:lvl>
  </w:abstractNum>
  <w:abstractNum w:abstractNumId="3">
    <w:nsid w:val="4BE48CBF"/>
    <w:multiLevelType w:val="multilevel"/>
    <w:tmpl w:val="4BE48CBF"/>
    <w:lvl w:ilvl="0" w:tentative="0">
      <w:start w:val="1"/>
      <w:numFmt w:val="decimal"/>
      <w:lvlText w:val="%1）"/>
      <w:lvlJc w:val="left"/>
      <w:pPr>
        <w:tabs>
          <w:tab w:val="left" w:pos="0"/>
        </w:tabs>
        <w:ind w:left="2000" w:hanging="720"/>
      </w:pPr>
      <w:rPr>
        <w:rFonts w:ascii="Calibri" w:hAnsi="Calibri" w:eastAsia="宋体"/>
      </w:rPr>
    </w:lvl>
    <w:lvl w:ilvl="1" w:tentative="0">
      <w:start w:val="1"/>
      <w:numFmt w:val="lowerLetter"/>
      <w:lvlText w:val="%2)"/>
      <w:lvlJc w:val="left"/>
      <w:pPr>
        <w:tabs>
          <w:tab w:val="left" w:pos="0"/>
        </w:tabs>
        <w:ind w:left="2120" w:hanging="420"/>
      </w:pPr>
    </w:lvl>
    <w:lvl w:ilvl="2" w:tentative="0">
      <w:start w:val="1"/>
      <w:numFmt w:val="lowerRoman"/>
      <w:lvlText w:val="%3."/>
      <w:lvlJc w:val="right"/>
      <w:pPr>
        <w:tabs>
          <w:tab w:val="left" w:pos="0"/>
        </w:tabs>
        <w:ind w:left="2540" w:hanging="420"/>
      </w:pPr>
    </w:lvl>
    <w:lvl w:ilvl="3" w:tentative="0">
      <w:start w:val="1"/>
      <w:numFmt w:val="decimal"/>
      <w:lvlText w:val="%4."/>
      <w:lvlJc w:val="left"/>
      <w:pPr>
        <w:tabs>
          <w:tab w:val="left" w:pos="0"/>
        </w:tabs>
        <w:ind w:left="2960" w:hanging="420"/>
      </w:pPr>
    </w:lvl>
    <w:lvl w:ilvl="4" w:tentative="0">
      <w:start w:val="1"/>
      <w:numFmt w:val="lowerLetter"/>
      <w:lvlText w:val="%5)"/>
      <w:lvlJc w:val="left"/>
      <w:pPr>
        <w:tabs>
          <w:tab w:val="left" w:pos="0"/>
        </w:tabs>
        <w:ind w:left="3380" w:hanging="420"/>
      </w:pPr>
    </w:lvl>
    <w:lvl w:ilvl="5" w:tentative="0">
      <w:start w:val="1"/>
      <w:numFmt w:val="lowerRoman"/>
      <w:lvlText w:val="%6."/>
      <w:lvlJc w:val="right"/>
      <w:pPr>
        <w:tabs>
          <w:tab w:val="left" w:pos="0"/>
        </w:tabs>
        <w:ind w:left="3800" w:hanging="420"/>
      </w:pPr>
    </w:lvl>
    <w:lvl w:ilvl="6" w:tentative="0">
      <w:start w:val="1"/>
      <w:numFmt w:val="decimal"/>
      <w:lvlText w:val="%7."/>
      <w:lvlJc w:val="left"/>
      <w:pPr>
        <w:tabs>
          <w:tab w:val="left" w:pos="0"/>
        </w:tabs>
        <w:ind w:left="4220" w:hanging="420"/>
      </w:pPr>
    </w:lvl>
    <w:lvl w:ilvl="7" w:tentative="0">
      <w:start w:val="1"/>
      <w:numFmt w:val="lowerLetter"/>
      <w:lvlText w:val="%8)"/>
      <w:lvlJc w:val="left"/>
      <w:pPr>
        <w:tabs>
          <w:tab w:val="left" w:pos="0"/>
        </w:tabs>
        <w:ind w:left="4640" w:hanging="420"/>
      </w:pPr>
    </w:lvl>
    <w:lvl w:ilvl="8" w:tentative="0">
      <w:start w:val="1"/>
      <w:numFmt w:val="lowerRoman"/>
      <w:lvlText w:val="%9."/>
      <w:lvlJc w:val="right"/>
      <w:pPr>
        <w:tabs>
          <w:tab w:val="left" w:pos="0"/>
        </w:tabs>
        <w:ind w:left="5060" w:hanging="420"/>
      </w:pPr>
    </w:lvl>
  </w:abstractNum>
  <w:abstractNum w:abstractNumId="4">
    <w:nsid w:val="77B70FC0"/>
    <w:multiLevelType w:val="multilevel"/>
    <w:tmpl w:val="77B70FC0"/>
    <w:lvl w:ilvl="0" w:tentative="0">
      <w:start w:val="1"/>
      <w:numFmt w:val="japaneseCounting"/>
      <w:lvlText w:val="%1、"/>
      <w:lvlJc w:val="left"/>
      <w:pPr>
        <w:tabs>
          <w:tab w:val="left" w:pos="0"/>
        </w:tabs>
        <w:ind w:left="4831" w:hanging="720"/>
      </w:pPr>
    </w:lvl>
    <w:lvl w:ilvl="1" w:tentative="0">
      <w:start w:val="1"/>
      <w:numFmt w:val="lowerLetter"/>
      <w:lvlText w:val="%2)"/>
      <w:lvlJc w:val="left"/>
      <w:pPr>
        <w:tabs>
          <w:tab w:val="left" w:pos="0"/>
        </w:tabs>
        <w:ind w:left="1395" w:hanging="420"/>
      </w:pPr>
    </w:lvl>
    <w:lvl w:ilvl="2" w:tentative="0">
      <w:start w:val="1"/>
      <w:numFmt w:val="lowerRoman"/>
      <w:lvlText w:val="%3."/>
      <w:lvlJc w:val="right"/>
      <w:pPr>
        <w:tabs>
          <w:tab w:val="left" w:pos="0"/>
        </w:tabs>
        <w:ind w:left="1815" w:hanging="420"/>
      </w:pPr>
    </w:lvl>
    <w:lvl w:ilvl="3" w:tentative="0">
      <w:start w:val="1"/>
      <w:numFmt w:val="decimal"/>
      <w:lvlText w:val="%4."/>
      <w:lvlJc w:val="left"/>
      <w:pPr>
        <w:tabs>
          <w:tab w:val="left" w:pos="0"/>
        </w:tabs>
        <w:ind w:left="2235" w:hanging="420"/>
      </w:pPr>
    </w:lvl>
    <w:lvl w:ilvl="4" w:tentative="0">
      <w:start w:val="1"/>
      <w:numFmt w:val="lowerLetter"/>
      <w:lvlText w:val="%5)"/>
      <w:lvlJc w:val="left"/>
      <w:pPr>
        <w:tabs>
          <w:tab w:val="left" w:pos="0"/>
        </w:tabs>
        <w:ind w:left="2655" w:hanging="420"/>
      </w:pPr>
    </w:lvl>
    <w:lvl w:ilvl="5" w:tentative="0">
      <w:start w:val="1"/>
      <w:numFmt w:val="lowerRoman"/>
      <w:lvlText w:val="%6."/>
      <w:lvlJc w:val="right"/>
      <w:pPr>
        <w:tabs>
          <w:tab w:val="left" w:pos="0"/>
        </w:tabs>
        <w:ind w:left="3075" w:hanging="420"/>
      </w:pPr>
    </w:lvl>
    <w:lvl w:ilvl="6" w:tentative="0">
      <w:start w:val="1"/>
      <w:numFmt w:val="decimal"/>
      <w:lvlText w:val="%7."/>
      <w:lvlJc w:val="left"/>
      <w:pPr>
        <w:tabs>
          <w:tab w:val="left" w:pos="0"/>
        </w:tabs>
        <w:ind w:left="3495" w:hanging="420"/>
      </w:pPr>
    </w:lvl>
    <w:lvl w:ilvl="7" w:tentative="0">
      <w:start w:val="1"/>
      <w:numFmt w:val="lowerLetter"/>
      <w:lvlText w:val="%8)"/>
      <w:lvlJc w:val="left"/>
      <w:pPr>
        <w:tabs>
          <w:tab w:val="left" w:pos="0"/>
        </w:tabs>
        <w:ind w:left="3915" w:hanging="420"/>
      </w:pPr>
    </w:lvl>
    <w:lvl w:ilvl="8" w:tentative="0">
      <w:start w:val="1"/>
      <w:numFmt w:val="lowerRoman"/>
      <w:lvlText w:val="%9."/>
      <w:lvlJc w:val="right"/>
      <w:pPr>
        <w:tabs>
          <w:tab w:val="left" w:pos="0"/>
        </w:tabs>
        <w:ind w:left="4335"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Y2MzMzJlYjhkMjMyODdhNGFhOGM5ZjcyNmE4ODAifQ=="/>
  </w:docVars>
  <w:rsids>
    <w:rsidRoot w:val="00000000"/>
    <w:rsid w:val="00046CA0"/>
    <w:rsid w:val="00303F39"/>
    <w:rsid w:val="0070213B"/>
    <w:rsid w:val="01064C9A"/>
    <w:rsid w:val="014B4ED6"/>
    <w:rsid w:val="019404F8"/>
    <w:rsid w:val="02BB2688"/>
    <w:rsid w:val="03E05C76"/>
    <w:rsid w:val="04294F27"/>
    <w:rsid w:val="04FE7F74"/>
    <w:rsid w:val="05786E12"/>
    <w:rsid w:val="06127C3D"/>
    <w:rsid w:val="069C001E"/>
    <w:rsid w:val="07797324"/>
    <w:rsid w:val="090C7ACE"/>
    <w:rsid w:val="09CF031F"/>
    <w:rsid w:val="0B187AA4"/>
    <w:rsid w:val="0B85620A"/>
    <w:rsid w:val="0BAD287B"/>
    <w:rsid w:val="0CA710DF"/>
    <w:rsid w:val="0CA9722B"/>
    <w:rsid w:val="0CAA31AB"/>
    <w:rsid w:val="0CC85535"/>
    <w:rsid w:val="0D0E5602"/>
    <w:rsid w:val="0DE87C01"/>
    <w:rsid w:val="0DF45C96"/>
    <w:rsid w:val="0EAE0E4B"/>
    <w:rsid w:val="0EEE273B"/>
    <w:rsid w:val="0F6E4136"/>
    <w:rsid w:val="10252517"/>
    <w:rsid w:val="10593038"/>
    <w:rsid w:val="1106587D"/>
    <w:rsid w:val="11274EE5"/>
    <w:rsid w:val="116E041E"/>
    <w:rsid w:val="119836EC"/>
    <w:rsid w:val="12ED5CBA"/>
    <w:rsid w:val="13507BCE"/>
    <w:rsid w:val="13C92283"/>
    <w:rsid w:val="158C7C41"/>
    <w:rsid w:val="170F4451"/>
    <w:rsid w:val="176D39E7"/>
    <w:rsid w:val="17C31F7C"/>
    <w:rsid w:val="19306900"/>
    <w:rsid w:val="1ABF618E"/>
    <w:rsid w:val="1AFF22D4"/>
    <w:rsid w:val="1C630856"/>
    <w:rsid w:val="1CCC4B92"/>
    <w:rsid w:val="1D305121"/>
    <w:rsid w:val="1DF3687A"/>
    <w:rsid w:val="1E6A63E8"/>
    <w:rsid w:val="203942EC"/>
    <w:rsid w:val="208732AA"/>
    <w:rsid w:val="20FF5536"/>
    <w:rsid w:val="217A2E0F"/>
    <w:rsid w:val="22406B6B"/>
    <w:rsid w:val="22456F79"/>
    <w:rsid w:val="229F5922"/>
    <w:rsid w:val="236E69A3"/>
    <w:rsid w:val="237C10C0"/>
    <w:rsid w:val="241E2177"/>
    <w:rsid w:val="247962E4"/>
    <w:rsid w:val="25675458"/>
    <w:rsid w:val="256A4F48"/>
    <w:rsid w:val="258F4FD1"/>
    <w:rsid w:val="273121C1"/>
    <w:rsid w:val="27D86782"/>
    <w:rsid w:val="29574CBB"/>
    <w:rsid w:val="2A147F40"/>
    <w:rsid w:val="2B2C33CC"/>
    <w:rsid w:val="2B6943AA"/>
    <w:rsid w:val="2C2B3683"/>
    <w:rsid w:val="2CA853E3"/>
    <w:rsid w:val="2D0143E4"/>
    <w:rsid w:val="2D2B320F"/>
    <w:rsid w:val="2D6F190F"/>
    <w:rsid w:val="2DBB27E5"/>
    <w:rsid w:val="2DBC0253"/>
    <w:rsid w:val="2E542CE9"/>
    <w:rsid w:val="2EB3705D"/>
    <w:rsid w:val="2F8C4439"/>
    <w:rsid w:val="301D7787"/>
    <w:rsid w:val="309A166C"/>
    <w:rsid w:val="310B2784"/>
    <w:rsid w:val="31216519"/>
    <w:rsid w:val="31604FB1"/>
    <w:rsid w:val="333A23FE"/>
    <w:rsid w:val="3392223A"/>
    <w:rsid w:val="33BC64F4"/>
    <w:rsid w:val="35F3067E"/>
    <w:rsid w:val="37737C8C"/>
    <w:rsid w:val="38806B05"/>
    <w:rsid w:val="38AF2F46"/>
    <w:rsid w:val="38EA21D0"/>
    <w:rsid w:val="39A86313"/>
    <w:rsid w:val="39DB0F96"/>
    <w:rsid w:val="39F96E2B"/>
    <w:rsid w:val="3A615CDE"/>
    <w:rsid w:val="3A7A7584"/>
    <w:rsid w:val="3B05035B"/>
    <w:rsid w:val="3BDF1C04"/>
    <w:rsid w:val="3C907275"/>
    <w:rsid w:val="3D0F195F"/>
    <w:rsid w:val="3D6356D0"/>
    <w:rsid w:val="3DB75DEA"/>
    <w:rsid w:val="3EED47C8"/>
    <w:rsid w:val="3F6A1723"/>
    <w:rsid w:val="3F710F55"/>
    <w:rsid w:val="3FAC6431"/>
    <w:rsid w:val="40C76D0D"/>
    <w:rsid w:val="411C0DF3"/>
    <w:rsid w:val="41624267"/>
    <w:rsid w:val="425D0C69"/>
    <w:rsid w:val="428F6F84"/>
    <w:rsid w:val="443B538D"/>
    <w:rsid w:val="45464C32"/>
    <w:rsid w:val="45AE528C"/>
    <w:rsid w:val="45BC567F"/>
    <w:rsid w:val="468D3C72"/>
    <w:rsid w:val="47923928"/>
    <w:rsid w:val="48D304C0"/>
    <w:rsid w:val="4938104E"/>
    <w:rsid w:val="49AB775A"/>
    <w:rsid w:val="49CF3F47"/>
    <w:rsid w:val="4A085228"/>
    <w:rsid w:val="4CFB09F8"/>
    <w:rsid w:val="4D41465D"/>
    <w:rsid w:val="4F835112"/>
    <w:rsid w:val="51915487"/>
    <w:rsid w:val="519F231A"/>
    <w:rsid w:val="5237602E"/>
    <w:rsid w:val="52D53536"/>
    <w:rsid w:val="53A2515F"/>
    <w:rsid w:val="543C3DD0"/>
    <w:rsid w:val="54E163A8"/>
    <w:rsid w:val="552E1542"/>
    <w:rsid w:val="553B6AE9"/>
    <w:rsid w:val="55B16862"/>
    <w:rsid w:val="56A13495"/>
    <w:rsid w:val="58BD150F"/>
    <w:rsid w:val="5A4546CF"/>
    <w:rsid w:val="5B5C3E13"/>
    <w:rsid w:val="5B8B2F47"/>
    <w:rsid w:val="5BAB603C"/>
    <w:rsid w:val="5BCC5A39"/>
    <w:rsid w:val="5C183225"/>
    <w:rsid w:val="5C590219"/>
    <w:rsid w:val="5CB97A26"/>
    <w:rsid w:val="5D283F87"/>
    <w:rsid w:val="5D557CB0"/>
    <w:rsid w:val="5E420235"/>
    <w:rsid w:val="5F1A6ABC"/>
    <w:rsid w:val="5F1C2CF8"/>
    <w:rsid w:val="60326CA3"/>
    <w:rsid w:val="605940A9"/>
    <w:rsid w:val="607A0954"/>
    <w:rsid w:val="609250B7"/>
    <w:rsid w:val="617E1E4C"/>
    <w:rsid w:val="61B76DED"/>
    <w:rsid w:val="62C94ADE"/>
    <w:rsid w:val="64430278"/>
    <w:rsid w:val="653F73F1"/>
    <w:rsid w:val="65580D48"/>
    <w:rsid w:val="6583420E"/>
    <w:rsid w:val="65D5572D"/>
    <w:rsid w:val="66417024"/>
    <w:rsid w:val="67786A75"/>
    <w:rsid w:val="68572B2F"/>
    <w:rsid w:val="688E4077"/>
    <w:rsid w:val="690D561E"/>
    <w:rsid w:val="69A47FF6"/>
    <w:rsid w:val="69D31B7F"/>
    <w:rsid w:val="69DA7573"/>
    <w:rsid w:val="6AF9611F"/>
    <w:rsid w:val="6B0C7747"/>
    <w:rsid w:val="6CD209D6"/>
    <w:rsid w:val="6E5C61C8"/>
    <w:rsid w:val="6EAE2497"/>
    <w:rsid w:val="6F202F69"/>
    <w:rsid w:val="6F803010"/>
    <w:rsid w:val="70F142C2"/>
    <w:rsid w:val="73E03B4E"/>
    <w:rsid w:val="73F5000F"/>
    <w:rsid w:val="74F657E4"/>
    <w:rsid w:val="76126835"/>
    <w:rsid w:val="76E61C4D"/>
    <w:rsid w:val="7831514A"/>
    <w:rsid w:val="78827754"/>
    <w:rsid w:val="78F85B35"/>
    <w:rsid w:val="79B9499B"/>
    <w:rsid w:val="79CC3D56"/>
    <w:rsid w:val="7A067F11"/>
    <w:rsid w:val="7A6F3AAA"/>
    <w:rsid w:val="7AB1291E"/>
    <w:rsid w:val="7C8C2D25"/>
    <w:rsid w:val="7CBC51A7"/>
    <w:rsid w:val="7CCA0683"/>
    <w:rsid w:val="7D53622B"/>
    <w:rsid w:val="7D5F62B6"/>
    <w:rsid w:val="7DDA1DE0"/>
    <w:rsid w:val="7DF16DD6"/>
    <w:rsid w:val="7E2E7A36"/>
    <w:rsid w:val="7F126A62"/>
    <w:rsid w:val="7F141322"/>
    <w:rsid w:val="7FB81CAD"/>
    <w:rsid w:val="7FC36609"/>
    <w:rsid w:val="7FCD56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5"/>
    <w:qFormat/>
    <w:uiPriority w:val="0"/>
    <w:pPr>
      <w:widowControl w:val="0"/>
      <w:jc w:val="both"/>
    </w:pPr>
    <w:rPr>
      <w:rFonts w:ascii="Calibri" w:hAnsi="Calibri" w:eastAsia="宋体" w:cstheme="minorBidi"/>
      <w:kern w:val="2"/>
      <w:sz w:val="21"/>
      <w:szCs w:val="22"/>
      <w:lang w:val="en-US" w:eastAsia="zh-CN" w:bidi="ar-SA"/>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qFormat/>
    <w:uiPriority w:val="1"/>
    <w:pPr>
      <w:ind w:left="740"/>
      <w:outlineLvl w:val="3"/>
    </w:pPr>
    <w:rPr>
      <w:b/>
      <w:bCs/>
      <w:sz w:val="24"/>
      <w:szCs w:val="24"/>
    </w:rPr>
  </w:style>
  <w:style w:type="character" w:default="1" w:styleId="18">
    <w:name w:val="Default Paragraph Font"/>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5">
    <w:name w:val="Body Text Indent"/>
    <w:basedOn w:val="1"/>
    <w:autoRedefine/>
    <w:unhideWhenUsed/>
    <w:qFormat/>
    <w:uiPriority w:val="0"/>
    <w:pPr>
      <w:spacing w:line="360" w:lineRule="auto"/>
      <w:ind w:firstLine="482" w:firstLineChars="100"/>
      <w:jc w:val="center"/>
    </w:pPr>
    <w:rPr>
      <w:rFonts w:ascii="黑体" w:eastAsia="黑体" w:cs="Times New Roman"/>
      <w:b/>
      <w:sz w:val="48"/>
      <w:szCs w:val="28"/>
    </w:rPr>
  </w:style>
  <w:style w:type="paragraph" w:styleId="6">
    <w:name w:val="Plain Text"/>
    <w:basedOn w:val="1"/>
    <w:next w:val="7"/>
    <w:autoRedefine/>
    <w:unhideWhenUsed/>
    <w:qFormat/>
    <w:uiPriority w:val="0"/>
    <w:pPr>
      <w:widowControl w:val="0"/>
      <w:jc w:val="both"/>
    </w:pPr>
    <w:rPr>
      <w:rFonts w:ascii="宋体" w:hAnsi="Courier New"/>
    </w:rPr>
  </w:style>
  <w:style w:type="paragraph" w:styleId="7">
    <w:name w:val="index 7"/>
    <w:basedOn w:val="1"/>
    <w:next w:val="1"/>
    <w:unhideWhenUsed/>
    <w:qFormat/>
    <w:uiPriority w:val="99"/>
    <w:pPr>
      <w:ind w:left="1200" w:leftChars="1200"/>
    </w:pPr>
  </w:style>
  <w:style w:type="paragraph" w:styleId="8">
    <w:name w:val="Body Text Indent 2"/>
    <w:basedOn w:val="1"/>
    <w:next w:val="6"/>
    <w:qFormat/>
    <w:uiPriority w:val="0"/>
    <w:pPr>
      <w:ind w:firstLine="630"/>
    </w:pPr>
    <w:rPr>
      <w:rFonts w:ascii="宋体"/>
      <w:kern w:val="0"/>
      <w:sz w:val="32"/>
      <w:szCs w:val="24"/>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envelope return"/>
    <w:basedOn w:val="1"/>
    <w:autoRedefine/>
    <w:semiHidden/>
    <w:qFormat/>
    <w:uiPriority w:val="0"/>
    <w:pPr>
      <w:snapToGrid w:val="0"/>
      <w:spacing w:after="200" w:line="276" w:lineRule="auto"/>
    </w:pPr>
    <w:rPr>
      <w:rFonts w:ascii="Arial" w:hAnsi="Arial" w:cs="Arial"/>
      <w:sz w:val="22"/>
      <w:szCs w:val="22"/>
      <w:lang w:eastAsia="en-US" w:bidi="en-US"/>
    </w:rPr>
  </w:style>
  <w:style w:type="paragraph" w:styleId="11">
    <w:name w:val="toc 1"/>
    <w:basedOn w:val="1"/>
    <w:next w:val="1"/>
    <w:autoRedefine/>
    <w:qFormat/>
    <w:uiPriority w:val="0"/>
  </w:style>
  <w:style w:type="paragraph" w:styleId="12">
    <w:name w:val="Body Text 2"/>
    <w:basedOn w:val="1"/>
    <w:next w:val="6"/>
    <w:autoRedefine/>
    <w:qFormat/>
    <w:uiPriority w:val="0"/>
    <w:pPr>
      <w:spacing w:line="480" w:lineRule="auto"/>
    </w:pPr>
    <w:rPr>
      <w:sz w:val="28"/>
    </w:rPr>
  </w:style>
  <w:style w:type="paragraph" w:styleId="13">
    <w:name w:val="Normal (Web)"/>
    <w:basedOn w:val="1"/>
    <w:autoRedefine/>
    <w:qFormat/>
    <w:uiPriority w:val="0"/>
    <w:pPr>
      <w:spacing w:line="432" w:lineRule="auto"/>
    </w:pPr>
    <w:rPr>
      <w:sz w:val="24"/>
    </w:rPr>
  </w:style>
  <w:style w:type="paragraph" w:styleId="14">
    <w:name w:val="Body Text First Indent"/>
    <w:basedOn w:val="2"/>
    <w:autoRedefine/>
    <w:unhideWhenUsed/>
    <w:qFormat/>
    <w:uiPriority w:val="99"/>
    <w:pPr>
      <w:spacing w:before="100" w:beforeAutospacing="1" w:after="0"/>
      <w:ind w:firstLine="420" w:firstLineChars="100"/>
      <w:jc w:val="left"/>
      <w:textAlignment w:val="auto"/>
    </w:pPr>
    <w:rPr>
      <w:rFonts w:ascii="仿宋体"/>
      <w:kern w:val="0"/>
      <w:sz w:val="20"/>
      <w:szCs w:val="20"/>
    </w:rPr>
  </w:style>
  <w:style w:type="paragraph" w:styleId="15">
    <w:name w:val="Body Text First Indent 2"/>
    <w:basedOn w:val="5"/>
    <w:autoRedefine/>
    <w:qFormat/>
    <w:uiPriority w:val="99"/>
    <w:pPr>
      <w:spacing w:after="120" w:line="500" w:lineRule="atLeast"/>
      <w:ind w:left="420" w:leftChars="200" w:firstLine="420" w:firstLineChars="200"/>
    </w:pPr>
    <w:rPr>
      <w:rFonts w:hAnsi="Plotter"/>
      <w:color w:val="000000"/>
      <w:sz w:val="28"/>
      <w:szCs w:val="20"/>
    </w:r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autoRedefine/>
    <w:qFormat/>
    <w:uiPriority w:val="0"/>
    <w:rPr>
      <w:b/>
      <w:bCs/>
    </w:rPr>
  </w:style>
  <w:style w:type="character" w:styleId="20">
    <w:name w:val="FollowedHyperlink"/>
    <w:basedOn w:val="18"/>
    <w:autoRedefine/>
    <w:qFormat/>
    <w:uiPriority w:val="0"/>
    <w:rPr>
      <w:color w:val="800080"/>
      <w:u w:val="none"/>
    </w:rPr>
  </w:style>
  <w:style w:type="character" w:styleId="21">
    <w:name w:val="Emphasis"/>
    <w:basedOn w:val="18"/>
    <w:autoRedefine/>
    <w:qFormat/>
    <w:uiPriority w:val="0"/>
    <w:rPr>
      <w:b/>
      <w:bCs/>
    </w:rPr>
  </w:style>
  <w:style w:type="character" w:styleId="22">
    <w:name w:val="HTML Definition"/>
    <w:basedOn w:val="18"/>
    <w:autoRedefine/>
    <w:qFormat/>
    <w:uiPriority w:val="0"/>
  </w:style>
  <w:style w:type="character" w:styleId="23">
    <w:name w:val="HTML Typewriter"/>
    <w:basedOn w:val="18"/>
    <w:autoRedefine/>
    <w:qFormat/>
    <w:uiPriority w:val="0"/>
    <w:rPr>
      <w:rFonts w:hint="default" w:ascii="monospace" w:hAnsi="monospace" w:eastAsia="monospace" w:cs="monospace"/>
      <w:sz w:val="20"/>
    </w:rPr>
  </w:style>
  <w:style w:type="character" w:styleId="24">
    <w:name w:val="HTML Acronym"/>
    <w:basedOn w:val="18"/>
    <w:autoRedefine/>
    <w:qFormat/>
    <w:uiPriority w:val="0"/>
  </w:style>
  <w:style w:type="character" w:styleId="25">
    <w:name w:val="HTML Variable"/>
    <w:basedOn w:val="18"/>
    <w:autoRedefine/>
    <w:qFormat/>
    <w:uiPriority w:val="0"/>
  </w:style>
  <w:style w:type="character" w:styleId="26">
    <w:name w:val="Hyperlink"/>
    <w:basedOn w:val="18"/>
    <w:autoRedefine/>
    <w:qFormat/>
    <w:uiPriority w:val="0"/>
    <w:rPr>
      <w:color w:val="0000FF"/>
      <w:u w:val="none"/>
    </w:rPr>
  </w:style>
  <w:style w:type="character" w:styleId="27">
    <w:name w:val="HTML Code"/>
    <w:basedOn w:val="18"/>
    <w:autoRedefine/>
    <w:qFormat/>
    <w:uiPriority w:val="0"/>
    <w:rPr>
      <w:rFonts w:hint="default" w:ascii="monospace" w:hAnsi="monospace" w:eastAsia="monospace" w:cs="monospace"/>
      <w:sz w:val="20"/>
    </w:rPr>
  </w:style>
  <w:style w:type="character" w:styleId="28">
    <w:name w:val="HTML Cite"/>
    <w:basedOn w:val="18"/>
    <w:autoRedefine/>
    <w:qFormat/>
    <w:uiPriority w:val="0"/>
  </w:style>
  <w:style w:type="character" w:styleId="29">
    <w:name w:val="HTML Keyboard"/>
    <w:basedOn w:val="18"/>
    <w:autoRedefine/>
    <w:qFormat/>
    <w:uiPriority w:val="0"/>
    <w:rPr>
      <w:rFonts w:ascii="monospace" w:hAnsi="monospace" w:eastAsia="monospace" w:cs="monospace"/>
      <w:sz w:val="0"/>
      <w:szCs w:val="0"/>
      <w:bdr w:val="single" w:color="auto" w:sz="2" w:space="0"/>
    </w:rPr>
  </w:style>
  <w:style w:type="character" w:styleId="30">
    <w:name w:val="HTML Sample"/>
    <w:basedOn w:val="18"/>
    <w:autoRedefine/>
    <w:qFormat/>
    <w:uiPriority w:val="0"/>
    <w:rPr>
      <w:rFonts w:hint="default" w:ascii="monospace" w:hAnsi="monospace" w:eastAsia="monospace" w:cs="monospace"/>
    </w:rPr>
  </w:style>
  <w:style w:type="paragraph" w:customStyle="1" w:styleId="31">
    <w:name w:val="BodyText1I"/>
    <w:basedOn w:val="32"/>
    <w:qFormat/>
    <w:uiPriority w:val="99"/>
    <w:pPr>
      <w:ind w:firstLine="420" w:firstLineChars="100"/>
    </w:pPr>
  </w:style>
  <w:style w:type="paragraph" w:customStyle="1" w:styleId="32">
    <w:name w:val="BodyText"/>
    <w:basedOn w:val="1"/>
    <w:qFormat/>
    <w:uiPriority w:val="99"/>
    <w:pPr>
      <w:spacing w:after="120"/>
    </w:pPr>
  </w:style>
  <w:style w:type="paragraph" w:customStyle="1" w:styleId="33">
    <w:name w:val="Default"/>
    <w:basedOn w:val="6"/>
    <w:next w:val="1"/>
    <w:qFormat/>
    <w:uiPriority w:val="0"/>
    <w:pPr>
      <w:widowControl w:val="0"/>
      <w:autoSpaceDE w:val="0"/>
      <w:autoSpaceDN w:val="0"/>
    </w:pPr>
    <w:rPr>
      <w:rFonts w:ascii="宋体" w:hAnsi="Times New Roman" w:eastAsia="宋体" w:cstheme="minorBidi"/>
      <w:color w:val="000000"/>
      <w:sz w:val="24"/>
      <w:szCs w:val="22"/>
      <w:lang w:val="en-US" w:eastAsia="zh-CN" w:bidi="ar-SA"/>
    </w:rPr>
  </w:style>
  <w:style w:type="paragraph" w:customStyle="1" w:styleId="34">
    <w:name w:val="标题 11"/>
    <w:basedOn w:val="1"/>
    <w:link w:val="44"/>
    <w:autoRedefine/>
    <w:qFormat/>
    <w:uiPriority w:val="0"/>
    <w:pPr>
      <w:spacing w:before="340" w:beforeAutospacing="0" w:after="330" w:afterAutospacing="0" w:line="576" w:lineRule="auto"/>
      <w:outlineLvl w:val="0"/>
    </w:pPr>
    <w:rPr>
      <w:rFonts w:ascii="Calibri" w:hAnsi="Calibri" w:eastAsia="宋体"/>
      <w:b/>
      <w:bCs/>
      <w:kern w:val="44"/>
      <w:sz w:val="44"/>
      <w:szCs w:val="44"/>
    </w:rPr>
  </w:style>
  <w:style w:type="paragraph" w:customStyle="1" w:styleId="35">
    <w:name w:val="标题 21"/>
    <w:basedOn w:val="1"/>
    <w:autoRedefine/>
    <w:qFormat/>
    <w:uiPriority w:val="0"/>
    <w:pPr>
      <w:spacing w:before="260" w:beforeAutospacing="0" w:after="260" w:afterAutospacing="0" w:line="416" w:lineRule="auto"/>
      <w:outlineLvl w:val="1"/>
    </w:pPr>
    <w:rPr>
      <w:rFonts w:ascii="Cambria" w:hAnsi="Cambria" w:eastAsia="宋体"/>
      <w:b/>
      <w:bCs/>
      <w:sz w:val="32"/>
      <w:szCs w:val="32"/>
    </w:rPr>
  </w:style>
  <w:style w:type="character" w:customStyle="1" w:styleId="36">
    <w:name w:val="默认段落字体1"/>
    <w:link w:val="1"/>
    <w:autoRedefine/>
    <w:semiHidden/>
    <w:qFormat/>
    <w:uiPriority w:val="0"/>
  </w:style>
  <w:style w:type="table" w:customStyle="1" w:styleId="37">
    <w:name w:val="普通表格1"/>
    <w:autoRedefine/>
    <w:semiHidden/>
    <w:qFormat/>
    <w:uiPriority w:val="0"/>
  </w:style>
  <w:style w:type="paragraph" w:customStyle="1" w:styleId="38">
    <w:name w:val="正文首行缩进 21"/>
    <w:basedOn w:val="39"/>
    <w:autoRedefine/>
    <w:qFormat/>
    <w:uiPriority w:val="0"/>
    <w:pPr>
      <w:ind w:firstLine="420" w:firstLineChars="200"/>
    </w:pPr>
  </w:style>
  <w:style w:type="paragraph" w:customStyle="1" w:styleId="39">
    <w:name w:val="正文文本缩进1"/>
    <w:basedOn w:val="1"/>
    <w:autoRedefine/>
    <w:qFormat/>
    <w:uiPriority w:val="0"/>
    <w:pPr>
      <w:ind w:left="405"/>
    </w:pPr>
    <w:rPr>
      <w:rFonts w:ascii="宋体" w:hAnsi="宋体"/>
      <w:spacing w:val="-30"/>
      <w:sz w:val="28"/>
      <w:szCs w:val="24"/>
      <w:u w:val="single"/>
    </w:rPr>
  </w:style>
  <w:style w:type="paragraph" w:customStyle="1" w:styleId="40">
    <w:name w:val="寄信人地址1"/>
    <w:basedOn w:val="1"/>
    <w:autoRedefine/>
    <w:qFormat/>
    <w:uiPriority w:val="0"/>
    <w:pPr>
      <w:snapToGrid w:val="0"/>
    </w:pPr>
    <w:rPr>
      <w:rFonts w:ascii="Arial" w:hAnsi="Arial"/>
    </w:rPr>
  </w:style>
  <w:style w:type="paragraph" w:customStyle="1" w:styleId="41">
    <w:name w:val="正文首行缩进1"/>
    <w:basedOn w:val="42"/>
    <w:qFormat/>
    <w:uiPriority w:val="0"/>
    <w:pPr>
      <w:ind w:firstLine="420" w:firstLineChars="100"/>
    </w:pPr>
  </w:style>
  <w:style w:type="paragraph" w:customStyle="1" w:styleId="42">
    <w:name w:val="正文文本1"/>
    <w:basedOn w:val="1"/>
    <w:qFormat/>
    <w:uiPriority w:val="0"/>
    <w:pPr>
      <w:spacing w:beforeAutospacing="0" w:after="120" w:afterAutospacing="0"/>
    </w:pPr>
    <w:rPr>
      <w:rFonts w:ascii="Times New Roman" w:hAnsi="Times New Roman"/>
      <w:szCs w:val="24"/>
    </w:rPr>
  </w:style>
  <w:style w:type="paragraph" w:customStyle="1" w:styleId="43">
    <w:name w:val="正文文本 21"/>
    <w:basedOn w:val="1"/>
    <w:qFormat/>
    <w:uiPriority w:val="0"/>
    <w:pPr>
      <w:spacing w:beforeAutospacing="0" w:after="120" w:afterAutospacing="0" w:line="480" w:lineRule="auto"/>
    </w:pPr>
  </w:style>
  <w:style w:type="character" w:customStyle="1" w:styleId="44">
    <w:name w:val=" Char Char24"/>
    <w:link w:val="34"/>
    <w:qFormat/>
    <w:uiPriority w:val="0"/>
    <w:rPr>
      <w:rFonts w:ascii="Calibri" w:hAnsi="Calibri" w:eastAsia="宋体"/>
      <w:b/>
      <w:bCs/>
      <w:kern w:val="44"/>
      <w:sz w:val="44"/>
      <w:szCs w:val="44"/>
    </w:rPr>
  </w:style>
  <w:style w:type="paragraph" w:customStyle="1" w:styleId="45">
    <w:name w:val="页脚1"/>
    <w:basedOn w:val="1"/>
    <w:qFormat/>
    <w:uiPriority w:val="0"/>
    <w:pPr>
      <w:tabs>
        <w:tab w:val="center" w:pos="4153"/>
        <w:tab w:val="right" w:pos="8306"/>
      </w:tabs>
      <w:snapToGrid w:val="0"/>
      <w:jc w:val="left"/>
    </w:pPr>
    <w:rPr>
      <w:sz w:val="18"/>
      <w:szCs w:val="18"/>
    </w:rPr>
  </w:style>
  <w:style w:type="paragraph" w:customStyle="1" w:styleId="46">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47">
    <w:name w:val="标题1"/>
    <w:basedOn w:val="1"/>
    <w:qFormat/>
    <w:uiPriority w:val="0"/>
    <w:pPr>
      <w:spacing w:before="240" w:beforeAutospacing="0" w:after="60" w:afterAutospacing="0"/>
      <w:jc w:val="center"/>
      <w:outlineLvl w:val="0"/>
    </w:pPr>
    <w:rPr>
      <w:rFonts w:ascii="Cambria" w:hAnsi="Cambria"/>
      <w:b/>
      <w:bCs/>
      <w:sz w:val="32"/>
      <w:szCs w:val="32"/>
    </w:rPr>
  </w:style>
  <w:style w:type="character" w:customStyle="1" w:styleId="48">
    <w:name w:val="要点1"/>
    <w:basedOn w:val="36"/>
    <w:link w:val="1"/>
    <w:qFormat/>
    <w:uiPriority w:val="0"/>
    <w:rPr>
      <w:b/>
    </w:rPr>
  </w:style>
  <w:style w:type="character" w:customStyle="1" w:styleId="49">
    <w:name w:val="页码1"/>
    <w:basedOn w:val="36"/>
    <w:link w:val="1"/>
    <w:qFormat/>
    <w:uiPriority w:val="0"/>
    <w:rPr>
      <w:rFonts w:ascii="Arial" w:hAnsi="Arial" w:eastAsia="黑体"/>
      <w:kern w:val="2"/>
      <w:sz w:val="21"/>
      <w:szCs w:val="21"/>
      <w:lang w:val="en-US" w:eastAsia="zh-CN" w:bidi="ar-SA"/>
    </w:rPr>
  </w:style>
  <w:style w:type="character" w:customStyle="1" w:styleId="50">
    <w:name w:val="已访问的超链接1"/>
    <w:basedOn w:val="36"/>
    <w:link w:val="1"/>
    <w:qFormat/>
    <w:uiPriority w:val="0"/>
    <w:rPr>
      <w:color w:val="800080"/>
      <w:u w:val="none"/>
    </w:rPr>
  </w:style>
  <w:style w:type="character" w:customStyle="1" w:styleId="51">
    <w:name w:val="强调1"/>
    <w:basedOn w:val="36"/>
    <w:link w:val="1"/>
    <w:qFormat/>
    <w:uiPriority w:val="0"/>
    <w:rPr>
      <w:b/>
    </w:rPr>
  </w:style>
  <w:style w:type="character" w:customStyle="1" w:styleId="52">
    <w:name w:val="HTML 定义1"/>
    <w:basedOn w:val="36"/>
    <w:link w:val="1"/>
    <w:qFormat/>
    <w:uiPriority w:val="0"/>
  </w:style>
  <w:style w:type="character" w:customStyle="1" w:styleId="53">
    <w:name w:val="HTML 打字机1"/>
    <w:basedOn w:val="36"/>
    <w:link w:val="1"/>
    <w:qFormat/>
    <w:uiPriority w:val="0"/>
    <w:rPr>
      <w:rFonts w:ascii="monospace" w:hAnsi="monospace" w:eastAsia="monospace"/>
      <w:vanish/>
      <w:sz w:val="20"/>
    </w:rPr>
  </w:style>
  <w:style w:type="character" w:customStyle="1" w:styleId="54">
    <w:name w:val="HTML 缩写1"/>
    <w:basedOn w:val="36"/>
    <w:link w:val="1"/>
    <w:qFormat/>
    <w:uiPriority w:val="0"/>
  </w:style>
  <w:style w:type="character" w:customStyle="1" w:styleId="55">
    <w:name w:val="HTML 变量1"/>
    <w:basedOn w:val="36"/>
    <w:link w:val="1"/>
    <w:qFormat/>
    <w:uiPriority w:val="0"/>
  </w:style>
  <w:style w:type="character" w:customStyle="1" w:styleId="56">
    <w:name w:val="超链接1"/>
    <w:link w:val="1"/>
    <w:qFormat/>
    <w:uiPriority w:val="0"/>
    <w:rPr>
      <w:color w:val="0000FF"/>
      <w:u w:val="none"/>
    </w:rPr>
  </w:style>
  <w:style w:type="character" w:customStyle="1" w:styleId="57">
    <w:name w:val="HTML 代码1"/>
    <w:basedOn w:val="36"/>
    <w:link w:val="1"/>
    <w:qFormat/>
    <w:uiPriority w:val="0"/>
    <w:rPr>
      <w:rFonts w:ascii="monospace" w:hAnsi="monospace" w:eastAsia="monospace"/>
      <w:sz w:val="20"/>
    </w:rPr>
  </w:style>
  <w:style w:type="character" w:customStyle="1" w:styleId="58">
    <w:name w:val="HTML 引文1"/>
    <w:basedOn w:val="36"/>
    <w:link w:val="1"/>
    <w:qFormat/>
    <w:uiPriority w:val="0"/>
  </w:style>
  <w:style w:type="character" w:customStyle="1" w:styleId="59">
    <w:name w:val="HTML 键盘1"/>
    <w:basedOn w:val="36"/>
    <w:link w:val="1"/>
    <w:qFormat/>
    <w:uiPriority w:val="0"/>
    <w:rPr>
      <w:rFonts w:ascii="monospace" w:hAnsi="monospace" w:eastAsia="monospace"/>
      <w:sz w:val="20"/>
    </w:rPr>
  </w:style>
  <w:style w:type="character" w:customStyle="1" w:styleId="60">
    <w:name w:val="HTML 样本1"/>
    <w:basedOn w:val="36"/>
    <w:link w:val="1"/>
    <w:qFormat/>
    <w:uiPriority w:val="0"/>
    <w:rPr>
      <w:rFonts w:ascii="monospace" w:hAnsi="monospace" w:eastAsia="monospace"/>
    </w:rPr>
  </w:style>
  <w:style w:type="character" w:customStyle="1" w:styleId="61">
    <w:name w:val="question-title2"/>
    <w:link w:val="1"/>
    <w:autoRedefine/>
    <w:qFormat/>
    <w:uiPriority w:val="0"/>
    <w:rPr>
      <w:rFonts w:ascii="Times New Roman" w:hAnsi="Times New Roman"/>
    </w:rPr>
  </w:style>
  <w:style w:type="character" w:customStyle="1" w:styleId="62">
    <w:name w:val="hover1"/>
    <w:basedOn w:val="36"/>
    <w:link w:val="1"/>
    <w:qFormat/>
    <w:uiPriority w:val="0"/>
    <w:rPr>
      <w:color w:val="2590EB"/>
    </w:rPr>
  </w:style>
  <w:style w:type="character" w:customStyle="1" w:styleId="63">
    <w:name w:val="hover2"/>
    <w:basedOn w:val="36"/>
    <w:link w:val="1"/>
    <w:autoRedefine/>
    <w:qFormat/>
    <w:uiPriority w:val="0"/>
    <w:rPr>
      <w:color w:val="2590EB"/>
    </w:rPr>
  </w:style>
  <w:style w:type="character" w:customStyle="1" w:styleId="64">
    <w:name w:val="hover3"/>
    <w:basedOn w:val="36"/>
    <w:link w:val="1"/>
    <w:qFormat/>
    <w:uiPriority w:val="0"/>
  </w:style>
  <w:style w:type="character" w:customStyle="1" w:styleId="65">
    <w:name w:val="mini-outputtext1"/>
    <w:basedOn w:val="36"/>
    <w:link w:val="1"/>
    <w:autoRedefine/>
    <w:qFormat/>
    <w:uiPriority w:val="0"/>
  </w:style>
  <w:style w:type="paragraph" w:customStyle="1" w:styleId="66">
    <w:name w:val="列出段落2"/>
    <w:basedOn w:val="1"/>
    <w:qFormat/>
    <w:uiPriority w:val="0"/>
    <w:pPr>
      <w:ind w:firstLine="420" w:firstLineChars="200"/>
    </w:pPr>
    <w:rPr>
      <w:rFonts w:ascii="Calibri" w:hAnsi="Calibri"/>
      <w:szCs w:val="22"/>
    </w:rPr>
  </w:style>
  <w:style w:type="paragraph" w:customStyle="1" w:styleId="67">
    <w:name w:val="Table Paragraph"/>
    <w:basedOn w:val="1"/>
    <w:qFormat/>
    <w:uiPriority w:val="0"/>
    <w:pPr>
      <w:jc w:val="left"/>
    </w:pPr>
    <w:rPr>
      <w:rFonts w:ascii="Calibri" w:hAnsi="Calibri" w:eastAsia="Calibri"/>
      <w:kern w:val="0"/>
      <w:sz w:val="22"/>
      <w:lang w:eastAsia="en-US"/>
    </w:rPr>
  </w:style>
  <w:style w:type="paragraph" w:customStyle="1" w:styleId="68">
    <w:name w:val="List Paragraph1"/>
    <w:basedOn w:val="1"/>
    <w:qFormat/>
    <w:uiPriority w:val="0"/>
    <w:pPr>
      <w:ind w:firstLine="420" w:firstLineChars="200"/>
      <w:jc w:val="both"/>
    </w:pPr>
    <w:rPr>
      <w:kern w:val="2"/>
      <w:sz w:val="21"/>
      <w:szCs w:val="21"/>
      <w:lang w:eastAsia="zh-CN"/>
    </w:rPr>
  </w:style>
  <w:style w:type="character" w:customStyle="1" w:styleId="69">
    <w:name w:val="hover"/>
    <w:basedOn w:val="18"/>
    <w:qFormat/>
    <w:uiPriority w:val="0"/>
    <w:rPr>
      <w:color w:val="2590EB"/>
    </w:rPr>
  </w:style>
  <w:style w:type="character" w:customStyle="1" w:styleId="70">
    <w:name w:val="font61"/>
    <w:basedOn w:val="18"/>
    <w:qFormat/>
    <w:uiPriority w:val="0"/>
    <w:rPr>
      <w:rFonts w:hint="default" w:ascii="DejaVu Sans" w:hAnsi="DejaVu Sans" w:eastAsia="DejaVu Sans" w:cs="DejaVu Sans"/>
      <w:color w:val="000000"/>
      <w:sz w:val="24"/>
      <w:szCs w:val="24"/>
      <w:u w:val="none"/>
    </w:rPr>
  </w:style>
  <w:style w:type="character" w:customStyle="1" w:styleId="71">
    <w:name w:val="font41"/>
    <w:basedOn w:val="18"/>
    <w:qFormat/>
    <w:uiPriority w:val="0"/>
    <w:rPr>
      <w:rFonts w:hint="default" w:ascii="仿宋_GB2312" w:eastAsia="仿宋_GB2312" w:cs="仿宋_GB2312"/>
      <w:color w:val="000000"/>
      <w:sz w:val="24"/>
      <w:szCs w:val="24"/>
      <w:u w:val="none"/>
    </w:rPr>
  </w:style>
  <w:style w:type="paragraph" w:customStyle="1" w:styleId="72">
    <w:name w:val="样式 标题 2 + Times New Roman 四号 非加粗 段前: 5 磅 段后: 0 磅 行距: 固定值 20..."/>
    <w:basedOn w:val="3"/>
    <w:autoRedefine/>
    <w:qFormat/>
    <w:uiPriority w:val="0"/>
    <w:pPr>
      <w:spacing w:before="100" w:line="400" w:lineRule="exact"/>
    </w:pPr>
    <w:rPr>
      <w:rFonts w:ascii="Times New Roman" w:hAnsi="Times New Roman"/>
      <w:b w:val="0"/>
      <w:bCs w:val="0"/>
      <w:sz w:val="28"/>
      <w:szCs w:val="20"/>
    </w:rPr>
  </w:style>
  <w:style w:type="paragraph" w:styleId="73">
    <w:name w:val="List Paragraph"/>
    <w:basedOn w:val="1"/>
    <w:autoRedefine/>
    <w:qFormat/>
    <w:uiPriority w:val="99"/>
    <w:pPr>
      <w:ind w:firstLine="420" w:firstLineChars="200"/>
    </w:pPr>
  </w:style>
  <w:style w:type="paragraph" w:customStyle="1" w:styleId="74">
    <w:name w:val="Body text|1"/>
    <w:basedOn w:val="1"/>
    <w:qFormat/>
    <w:uiPriority w:val="0"/>
    <w:pPr>
      <w:widowControl w:val="0"/>
      <w:shd w:val="clear" w:color="auto" w:fill="auto"/>
      <w:spacing w:line="454" w:lineRule="auto"/>
      <w:ind w:firstLine="400"/>
    </w:pPr>
    <w:rPr>
      <w:rFonts w:ascii="宋体" w:hAnsi="宋体" w:eastAsia="宋体" w:cs="宋体"/>
      <w:sz w:val="22"/>
      <w:szCs w:val="22"/>
      <w:u w:val="none"/>
      <w:shd w:val="clear" w:color="auto" w:fill="auto"/>
      <w:lang w:val="zh-TW" w:eastAsia="zh-TW" w:bidi="zh-TW"/>
    </w:rPr>
  </w:style>
  <w:style w:type="character" w:customStyle="1" w:styleId="75">
    <w:name w:val="font101"/>
    <w:basedOn w:val="18"/>
    <w:qFormat/>
    <w:uiPriority w:val="0"/>
    <w:rPr>
      <w:rFonts w:hint="default" w:ascii="DejaVu Sans" w:hAnsi="DejaVu Sans" w:eastAsia="DejaVu Sans" w:cs="DejaVu Sans"/>
      <w:color w:val="000000"/>
      <w:sz w:val="24"/>
      <w:szCs w:val="24"/>
      <w:u w:val="none"/>
    </w:rPr>
  </w:style>
  <w:style w:type="character" w:customStyle="1" w:styleId="76">
    <w:name w:val="font71"/>
    <w:basedOn w:val="18"/>
    <w:qFormat/>
    <w:uiPriority w:val="0"/>
    <w:rPr>
      <w:rFonts w:hint="default" w:ascii="仿宋_GB2312" w:eastAsia="仿宋_GB2312" w:cs="仿宋_GB2312"/>
      <w:color w:val="000000"/>
      <w:sz w:val="24"/>
      <w:szCs w:val="24"/>
      <w:u w:val="none"/>
    </w:rPr>
  </w:style>
  <w:style w:type="paragraph" w:customStyle="1" w:styleId="77">
    <w:name w:val="我的正文"/>
    <w:basedOn w:val="5"/>
    <w:qFormat/>
    <w:uiPriority w:val="0"/>
    <w:pPr>
      <w:ind w:firstLine="480" w:firstLineChars="200"/>
    </w:pPr>
  </w:style>
  <w:style w:type="character" w:customStyle="1" w:styleId="78">
    <w:name w:val="first-child"/>
    <w:basedOn w:val="18"/>
    <w:qFormat/>
    <w:uiPriority w:val="0"/>
  </w:style>
  <w:style w:type="character" w:customStyle="1" w:styleId="79">
    <w:name w:val="layui-layer-tabnow"/>
    <w:basedOn w:val="18"/>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14878</Words>
  <Characters>15991</Characters>
  <Lines>0</Lines>
  <Paragraphs>0</Paragraphs>
  <TotalTime>10</TotalTime>
  <ScaleCrop>false</ScaleCrop>
  <LinksUpToDate>false</LinksUpToDate>
  <CharactersWithSpaces>16092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2023-03-26T08:53:00Z</dcterms:created>
  <dc:creator>Administrator</dc:creator>
  <cp:lastModifiedBy>   </cp:lastModifiedBy>
  <cp:lastPrinted>2025-04-16T02:43:00Z</cp:lastPrinted>
  <dcterms:modified xsi:type="dcterms:W3CDTF">2025-11-03T08:42:27Z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B3781BA830BF4951873FFD8A40AD4923_13</vt:lpwstr>
  </property>
  <property fmtid="{D5CDD505-2E9C-101B-9397-08002B2CF9AE}" pid="4" name="KSOTemplateDocerSaveRecord">
    <vt:lpwstr>eyJoZGlkIjoiNDk3ZTc3ZjM3N2JiYjQzOWYzZTAyNGVlMjZkNDRlNTEiLCJ1c2VySWQiOiIyNzg2OTg5ODIifQ==</vt:lpwstr>
  </property>
</Properties>
</file>