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B3400">
      <w:pPr>
        <w:spacing w:line="240" w:lineRule="exact"/>
        <w:jc w:val="center"/>
        <w:rPr>
          <w:rFonts w:ascii="宋体" w:hAnsi="宋体" w:eastAsia="宋体" w:cs="Times New Roman"/>
          <w:b/>
          <w:bCs/>
          <w:sz w:val="44"/>
          <w:szCs w:val="44"/>
        </w:rPr>
      </w:pPr>
    </w:p>
    <w:p w14:paraId="1E83FAB5">
      <w:pPr>
        <w:jc w:val="center"/>
        <w:rPr>
          <w:rFonts w:ascii="宋体" w:hAnsi="宋体" w:eastAsia="宋体" w:cs="Times New Roman"/>
          <w:b/>
          <w:bCs/>
          <w:sz w:val="44"/>
          <w:szCs w:val="44"/>
        </w:rPr>
      </w:pPr>
    </w:p>
    <w:p w14:paraId="3A12D046">
      <w:pPr>
        <w:jc w:val="center"/>
        <w:rPr>
          <w:rFonts w:ascii="宋体" w:hAnsi="宋体" w:eastAsia="宋体" w:cs="Times New Roman"/>
          <w:b/>
          <w:bCs/>
          <w:sz w:val="44"/>
          <w:szCs w:val="44"/>
        </w:rPr>
      </w:pPr>
      <w:r>
        <w:rPr>
          <w:rFonts w:hint="eastAsia" w:ascii="宋体" w:hAnsi="宋体" w:eastAsia="宋体" w:cs="Times New Roman"/>
          <w:b/>
          <w:bCs/>
          <w:sz w:val="44"/>
          <w:szCs w:val="44"/>
          <w:lang w:val="en-US" w:eastAsia="zh-CN"/>
        </w:rPr>
        <w:t>三门峡田丰养殖有限公司2024年奶业生产能力提升整县推进项目（二次）</w:t>
      </w:r>
    </w:p>
    <w:p w14:paraId="68CF262A">
      <w:pPr>
        <w:jc w:val="center"/>
        <w:rPr>
          <w:rFonts w:ascii="宋体" w:hAnsi="宋体" w:eastAsia="宋体" w:cs="宋体"/>
          <w:b/>
          <w:bCs/>
          <w:sz w:val="28"/>
          <w:szCs w:val="28"/>
        </w:rPr>
      </w:pPr>
    </w:p>
    <w:p w14:paraId="5528053D">
      <w:pPr>
        <w:jc w:val="center"/>
        <w:rPr>
          <w:rFonts w:ascii="宋体" w:hAnsi="宋体" w:eastAsia="宋体" w:cs="宋体"/>
          <w:b/>
          <w:bCs/>
          <w:sz w:val="28"/>
          <w:szCs w:val="28"/>
        </w:rPr>
      </w:pPr>
    </w:p>
    <w:p w14:paraId="64FFBC33">
      <w:pPr>
        <w:spacing w:line="360" w:lineRule="auto"/>
        <w:ind w:firstLine="420"/>
        <w:rPr>
          <w:rFonts w:ascii="宋体" w:hAnsi="宋体" w:eastAsia="宋体" w:cs="宋体"/>
          <w:b/>
          <w:kern w:val="1"/>
          <w:sz w:val="24"/>
          <w:szCs w:val="21"/>
        </w:rPr>
      </w:pPr>
    </w:p>
    <w:p w14:paraId="5B2321DF">
      <w:pPr>
        <w:spacing w:line="360" w:lineRule="auto"/>
        <w:jc w:val="center"/>
        <w:rPr>
          <w:rFonts w:ascii="宋体" w:hAnsi="宋体" w:eastAsia="宋体" w:cs="Times New Roman"/>
          <w:b/>
          <w:bCs/>
          <w:sz w:val="76"/>
          <w:szCs w:val="76"/>
        </w:rPr>
      </w:pPr>
      <w:r>
        <w:rPr>
          <w:rFonts w:hint="eastAsia" w:ascii="宋体" w:hAnsi="宋体" w:eastAsia="宋体" w:cs="Times New Roman"/>
          <w:b/>
          <w:bCs/>
          <w:sz w:val="76"/>
          <w:szCs w:val="76"/>
        </w:rPr>
        <w:t>竞争性磋商文件</w:t>
      </w:r>
    </w:p>
    <w:p w14:paraId="7F89587C">
      <w:pPr>
        <w:keepNext/>
        <w:keepLines/>
        <w:spacing w:before="160" w:after="160" w:line="400" w:lineRule="exact"/>
        <w:ind w:left="851" w:hanging="284"/>
        <w:textAlignment w:val="baseline"/>
        <w:outlineLvl w:val="1"/>
        <w:rPr>
          <w:rFonts w:ascii="宋体" w:hAnsi="宋体" w:eastAsia="宋体" w:cs="Times New Roman"/>
          <w:kern w:val="0"/>
          <w:sz w:val="28"/>
          <w:szCs w:val="28"/>
        </w:rPr>
      </w:pPr>
    </w:p>
    <w:p w14:paraId="5786355A">
      <w:pPr>
        <w:spacing w:line="360" w:lineRule="auto"/>
        <w:jc w:val="center"/>
        <w:rPr>
          <w:rFonts w:hint="eastAsia" w:ascii="宋体" w:hAnsi="宋体" w:eastAsia="宋体" w:cs="宋体"/>
          <w:b/>
          <w:bCs/>
          <w:kern w:val="1"/>
          <w:sz w:val="30"/>
          <w:szCs w:val="30"/>
          <w:lang w:eastAsia="zh-CN"/>
        </w:rPr>
      </w:pPr>
      <w:r>
        <w:rPr>
          <w:rFonts w:hint="eastAsia" w:ascii="宋体" w:hAnsi="宋体" w:eastAsia="宋体" w:cs="宋体"/>
          <w:b/>
          <w:bCs/>
          <w:kern w:val="1"/>
          <w:sz w:val="30"/>
          <w:szCs w:val="30"/>
        </w:rPr>
        <w:t>项目编</w:t>
      </w:r>
      <w:r>
        <w:rPr>
          <w:rFonts w:hint="eastAsia" w:ascii="宋体" w:hAnsi="宋体" w:eastAsia="宋体" w:cs="宋体"/>
          <w:b/>
          <w:bCs/>
          <w:kern w:val="1"/>
          <w:sz w:val="30"/>
          <w:szCs w:val="30"/>
          <w:highlight w:val="none"/>
        </w:rPr>
        <w:t>号：</w:t>
      </w:r>
      <w:r>
        <w:rPr>
          <w:rFonts w:hint="eastAsia" w:ascii="宋体" w:hAnsi="宋体" w:eastAsia="宋体" w:cs="宋体"/>
          <w:b/>
          <w:bCs/>
          <w:kern w:val="1"/>
          <w:sz w:val="30"/>
          <w:szCs w:val="30"/>
          <w:highlight w:val="none"/>
          <w:lang w:eastAsia="zh-CN"/>
        </w:rPr>
        <w:t>SZGZ[2024]188-ZC121；</w:t>
      </w:r>
    </w:p>
    <w:p w14:paraId="65FE7F3F">
      <w:pPr>
        <w:spacing w:line="360" w:lineRule="auto"/>
        <w:jc w:val="center"/>
        <w:rPr>
          <w:rFonts w:hint="eastAsia" w:ascii="宋体" w:hAnsi="宋体" w:eastAsia="宋体" w:cs="宋体"/>
          <w:b/>
          <w:bCs/>
          <w:kern w:val="1"/>
          <w:sz w:val="30"/>
          <w:szCs w:val="30"/>
          <w:lang w:eastAsia="zh-CN"/>
        </w:rPr>
      </w:pPr>
      <w:r>
        <w:rPr>
          <w:rFonts w:hint="eastAsia" w:ascii="宋体" w:hAnsi="宋体" w:eastAsia="宋体" w:cs="宋体"/>
          <w:b/>
          <w:bCs/>
          <w:kern w:val="1"/>
          <w:sz w:val="30"/>
          <w:szCs w:val="30"/>
          <w:lang w:eastAsia="zh-CN"/>
        </w:rPr>
        <w:t>陕州竞磋采购-2024-79</w:t>
      </w:r>
    </w:p>
    <w:p w14:paraId="56C5FBCD">
      <w:pPr>
        <w:spacing w:line="360" w:lineRule="auto"/>
        <w:jc w:val="center"/>
        <w:rPr>
          <w:rFonts w:hint="default" w:ascii="宋体" w:hAnsi="宋体" w:eastAsia="宋体" w:cs="宋体"/>
          <w:b/>
          <w:bCs/>
          <w:kern w:val="1"/>
          <w:sz w:val="30"/>
          <w:szCs w:val="30"/>
          <w:lang w:val="en-US" w:eastAsia="zh-CN"/>
        </w:rPr>
      </w:pPr>
    </w:p>
    <w:p w14:paraId="5B45E45B">
      <w:pPr>
        <w:spacing w:line="360" w:lineRule="auto"/>
        <w:jc w:val="center"/>
        <w:rPr>
          <w:rFonts w:ascii="宋体" w:hAnsi="宋体" w:eastAsia="宋体" w:cs="Times New Roman"/>
          <w:b/>
          <w:bCs/>
          <w:sz w:val="30"/>
          <w:szCs w:val="30"/>
        </w:rPr>
      </w:pPr>
      <w:r>
        <w:rPr>
          <w:rFonts w:hint="eastAsia" w:ascii="宋体" w:hAnsi="宋体" w:eastAsia="宋体" w:cs="宋体"/>
          <w:b/>
          <w:bCs/>
          <w:kern w:val="1"/>
          <w:sz w:val="30"/>
          <w:szCs w:val="30"/>
        </w:rPr>
        <w:t xml:space="preserve">     </w:t>
      </w:r>
    </w:p>
    <w:p w14:paraId="4B5625E8">
      <w:pPr>
        <w:jc w:val="center"/>
        <w:rPr>
          <w:rFonts w:ascii="宋体" w:hAnsi="宋体" w:eastAsia="宋体" w:cs="Times New Roman"/>
          <w:b/>
          <w:bCs/>
          <w:sz w:val="30"/>
          <w:szCs w:val="30"/>
        </w:rPr>
      </w:pPr>
    </w:p>
    <w:p w14:paraId="34641DD5">
      <w:pPr>
        <w:spacing w:line="360" w:lineRule="auto"/>
        <w:ind w:firstLine="420"/>
        <w:jc w:val="center"/>
        <w:rPr>
          <w:rFonts w:ascii="宋体" w:hAnsi="宋体" w:eastAsia="宋体" w:cs="宋体"/>
          <w:b/>
          <w:kern w:val="1"/>
          <w:sz w:val="24"/>
          <w:szCs w:val="21"/>
        </w:rPr>
      </w:pPr>
    </w:p>
    <w:p w14:paraId="441C6284">
      <w:pPr>
        <w:spacing w:line="360" w:lineRule="auto"/>
        <w:ind w:firstLine="420"/>
        <w:jc w:val="center"/>
        <w:rPr>
          <w:rFonts w:ascii="宋体" w:hAnsi="宋体" w:eastAsia="宋体" w:cs="宋体"/>
          <w:b/>
          <w:kern w:val="1"/>
          <w:sz w:val="24"/>
          <w:szCs w:val="21"/>
        </w:rPr>
      </w:pPr>
    </w:p>
    <w:p w14:paraId="7D6A4D5A">
      <w:pPr>
        <w:spacing w:line="360" w:lineRule="auto"/>
        <w:ind w:firstLine="420"/>
        <w:jc w:val="center"/>
        <w:rPr>
          <w:rFonts w:ascii="宋体" w:hAnsi="宋体" w:eastAsia="宋体" w:cs="宋体"/>
          <w:b/>
          <w:kern w:val="1"/>
          <w:sz w:val="24"/>
          <w:szCs w:val="21"/>
        </w:rPr>
      </w:pPr>
    </w:p>
    <w:p w14:paraId="2E5FF35F">
      <w:pPr>
        <w:spacing w:line="360" w:lineRule="auto"/>
        <w:ind w:firstLine="420"/>
        <w:jc w:val="center"/>
        <w:rPr>
          <w:rFonts w:ascii="宋体" w:hAnsi="宋体" w:eastAsia="宋体" w:cs="宋体"/>
          <w:b/>
          <w:kern w:val="1"/>
          <w:sz w:val="24"/>
          <w:szCs w:val="21"/>
        </w:rPr>
      </w:pPr>
    </w:p>
    <w:p w14:paraId="057620AE">
      <w:pPr>
        <w:spacing w:line="360" w:lineRule="auto"/>
        <w:ind w:firstLine="1558" w:firstLineChars="485"/>
        <w:jc w:val="left"/>
        <w:rPr>
          <w:rFonts w:ascii="宋体" w:hAnsi="宋体" w:eastAsia="宋体" w:cs="Times New Roman"/>
          <w:b/>
          <w:bCs/>
          <w:kern w:val="0"/>
          <w:sz w:val="32"/>
          <w:szCs w:val="32"/>
        </w:rPr>
      </w:pPr>
    </w:p>
    <w:p w14:paraId="5DFAC38D">
      <w:pPr>
        <w:spacing w:line="360" w:lineRule="auto"/>
        <w:ind w:firstLine="1558" w:firstLineChars="485"/>
        <w:jc w:val="left"/>
        <w:rPr>
          <w:rFonts w:ascii="宋体" w:hAnsi="宋体" w:eastAsia="宋体" w:cs="Times New Roman"/>
          <w:b/>
          <w:bCs/>
          <w:kern w:val="0"/>
          <w:sz w:val="32"/>
          <w:szCs w:val="32"/>
        </w:rPr>
      </w:pPr>
    </w:p>
    <w:p w14:paraId="198A7A8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采购人</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lang w:eastAsia="zh-CN"/>
        </w:rPr>
        <w:t>三门峡市陕州区菜园乡人民政府</w:t>
      </w:r>
    </w:p>
    <w:p w14:paraId="4D0EEC8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采购代理机构：</w:t>
      </w:r>
      <w:r>
        <w:rPr>
          <w:rFonts w:hint="eastAsia" w:ascii="宋体" w:hAnsi="宋体" w:eastAsia="宋体" w:cs="Times New Roman"/>
          <w:b/>
          <w:bCs/>
          <w:kern w:val="0"/>
          <w:sz w:val="32"/>
          <w:szCs w:val="32"/>
          <w:lang w:eastAsia="zh-CN"/>
        </w:rPr>
        <w:t>中城恒业设计集团有限公司</w:t>
      </w:r>
    </w:p>
    <w:p w14:paraId="2E664056">
      <w:pPr>
        <w:widowControl/>
        <w:spacing w:line="360" w:lineRule="auto"/>
        <w:ind w:firstLine="1558" w:firstLineChars="485"/>
        <w:rPr>
          <w:rFonts w:ascii="宋体" w:hAnsi="宋体" w:eastAsia="宋体" w:cs="Times New Roman"/>
          <w:szCs w:val="21"/>
        </w:rPr>
      </w:pPr>
      <w:r>
        <w:rPr>
          <w:rFonts w:hint="eastAsia" w:ascii="宋体" w:hAnsi="宋体" w:eastAsia="宋体" w:cs="Times New Roman"/>
          <w:b/>
          <w:bCs/>
          <w:kern w:val="0"/>
          <w:sz w:val="32"/>
          <w:szCs w:val="32"/>
        </w:rPr>
        <w:t>日        期：二零二</w:t>
      </w:r>
      <w:r>
        <w:rPr>
          <w:rFonts w:hint="eastAsia" w:ascii="宋体" w:hAnsi="宋体" w:eastAsia="宋体" w:cs="Times New Roman"/>
          <w:b/>
          <w:bCs/>
          <w:kern w:val="0"/>
          <w:sz w:val="32"/>
          <w:szCs w:val="32"/>
          <w:lang w:val="en-US" w:eastAsia="zh-CN"/>
        </w:rPr>
        <w:t>四</w:t>
      </w:r>
      <w:r>
        <w:rPr>
          <w:rFonts w:hint="eastAsia" w:ascii="宋体" w:hAnsi="宋体" w:eastAsia="宋体" w:cs="Times New Roman"/>
          <w:b/>
          <w:bCs/>
          <w:kern w:val="0"/>
          <w:sz w:val="32"/>
          <w:szCs w:val="32"/>
        </w:rPr>
        <w:t>年</w:t>
      </w:r>
      <w:r>
        <w:rPr>
          <w:rFonts w:hint="eastAsia" w:ascii="宋体" w:hAnsi="宋体" w:eastAsia="宋体" w:cs="Times New Roman"/>
          <w:b/>
          <w:bCs/>
          <w:kern w:val="0"/>
          <w:sz w:val="32"/>
          <w:szCs w:val="32"/>
          <w:lang w:val="en-US" w:eastAsia="zh-CN"/>
        </w:rPr>
        <w:t>十二</w:t>
      </w:r>
      <w:r>
        <w:rPr>
          <w:rFonts w:hint="eastAsia" w:ascii="宋体" w:hAnsi="宋体" w:eastAsia="宋体" w:cs="Times New Roman"/>
          <w:b/>
          <w:bCs/>
          <w:kern w:val="0"/>
          <w:sz w:val="32"/>
          <w:szCs w:val="32"/>
        </w:rPr>
        <w:t>月</w:t>
      </w:r>
    </w:p>
    <w:p w14:paraId="59DB49C5">
      <w:pPr>
        <w:spacing w:line="360" w:lineRule="auto"/>
        <w:jc w:val="center"/>
        <w:rPr>
          <w:rFonts w:ascii="宋体" w:hAnsi="宋体" w:eastAsia="宋体" w:cs="Times New Roman"/>
          <w:b/>
          <w:bCs/>
          <w:kern w:val="0"/>
          <w:sz w:val="44"/>
          <w:szCs w:val="44"/>
          <w:shd w:val="clear" w:color="auto" w:fill="FFFFFF"/>
        </w:rPr>
        <w:sectPr>
          <w:pgSz w:w="11906" w:h="16838"/>
          <w:pgMar w:top="1361" w:right="1361" w:bottom="1361" w:left="1361" w:header="851" w:footer="992" w:gutter="0"/>
          <w:cols w:space="720" w:num="1"/>
          <w:docGrid w:type="lines" w:linePitch="312" w:charSpace="0"/>
        </w:sectPr>
      </w:pPr>
    </w:p>
    <w:p w14:paraId="0DBAABB8">
      <w:pPr>
        <w:spacing w:line="360" w:lineRule="auto"/>
        <w:jc w:val="center"/>
        <w:rPr>
          <w:rFonts w:ascii="宋体" w:hAnsi="宋体" w:eastAsia="宋体" w:cs="Times New Roman"/>
          <w:kern w:val="0"/>
          <w:sz w:val="18"/>
          <w:szCs w:val="18"/>
          <w:shd w:val="clear" w:color="auto" w:fill="FFFFFF"/>
        </w:rPr>
      </w:pPr>
      <w:r>
        <w:rPr>
          <w:rFonts w:hint="eastAsia" w:ascii="宋体" w:hAnsi="宋体" w:eastAsia="宋体" w:cs="Times New Roman"/>
          <w:b/>
          <w:bCs/>
          <w:kern w:val="0"/>
          <w:sz w:val="44"/>
          <w:szCs w:val="44"/>
          <w:shd w:val="clear" w:color="auto" w:fill="FFFFFF"/>
        </w:rPr>
        <w:t>目  录</w:t>
      </w:r>
    </w:p>
    <w:p w14:paraId="35BB947B">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第一章 竞争性磋商公告…………………………………………3</w:t>
      </w:r>
    </w:p>
    <w:p w14:paraId="5D53FEF4">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第二章 磋商响应供应商须知及前附表…………………………</w:t>
      </w:r>
      <w:r>
        <w:rPr>
          <w:rFonts w:ascii="宋体" w:hAnsi="宋体" w:eastAsia="宋体" w:cs="Times New Roman"/>
          <w:b/>
          <w:bCs/>
          <w:sz w:val="32"/>
          <w:szCs w:val="32"/>
        </w:rPr>
        <w:t>7</w:t>
      </w:r>
    </w:p>
    <w:p w14:paraId="1B08A89A">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第三章 采购内容及要求………………………………………</w:t>
      </w:r>
      <w:r>
        <w:rPr>
          <w:rFonts w:ascii="宋体" w:hAnsi="宋体" w:eastAsia="宋体" w:cs="Times New Roman"/>
          <w:b/>
          <w:bCs/>
          <w:sz w:val="32"/>
          <w:szCs w:val="32"/>
        </w:rPr>
        <w:t>2</w:t>
      </w:r>
      <w:r>
        <w:rPr>
          <w:rFonts w:hint="eastAsia" w:ascii="宋体" w:hAnsi="宋体" w:eastAsia="宋体" w:cs="Times New Roman"/>
          <w:b/>
          <w:bCs/>
          <w:sz w:val="32"/>
          <w:szCs w:val="32"/>
        </w:rPr>
        <w:t>4</w:t>
      </w:r>
    </w:p>
    <w:p w14:paraId="03B49066">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第四章 评审办法………………………………………………26</w:t>
      </w:r>
    </w:p>
    <w:p w14:paraId="19B2EB07">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第五章 合同主要条款及格式…………………………………31</w:t>
      </w:r>
    </w:p>
    <w:p w14:paraId="0C9301B2">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 xml:space="preserve">第六章 </w:t>
      </w:r>
      <w:r>
        <w:rPr>
          <w:rFonts w:hint="eastAsia" w:ascii="宋体" w:hAnsi="宋体" w:eastAsia="宋体" w:cs="Times New Roman"/>
          <w:b/>
          <w:bCs/>
          <w:kern w:val="0"/>
          <w:sz w:val="32"/>
          <w:szCs w:val="32"/>
        </w:rPr>
        <w:t>电子化</w:t>
      </w:r>
      <w:r>
        <w:rPr>
          <w:rFonts w:hint="eastAsia" w:ascii="宋体" w:hAnsi="宋体" w:eastAsia="宋体" w:cs="Times New Roman"/>
          <w:b/>
          <w:bCs/>
          <w:sz w:val="32"/>
          <w:szCs w:val="32"/>
        </w:rPr>
        <w:t>响应文件内容及格式…………………………36</w:t>
      </w:r>
    </w:p>
    <w:p w14:paraId="5CB57FE9">
      <w:pPr>
        <w:widowControl/>
        <w:spacing w:before="100" w:beforeAutospacing="1" w:after="100" w:afterAutospacing="1" w:line="360" w:lineRule="auto"/>
        <w:rPr>
          <w:rFonts w:ascii="宋体" w:hAnsi="宋体" w:eastAsia="宋体" w:cs="Times New Roman"/>
          <w:b/>
          <w:bCs/>
          <w:kern w:val="0"/>
          <w:sz w:val="32"/>
          <w:szCs w:val="32"/>
          <w:shd w:val="clear" w:color="auto" w:fill="FFFFFF"/>
        </w:rPr>
      </w:pPr>
    </w:p>
    <w:p w14:paraId="1ACA119B">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02823B2F">
      <w:pPr>
        <w:widowControl/>
        <w:shd w:val="clear" w:color="auto" w:fill="FFFFFF"/>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第一章 竞争性磋商公告</w:t>
      </w:r>
    </w:p>
    <w:p w14:paraId="0EDF5414">
      <w:pPr>
        <w:spacing w:line="240" w:lineRule="exact"/>
        <w:ind w:firstLine="420"/>
        <w:rPr>
          <w:rFonts w:ascii="宋体" w:hAnsi="宋体" w:eastAsia="宋体" w:cs="宋体"/>
          <w:b/>
          <w:kern w:val="1"/>
          <w:sz w:val="24"/>
          <w:szCs w:val="21"/>
        </w:rPr>
      </w:pPr>
    </w:p>
    <w:p w14:paraId="1F365435">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项目概况</w:t>
      </w:r>
    </w:p>
    <w:p w14:paraId="436DA65C">
      <w:pPr>
        <w:spacing w:line="360" w:lineRule="auto"/>
        <w:ind w:firstLine="566" w:firstLineChars="236"/>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三门峡田丰养殖有限公司2024年奶业生产能力提升整县推进项目（二次）</w:t>
      </w:r>
      <w:r>
        <w:rPr>
          <w:rFonts w:hint="eastAsia" w:ascii="宋体" w:hAnsi="宋体" w:eastAsia="宋体" w:cs="Times New Roman"/>
          <w:sz w:val="24"/>
          <w:szCs w:val="24"/>
        </w:rPr>
        <w:t>的潜在供应商应在三门峡市公共资源交易中心网上获取竞争性磋商文件，并于202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15</w:t>
      </w:r>
      <w:r>
        <w:rPr>
          <w:rFonts w:hint="eastAsia" w:ascii="宋体" w:hAnsi="宋体" w:eastAsia="宋体" w:cs="Times New Roman"/>
          <w:sz w:val="24"/>
          <w:szCs w:val="24"/>
        </w:rPr>
        <w:t>日8时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0分（北京时间）前递交响应文件。</w:t>
      </w:r>
    </w:p>
    <w:p w14:paraId="5630ECA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、项目基本情况</w:t>
      </w:r>
    </w:p>
    <w:p w14:paraId="1BC3ABE1">
      <w:pPr>
        <w:spacing w:line="360" w:lineRule="auto"/>
        <w:ind w:firstLine="484" w:firstLineChars="202"/>
        <w:rPr>
          <w:rFonts w:hint="eastAsia" w:ascii="宋体" w:hAnsi="宋体" w:eastAsia="宋体" w:cs="Times New Roman"/>
          <w:sz w:val="24"/>
          <w:szCs w:val="24"/>
          <w:lang w:eastAsia="zh-CN"/>
        </w:rPr>
      </w:pPr>
      <w:r>
        <w:rPr>
          <w:rFonts w:hint="eastAsia" w:ascii="宋体" w:hAnsi="宋体" w:eastAsia="宋体" w:cs="Times New Roman"/>
          <w:sz w:val="24"/>
          <w:szCs w:val="28"/>
        </w:rPr>
        <w:t>1.采购项目</w:t>
      </w:r>
      <w:r>
        <w:rPr>
          <w:rFonts w:hint="eastAsia" w:ascii="宋体" w:hAnsi="宋体" w:eastAsia="宋体" w:cs="Times New Roman"/>
          <w:sz w:val="24"/>
          <w:szCs w:val="24"/>
        </w:rPr>
        <w:t>编号</w:t>
      </w:r>
      <w:r>
        <w:rPr>
          <w:rFonts w:hint="eastAsia" w:ascii="宋体" w:hAnsi="宋体" w:eastAsia="宋体" w:cs="Times New Roman"/>
          <w:sz w:val="24"/>
          <w:szCs w:val="24"/>
          <w:highlight w:val="none"/>
          <w:lang w:eastAsia="zh-CN"/>
        </w:rPr>
        <w:t>：SZGZ[2024]188-ZC121；</w:t>
      </w:r>
      <w:r>
        <w:rPr>
          <w:rFonts w:hint="eastAsia" w:ascii="宋体" w:hAnsi="宋体" w:eastAsia="宋体" w:cs="Times New Roman"/>
          <w:sz w:val="24"/>
          <w:szCs w:val="24"/>
          <w:lang w:eastAsia="zh-CN"/>
        </w:rPr>
        <w:t>陕州竞磋采购-2024-79；</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p>
    <w:p w14:paraId="27DBB00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采购</w:t>
      </w:r>
      <w:r>
        <w:rPr>
          <w:rFonts w:ascii="宋体" w:hAnsi="宋体" w:eastAsia="宋体" w:cs="Times New Roman"/>
          <w:sz w:val="24"/>
          <w:szCs w:val="24"/>
        </w:rPr>
        <w:t>项目名称：</w:t>
      </w:r>
      <w:r>
        <w:rPr>
          <w:rFonts w:hint="eastAsia" w:ascii="宋体" w:hAnsi="宋体" w:eastAsia="宋体" w:cs="Times New Roman"/>
          <w:kern w:val="0"/>
          <w:sz w:val="24"/>
          <w:shd w:val="clear" w:color="auto" w:fill="FFFFFF"/>
          <w:lang w:val="en-US" w:eastAsia="zh-CN"/>
        </w:rPr>
        <w:t>三门峡田丰养殖有限公司2024年奶业生产能力提升整县推进项目（二次）</w:t>
      </w:r>
    </w:p>
    <w:p w14:paraId="0DA5A6A6">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3.采购方式：竞争性磋商</w:t>
      </w:r>
    </w:p>
    <w:p w14:paraId="2D417BD9">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预算金额：</w:t>
      </w:r>
      <w:r>
        <w:rPr>
          <w:rFonts w:hint="eastAsia" w:ascii="宋体" w:hAnsi="宋体" w:eastAsia="宋体" w:cs="Times New Roman"/>
          <w:sz w:val="24"/>
          <w:szCs w:val="24"/>
          <w:lang w:val="en-US" w:eastAsia="zh-CN"/>
        </w:rPr>
        <w:t>1847000</w:t>
      </w:r>
      <w:r>
        <w:rPr>
          <w:rFonts w:hint="eastAsia" w:ascii="宋体" w:hAnsi="宋体" w:eastAsia="宋体" w:cs="Times New Roman"/>
          <w:sz w:val="24"/>
          <w:szCs w:val="24"/>
        </w:rPr>
        <w:t>元</w:t>
      </w:r>
    </w:p>
    <w:p w14:paraId="4312FAA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最高限价：</w:t>
      </w:r>
      <w:r>
        <w:rPr>
          <w:rFonts w:hint="eastAsia" w:ascii="宋体" w:hAnsi="宋体" w:eastAsia="宋体" w:cs="Times New Roman"/>
          <w:sz w:val="24"/>
          <w:szCs w:val="24"/>
          <w:lang w:val="en-US" w:eastAsia="zh-CN"/>
        </w:rPr>
        <w:t>1847000</w:t>
      </w:r>
      <w:r>
        <w:rPr>
          <w:rFonts w:hint="eastAsia" w:ascii="宋体" w:hAnsi="宋体" w:eastAsia="宋体" w:cs="Times New Roman"/>
          <w:sz w:val="24"/>
          <w:szCs w:val="24"/>
        </w:rPr>
        <w:t>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8"/>
        <w:gridCol w:w="2509"/>
        <w:gridCol w:w="1666"/>
        <w:gridCol w:w="1565"/>
      </w:tblGrid>
      <w:tr w14:paraId="3F39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 w:type="dxa"/>
            <w:noWrap/>
            <w:vAlign w:val="center"/>
          </w:tcPr>
          <w:p w14:paraId="516CBBF6">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898" w:type="dxa"/>
            <w:noWrap/>
            <w:vAlign w:val="center"/>
          </w:tcPr>
          <w:p w14:paraId="677914AE">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2509" w:type="dxa"/>
            <w:noWrap/>
            <w:vAlign w:val="center"/>
          </w:tcPr>
          <w:p w14:paraId="3FFF38A9">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666" w:type="dxa"/>
            <w:noWrap/>
            <w:vAlign w:val="center"/>
          </w:tcPr>
          <w:p w14:paraId="435AADFA">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包预算</w:t>
            </w:r>
          </w:p>
          <w:p w14:paraId="6B42DFBF">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565" w:type="dxa"/>
            <w:noWrap/>
            <w:vAlign w:val="center"/>
          </w:tcPr>
          <w:p w14:paraId="596BA844">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包最高限价</w:t>
            </w:r>
          </w:p>
          <w:p w14:paraId="197058F6">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r>
      <w:tr w14:paraId="1DFD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noWrap/>
            <w:vAlign w:val="center"/>
          </w:tcPr>
          <w:p w14:paraId="38EB7BF6">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98" w:type="dxa"/>
            <w:noWrap/>
            <w:vAlign w:val="center"/>
          </w:tcPr>
          <w:p w14:paraId="060696C3">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Times New Roman"/>
                <w:sz w:val="24"/>
                <w:szCs w:val="24"/>
                <w:lang w:eastAsia="zh-CN"/>
              </w:rPr>
              <w:t>SZGZ[2024]188-ZC121</w:t>
            </w:r>
          </w:p>
        </w:tc>
        <w:tc>
          <w:tcPr>
            <w:tcW w:w="2509" w:type="dxa"/>
            <w:noWrap/>
            <w:vAlign w:val="center"/>
          </w:tcPr>
          <w:p w14:paraId="259F0502">
            <w:pPr>
              <w:spacing w:line="360" w:lineRule="auto"/>
              <w:jc w:val="center"/>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三门峡田丰养殖有限公司2024年奶业生产能力提升整县推进项目（二次）</w:t>
            </w:r>
          </w:p>
        </w:tc>
        <w:tc>
          <w:tcPr>
            <w:tcW w:w="1666" w:type="dxa"/>
            <w:noWrap/>
            <w:vAlign w:val="center"/>
          </w:tcPr>
          <w:p w14:paraId="1A27C7A6">
            <w:pPr>
              <w:widowControl/>
              <w:spacing w:line="360" w:lineRule="auto"/>
              <w:jc w:val="center"/>
              <w:rPr>
                <w:rFonts w:ascii="宋体" w:hAnsi="宋体" w:eastAsia="宋体" w:cs="宋体"/>
                <w:kern w:val="0"/>
                <w:sz w:val="24"/>
                <w:szCs w:val="24"/>
              </w:rPr>
            </w:pPr>
            <w:r>
              <w:rPr>
                <w:rFonts w:hint="eastAsia" w:ascii="宋体" w:hAnsi="宋体" w:eastAsia="宋体" w:cs="Times New Roman"/>
                <w:sz w:val="24"/>
                <w:szCs w:val="24"/>
                <w:lang w:val="en-US" w:eastAsia="zh-CN"/>
              </w:rPr>
              <w:t>1847000</w:t>
            </w:r>
          </w:p>
        </w:tc>
        <w:tc>
          <w:tcPr>
            <w:tcW w:w="1565" w:type="dxa"/>
            <w:noWrap/>
            <w:vAlign w:val="center"/>
          </w:tcPr>
          <w:p w14:paraId="59BD125C">
            <w:pPr>
              <w:widowControl/>
              <w:spacing w:line="360" w:lineRule="auto"/>
              <w:jc w:val="center"/>
              <w:rPr>
                <w:rFonts w:ascii="宋体" w:hAnsi="宋体" w:eastAsia="宋体" w:cs="宋体"/>
                <w:kern w:val="0"/>
                <w:sz w:val="24"/>
                <w:szCs w:val="24"/>
              </w:rPr>
            </w:pPr>
            <w:r>
              <w:rPr>
                <w:rFonts w:hint="eastAsia" w:ascii="宋体" w:hAnsi="宋体" w:eastAsia="宋体" w:cs="Times New Roman"/>
                <w:sz w:val="24"/>
                <w:szCs w:val="24"/>
                <w:lang w:val="en-US" w:eastAsia="zh-CN"/>
              </w:rPr>
              <w:t>1847000</w:t>
            </w:r>
          </w:p>
        </w:tc>
      </w:tr>
    </w:tbl>
    <w:p w14:paraId="2EC9BCDE">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采购需求（包括但不限于标的的名称、数量、简要技术需求或服务要求等）</w:t>
      </w:r>
    </w:p>
    <w:p w14:paraId="2FE82CC1">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采购范</w:t>
      </w:r>
      <w:r>
        <w:rPr>
          <w:rFonts w:hint="eastAsia" w:ascii="宋体" w:hAnsi="宋体" w:eastAsia="宋体" w:cs="Times New Roman"/>
          <w:sz w:val="24"/>
          <w:szCs w:val="28"/>
        </w:rPr>
        <w:t>围：</w:t>
      </w:r>
      <w:r>
        <w:rPr>
          <w:rFonts w:hint="eastAsia" w:eastAsia="宋体" w:asciiTheme="minorEastAsia" w:hAnsiTheme="minorEastAsia"/>
          <w:sz w:val="24"/>
          <w:szCs w:val="28"/>
          <w:lang w:eastAsia="zh-CN"/>
        </w:rPr>
        <w:t>卧床耙松机、卧床垫料抛洒车、电动修蹄机、青贮收割机、场区消毒车等设备采购及安装、培训、验收、质保期服务、与货物有关的运输和保险及其他伴随服务</w:t>
      </w:r>
      <w:r>
        <w:rPr>
          <w:rFonts w:hint="eastAsia" w:ascii="宋体" w:hAnsi="宋体" w:eastAsia="宋体" w:cs="Times New Roman"/>
          <w:sz w:val="24"/>
          <w:szCs w:val="28"/>
        </w:rPr>
        <w:t>，具体采购内容及参数要求详见竞争性磋商文件</w:t>
      </w:r>
      <w:r>
        <w:rPr>
          <w:rFonts w:hint="eastAsia" w:ascii="宋体" w:hAnsi="宋体" w:eastAsia="宋体" w:cs="Times New Roman"/>
          <w:sz w:val="24"/>
          <w:szCs w:val="24"/>
        </w:rPr>
        <w:t>。</w:t>
      </w:r>
    </w:p>
    <w:p w14:paraId="386EBDAD">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5.2</w:t>
      </w:r>
      <w:r>
        <w:rPr>
          <w:rFonts w:hint="eastAsia" w:ascii="宋体" w:hAnsi="宋体" w:eastAsia="宋体" w:cs="Times New Roman"/>
          <w:sz w:val="24"/>
          <w:szCs w:val="28"/>
        </w:rPr>
        <w:t>资金来源：财政资金</w:t>
      </w:r>
      <w:r>
        <w:rPr>
          <w:rFonts w:hint="eastAsia" w:ascii="宋体" w:hAnsi="宋体" w:eastAsia="宋体" w:cs="Times New Roman"/>
          <w:sz w:val="24"/>
          <w:szCs w:val="28"/>
          <w:lang w:val="en-US" w:eastAsia="zh-CN"/>
        </w:rPr>
        <w:t>+自筹资金</w:t>
      </w:r>
      <w:r>
        <w:rPr>
          <w:rFonts w:hint="eastAsia" w:ascii="宋体" w:hAnsi="宋体" w:eastAsia="宋体" w:cs="Times New Roman"/>
          <w:sz w:val="24"/>
          <w:szCs w:val="28"/>
        </w:rPr>
        <w:t>，已落实。</w:t>
      </w:r>
    </w:p>
    <w:p w14:paraId="0B25A92C">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w:t>
      </w:r>
      <w:r>
        <w:rPr>
          <w:rFonts w:hint="eastAsia" w:ascii="宋体" w:hAnsi="宋体" w:eastAsia="宋体" w:cs="Times New Roman"/>
          <w:sz w:val="24"/>
          <w:szCs w:val="28"/>
          <w:lang w:val="en-US" w:eastAsia="zh-CN"/>
        </w:rPr>
        <w:t>3</w:t>
      </w:r>
      <w:r>
        <w:rPr>
          <w:rFonts w:hint="eastAsia" w:ascii="宋体" w:hAnsi="宋体" w:eastAsia="宋体" w:cs="Times New Roman"/>
          <w:sz w:val="24"/>
          <w:szCs w:val="28"/>
        </w:rPr>
        <w:t>质量要求：符合国家及行业相关规范和标准。</w:t>
      </w:r>
    </w:p>
    <w:p w14:paraId="073D75D0">
      <w:pPr>
        <w:spacing w:line="360" w:lineRule="auto"/>
        <w:ind w:firstLine="484" w:firstLineChars="202"/>
        <w:rPr>
          <w:rFonts w:ascii="宋体" w:hAnsi="宋体" w:eastAsia="宋体" w:cs="Times New Roman"/>
          <w:sz w:val="24"/>
          <w:szCs w:val="28"/>
        </w:rPr>
      </w:pPr>
      <w:r>
        <w:rPr>
          <w:rFonts w:hint="eastAsia" w:ascii="宋体" w:hAnsi="宋体" w:eastAsia="宋体" w:cs="Times New Roman"/>
          <w:sz w:val="24"/>
          <w:szCs w:val="28"/>
        </w:rPr>
        <w:t>5.</w:t>
      </w:r>
      <w:r>
        <w:rPr>
          <w:rFonts w:hint="eastAsia" w:ascii="宋体" w:hAnsi="宋体" w:eastAsia="宋体" w:cs="Times New Roman"/>
          <w:sz w:val="24"/>
          <w:szCs w:val="28"/>
          <w:lang w:val="en-US" w:eastAsia="zh-CN"/>
        </w:rPr>
        <w:t>4</w:t>
      </w:r>
      <w:r>
        <w:rPr>
          <w:rFonts w:hint="eastAsia" w:ascii="宋体" w:hAnsi="宋体" w:eastAsia="宋体" w:cs="Times New Roman"/>
          <w:sz w:val="24"/>
          <w:szCs w:val="28"/>
        </w:rPr>
        <w:t>交 货 期：</w:t>
      </w:r>
      <w:r>
        <w:rPr>
          <w:rFonts w:hint="eastAsia" w:ascii="宋体" w:hAnsi="宋体" w:eastAsia="宋体" w:cs="Times New Roman"/>
          <w:sz w:val="24"/>
          <w:szCs w:val="28"/>
          <w:lang w:eastAsia="zh-CN"/>
        </w:rPr>
        <w:t>合同签订之日起6个月内</w:t>
      </w:r>
      <w:r>
        <w:rPr>
          <w:rFonts w:hint="eastAsia" w:ascii="宋体" w:hAnsi="宋体" w:eastAsia="宋体" w:cs="Times New Roman"/>
          <w:sz w:val="24"/>
          <w:szCs w:val="28"/>
        </w:rPr>
        <w:t>。</w:t>
      </w:r>
    </w:p>
    <w:p w14:paraId="2E82A6A6">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w:t>
      </w:r>
      <w:r>
        <w:rPr>
          <w:rFonts w:hint="eastAsia" w:ascii="宋体" w:hAnsi="宋体" w:eastAsia="宋体" w:cs="Times New Roman"/>
          <w:sz w:val="24"/>
          <w:szCs w:val="28"/>
          <w:lang w:val="en-US" w:eastAsia="zh-CN"/>
        </w:rPr>
        <w:t>5</w:t>
      </w:r>
      <w:r>
        <w:rPr>
          <w:rFonts w:hint="eastAsia" w:ascii="宋体" w:hAnsi="宋体" w:eastAsia="宋体" w:cs="Times New Roman"/>
          <w:sz w:val="24"/>
          <w:szCs w:val="28"/>
        </w:rPr>
        <w:t>交货地点：采购人指定地点。</w:t>
      </w:r>
    </w:p>
    <w:p w14:paraId="5414BF7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合同履行期限：</w:t>
      </w:r>
      <w:r>
        <w:rPr>
          <w:rFonts w:hint="eastAsia" w:ascii="宋体" w:hAnsi="宋体" w:eastAsia="宋体" w:cs="Times New Roman"/>
          <w:sz w:val="24"/>
          <w:szCs w:val="24"/>
        </w:rPr>
        <w:t>详见磋商文件。</w:t>
      </w:r>
    </w:p>
    <w:p w14:paraId="77CE7E2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本项目是否接受联合体投标：否</w:t>
      </w:r>
    </w:p>
    <w:p w14:paraId="2410420C">
      <w:pPr>
        <w:spacing w:line="360" w:lineRule="auto"/>
        <w:ind w:firstLine="484" w:firstLineChars="202"/>
        <w:rPr>
          <w:rFonts w:hint="eastAsia"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是否接受进口产品：</w:t>
      </w:r>
      <w:r>
        <w:rPr>
          <w:rFonts w:hint="eastAsia" w:ascii="宋体" w:hAnsi="宋体" w:eastAsia="宋体" w:cs="Times New Roman"/>
          <w:sz w:val="24"/>
          <w:szCs w:val="24"/>
        </w:rPr>
        <w:t>否</w:t>
      </w:r>
    </w:p>
    <w:p w14:paraId="4DAC975A">
      <w:pPr>
        <w:spacing w:line="360" w:lineRule="auto"/>
        <w:ind w:firstLine="484" w:firstLineChars="202"/>
        <w:rPr>
          <w:rFonts w:hint="default" w:eastAsia="宋体"/>
          <w:lang w:val="en-US" w:eastAsia="zh-CN"/>
        </w:rPr>
      </w:pPr>
      <w:r>
        <w:rPr>
          <w:rFonts w:hint="eastAsia" w:ascii="宋体" w:hAnsi="宋体" w:eastAsia="宋体" w:cs="Times New Roman"/>
          <w:sz w:val="24"/>
          <w:szCs w:val="24"/>
          <w:lang w:val="en-US" w:eastAsia="zh-CN"/>
        </w:rPr>
        <w:t>9.是否专门面向中小企业：是</w:t>
      </w:r>
    </w:p>
    <w:p w14:paraId="485ABE4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二、申请人资格要求</w:t>
      </w:r>
    </w:p>
    <w:p w14:paraId="105BEF5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61755B85">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本项目专门面向中小微企业采购项目,执行促进中小企业（监狱企业、残疾人福利性企业）发展等政府采购政策。</w:t>
      </w:r>
    </w:p>
    <w:p w14:paraId="642DA66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13D48AE5">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p>
    <w:p w14:paraId="5CBE1CBF">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lang w:eastAsia="zh-CN"/>
        </w:rPr>
        <w:t>；</w:t>
      </w:r>
    </w:p>
    <w:p w14:paraId="0D6D1E6C">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1412D01F">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3.4本项目不接受联合体投标；</w:t>
      </w:r>
    </w:p>
    <w:p w14:paraId="72AEEF7C">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3.5本次磋商实行资格后审；</w:t>
      </w:r>
    </w:p>
    <w:p w14:paraId="63025C5D">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三、获取采购文件</w:t>
      </w:r>
    </w:p>
    <w:p w14:paraId="541B28E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1.时间：</w:t>
      </w: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日至202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14</w:t>
      </w:r>
      <w:r>
        <w:rPr>
          <w:rFonts w:hint="eastAsia" w:ascii="宋体" w:hAnsi="宋体" w:eastAsia="宋体" w:cs="Times New Roman"/>
          <w:sz w:val="24"/>
          <w:szCs w:val="24"/>
        </w:rPr>
        <w:t>日，每天上午00:00至12:00，下午12:00至23:59（北京时间，法定节假日除外。）</w:t>
      </w:r>
    </w:p>
    <w:p w14:paraId="49BE2CD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2.地点：三门峡市公共资源交易中心网</w:t>
      </w:r>
      <w:r>
        <w:rPr>
          <w:rFonts w:hint="eastAsia" w:ascii="宋体" w:hAnsi="宋体" w:eastAsia="宋体" w:cs="Times New Roman"/>
          <w:sz w:val="24"/>
          <w:szCs w:val="24"/>
        </w:rPr>
        <w:t>上</w:t>
      </w:r>
    </w:p>
    <w:p w14:paraId="363BF442">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18150B9F">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4. 售价：0元</w:t>
      </w:r>
    </w:p>
    <w:p w14:paraId="4A15E342">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、响应文件提交</w:t>
      </w:r>
    </w:p>
    <w:p w14:paraId="0242D4D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截止</w:t>
      </w:r>
      <w:r>
        <w:rPr>
          <w:rFonts w:ascii="宋体" w:hAnsi="宋体" w:eastAsia="宋体" w:cs="Times New Roman"/>
          <w:sz w:val="24"/>
          <w:szCs w:val="24"/>
        </w:rPr>
        <w:t>时间：202</w:t>
      </w:r>
      <w:r>
        <w:rPr>
          <w:rFonts w:hint="eastAsia" w:ascii="宋体" w:hAnsi="宋体" w:eastAsia="宋体" w:cs="Times New Roman"/>
          <w:sz w:val="24"/>
          <w:szCs w:val="24"/>
          <w:lang w:val="en-US" w:eastAsia="zh-CN"/>
        </w:rPr>
        <w:t>5</w:t>
      </w:r>
      <w:r>
        <w:rPr>
          <w:rFonts w:ascii="宋体" w:hAnsi="宋体" w:eastAsia="宋体" w:cs="Times New Roman"/>
          <w:sz w:val="24"/>
          <w:szCs w:val="24"/>
        </w:rPr>
        <w:t>年</w:t>
      </w:r>
      <w:r>
        <w:rPr>
          <w:rFonts w:hint="eastAsia" w:ascii="宋体" w:hAnsi="宋体" w:eastAsia="宋体" w:cs="Times New Roman"/>
          <w:sz w:val="24"/>
          <w:szCs w:val="24"/>
          <w:lang w:val="en-US" w:eastAsia="zh-CN"/>
        </w:rPr>
        <w:t>1</w:t>
      </w:r>
      <w:r>
        <w:rPr>
          <w:rFonts w:ascii="宋体" w:hAnsi="宋体" w:eastAsia="宋体" w:cs="Times New Roman"/>
          <w:sz w:val="24"/>
          <w:szCs w:val="24"/>
        </w:rPr>
        <w:t>月</w:t>
      </w:r>
      <w:r>
        <w:rPr>
          <w:rFonts w:hint="eastAsia" w:ascii="宋体" w:hAnsi="宋体" w:eastAsia="宋体" w:cs="Times New Roman"/>
          <w:sz w:val="24"/>
          <w:szCs w:val="24"/>
          <w:lang w:val="en-US" w:eastAsia="zh-CN"/>
        </w:rPr>
        <w:t>15</w:t>
      </w:r>
      <w:r>
        <w:rPr>
          <w:rFonts w:ascii="宋体" w:hAnsi="宋体" w:eastAsia="宋体" w:cs="Times New Roman"/>
          <w:sz w:val="24"/>
          <w:szCs w:val="24"/>
        </w:rPr>
        <w:t>日</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w:t>
      </w:r>
      <w:r>
        <w:rPr>
          <w:rFonts w:ascii="宋体" w:hAnsi="宋体" w:eastAsia="宋体" w:cs="Times New Roman"/>
          <w:sz w:val="24"/>
          <w:szCs w:val="24"/>
        </w:rPr>
        <w:t>（北京时间）</w:t>
      </w:r>
    </w:p>
    <w:p w14:paraId="4B68C87B">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2.地</w:t>
      </w:r>
      <w:r>
        <w:rPr>
          <w:rFonts w:hint="eastAsia" w:ascii="宋体" w:hAnsi="宋体" w:eastAsia="宋体" w:cs="Times New Roman"/>
          <w:sz w:val="24"/>
          <w:szCs w:val="24"/>
          <w:lang w:val="en-US" w:eastAsia="zh-CN"/>
        </w:rPr>
        <w:t>点：在三门峡市公共资源交易中心网中上传加密响应文件。</w:t>
      </w:r>
    </w:p>
    <w:p w14:paraId="5A776D9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五、响应文件开启</w:t>
      </w:r>
    </w:p>
    <w:p w14:paraId="7DBB7A8F">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时间：202</w:t>
      </w:r>
      <w:r>
        <w:rPr>
          <w:rFonts w:hint="eastAsia" w:ascii="宋体" w:hAnsi="宋体" w:eastAsia="宋体" w:cs="Times New Roman"/>
          <w:sz w:val="24"/>
          <w:szCs w:val="24"/>
          <w:lang w:val="en-US" w:eastAsia="zh-CN"/>
        </w:rPr>
        <w:t>5</w:t>
      </w:r>
      <w:r>
        <w:rPr>
          <w:rFonts w:ascii="宋体" w:hAnsi="宋体" w:eastAsia="宋体" w:cs="Times New Roman"/>
          <w:sz w:val="24"/>
          <w:szCs w:val="24"/>
        </w:rPr>
        <w:t>年</w:t>
      </w:r>
      <w:r>
        <w:rPr>
          <w:rFonts w:hint="eastAsia" w:ascii="宋体" w:hAnsi="宋体" w:eastAsia="宋体" w:cs="Times New Roman"/>
          <w:sz w:val="24"/>
          <w:szCs w:val="24"/>
          <w:lang w:val="en-US" w:eastAsia="zh-CN"/>
        </w:rPr>
        <w:t>1</w:t>
      </w:r>
      <w:r>
        <w:rPr>
          <w:rFonts w:ascii="宋体" w:hAnsi="宋体" w:eastAsia="宋体" w:cs="Times New Roman"/>
          <w:sz w:val="24"/>
          <w:szCs w:val="24"/>
        </w:rPr>
        <w:t>月</w:t>
      </w:r>
      <w:r>
        <w:rPr>
          <w:rFonts w:hint="eastAsia" w:ascii="宋体" w:hAnsi="宋体" w:eastAsia="宋体" w:cs="Times New Roman"/>
          <w:sz w:val="24"/>
          <w:szCs w:val="24"/>
          <w:lang w:val="en-US" w:eastAsia="zh-CN"/>
        </w:rPr>
        <w:t>15</w:t>
      </w:r>
      <w:r>
        <w:rPr>
          <w:rFonts w:ascii="宋体" w:hAnsi="宋体" w:eastAsia="宋体" w:cs="Times New Roman"/>
          <w:sz w:val="24"/>
          <w:szCs w:val="24"/>
        </w:rPr>
        <w:t>日</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w:t>
      </w:r>
      <w:r>
        <w:rPr>
          <w:rFonts w:ascii="宋体" w:hAnsi="宋体" w:eastAsia="宋体" w:cs="Times New Roman"/>
          <w:sz w:val="24"/>
          <w:szCs w:val="24"/>
        </w:rPr>
        <w:t>（北京时间）</w:t>
      </w:r>
    </w:p>
    <w:p w14:paraId="611E9189">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地点：</w:t>
      </w:r>
      <w:r>
        <w:rPr>
          <w:rFonts w:hint="eastAsia" w:ascii="宋体" w:hAnsi="宋体" w:eastAsia="宋体" w:cs="Times New Roman"/>
          <w:sz w:val="24"/>
          <w:szCs w:val="24"/>
        </w:rPr>
        <w:t>三门峡市陕州区公共资源交易中心开标区</w:t>
      </w:r>
    </w:p>
    <w:p w14:paraId="689B0A3D">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六、发布公告的媒介</w:t>
      </w:r>
      <w:r>
        <w:rPr>
          <w:rFonts w:hint="eastAsia" w:ascii="宋体" w:hAnsi="宋体" w:eastAsia="宋体" w:cs="Times New Roman"/>
          <w:sz w:val="24"/>
          <w:szCs w:val="24"/>
        </w:rPr>
        <w:t>及</w:t>
      </w:r>
      <w:r>
        <w:rPr>
          <w:rFonts w:ascii="宋体" w:hAnsi="宋体" w:eastAsia="宋体" w:cs="Times New Roman"/>
          <w:sz w:val="24"/>
          <w:szCs w:val="24"/>
        </w:rPr>
        <w:t>公告期限</w:t>
      </w:r>
    </w:p>
    <w:p w14:paraId="0689388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本次公告在《河南省政府采购网》、《中国采购与招标网》、《三门峡市公共资源交易中心网》上发布。</w:t>
      </w:r>
    </w:p>
    <w:p w14:paraId="7A40A3C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七、其他补充事宜</w:t>
      </w:r>
    </w:p>
    <w:p w14:paraId="3F9AA77E">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本项目实行资格后审，根据优化营商环境的要求，评标时审查内容以投标文件为准：</w:t>
      </w:r>
    </w:p>
    <w:p w14:paraId="1A6D8B6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1、资格评（预）审部分：资格评（预）审以投标文件为准，其上传资料真实性由投标人自行承担。</w:t>
      </w:r>
    </w:p>
    <w:p w14:paraId="28880C4F">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2、评标打分部分：评标打分部分仍按照100分制原则进行，涉及到资格审查、企业荣誉、人员业绩、企业业绩等计分部分时，以投标单位自行上传到投标文件中的相应内容为准。</w:t>
      </w:r>
    </w:p>
    <w:p w14:paraId="52E6AC6D">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255A6C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4、我单位（采购人）严格按三财购【2021】9号文要求的时限发布中标结果公告，发出中标通知书，签订采购合同，上传采购合同。</w:t>
      </w:r>
    </w:p>
    <w:p w14:paraId="14D7990B">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八、凡对本次招标提出询问，请按照以下方式联系</w:t>
      </w:r>
    </w:p>
    <w:p w14:paraId="787205F9">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.采购人：</w:t>
      </w:r>
      <w:r>
        <w:rPr>
          <w:rFonts w:hint="eastAsia" w:ascii="宋体" w:hAnsi="宋体" w:eastAsia="宋体" w:cs="Times New Roman"/>
          <w:sz w:val="24"/>
          <w:szCs w:val="24"/>
          <w:lang w:eastAsia="zh-CN"/>
        </w:rPr>
        <w:t>三门峡市陕州区菜园乡人民政府</w:t>
      </w:r>
    </w:p>
    <w:p w14:paraId="3E2B7D1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    址：</w:t>
      </w:r>
      <w:r>
        <w:rPr>
          <w:rFonts w:hint="eastAsia" w:ascii="宋体" w:hAnsi="宋体" w:eastAsia="宋体" w:cs="Times New Roman"/>
          <w:sz w:val="24"/>
          <w:szCs w:val="24"/>
          <w:lang w:eastAsia="zh-CN"/>
        </w:rPr>
        <w:t>三门峡市陕州区菜园乡人民政府</w:t>
      </w:r>
    </w:p>
    <w:p w14:paraId="3A833E3A">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刘女士</w:t>
      </w:r>
    </w:p>
    <w:p w14:paraId="24F3B93B">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15839880889</w:t>
      </w:r>
    </w:p>
    <w:p w14:paraId="3A5737BE">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.采购</w:t>
      </w:r>
      <w:r>
        <w:rPr>
          <w:rFonts w:ascii="宋体" w:hAnsi="宋体" w:eastAsia="宋体" w:cs="Times New Roman"/>
          <w:sz w:val="24"/>
          <w:szCs w:val="24"/>
        </w:rPr>
        <w:t>代理机构：</w:t>
      </w:r>
      <w:r>
        <w:rPr>
          <w:rFonts w:hint="eastAsia" w:ascii="宋体" w:hAnsi="宋体" w:eastAsia="宋体" w:cs="Times New Roman"/>
          <w:sz w:val="24"/>
          <w:szCs w:val="24"/>
          <w:lang w:eastAsia="zh-CN"/>
        </w:rPr>
        <w:t>中城恒业设计集团有限公司</w:t>
      </w:r>
    </w:p>
    <w:p w14:paraId="79AAD897">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ascii="宋体" w:hAnsi="宋体" w:eastAsia="宋体" w:cs="Times New Roman"/>
          <w:sz w:val="24"/>
          <w:szCs w:val="24"/>
        </w:rPr>
        <w:t>：</w:t>
      </w:r>
      <w:r>
        <w:rPr>
          <w:rFonts w:hint="eastAsia" w:ascii="宋体" w:hAnsi="宋体" w:eastAsia="宋体" w:cs="Times New Roman"/>
          <w:sz w:val="24"/>
          <w:szCs w:val="24"/>
          <w:lang w:val="en-US" w:eastAsia="zh-CN"/>
        </w:rPr>
        <w:t>贵州省铜仁市万山区仁山街道名家汇国际广场10栋16层</w:t>
      </w:r>
    </w:p>
    <w:p w14:paraId="7B3E410F">
      <w:pPr>
        <w:spacing w:line="360" w:lineRule="auto"/>
        <w:ind w:firstLine="566" w:firstLineChars="236"/>
        <w:jc w:val="left"/>
        <w:rPr>
          <w:rFonts w:hint="default" w:ascii="宋体" w:hAnsi="宋体" w:eastAsia="宋体" w:cs="Times New Roman"/>
          <w:sz w:val="24"/>
          <w:szCs w:val="24"/>
          <w:lang w:val="en-US"/>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lang w:val="en-US" w:eastAsia="zh-CN"/>
        </w:rPr>
        <w:t>雷先生</w:t>
      </w:r>
    </w:p>
    <w:p w14:paraId="476409BC">
      <w:pPr>
        <w:spacing w:line="360" w:lineRule="auto"/>
        <w:ind w:firstLine="566" w:firstLineChars="2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宋体"/>
          <w:bCs/>
          <w:kern w:val="0"/>
          <w:sz w:val="24"/>
          <w:lang w:eastAsia="zh-CN"/>
        </w:rPr>
        <w:t>15538873228</w:t>
      </w:r>
    </w:p>
    <w:p w14:paraId="3FD4AE64">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.项目联系方式</w:t>
      </w:r>
    </w:p>
    <w:p w14:paraId="6546E3EC">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刘女士</w:t>
      </w:r>
    </w:p>
    <w:p w14:paraId="6905E56D">
      <w:pPr>
        <w:spacing w:line="360" w:lineRule="auto"/>
        <w:ind w:firstLine="600" w:firstLineChars="250"/>
        <w:rPr>
          <w:rFonts w:ascii="宋体" w:hAnsi="宋体" w:eastAsia="宋体" w:cs="Times New Roman"/>
          <w:b/>
          <w:bCs/>
          <w:kern w:val="0"/>
          <w:sz w:val="32"/>
          <w:szCs w:val="32"/>
          <w:shd w:val="clear" w:color="auto" w:fill="FFFFFF"/>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15839880889</w:t>
      </w:r>
    </w:p>
    <w:p w14:paraId="068FD2F8">
      <w:pPr>
        <w:autoSpaceDE w:val="0"/>
        <w:autoSpaceDN w:val="0"/>
        <w:adjustRightInd w:val="0"/>
        <w:spacing w:line="360" w:lineRule="auto"/>
        <w:ind w:firstLine="643" w:firstLineChars="200"/>
        <w:jc w:val="center"/>
        <w:rPr>
          <w:rFonts w:ascii="宋体" w:hAnsi="宋体" w:eastAsia="宋体" w:cs="Times New Roman"/>
          <w:b/>
          <w:bCs/>
          <w:kern w:val="0"/>
          <w:sz w:val="32"/>
          <w:szCs w:val="32"/>
          <w:shd w:val="clear" w:color="auto" w:fill="FFFFFF"/>
        </w:rPr>
      </w:pPr>
      <w:r>
        <w:rPr>
          <w:rFonts w:ascii="宋体" w:hAnsi="宋体" w:eastAsia="宋体" w:cs="Times New Roman"/>
          <w:b/>
          <w:bCs/>
          <w:kern w:val="0"/>
          <w:sz w:val="32"/>
          <w:szCs w:val="32"/>
          <w:shd w:val="clear" w:color="auto" w:fill="FFFFFF"/>
        </w:rPr>
        <w:br w:type="page"/>
      </w:r>
      <w:r>
        <w:rPr>
          <w:rFonts w:hint="eastAsia" w:ascii="宋体" w:hAnsi="宋体" w:eastAsia="宋体" w:cs="Times New Roman"/>
          <w:b/>
          <w:bCs/>
          <w:kern w:val="0"/>
          <w:sz w:val="32"/>
          <w:szCs w:val="32"/>
          <w:shd w:val="clear" w:color="auto" w:fill="FFFFFF"/>
        </w:rPr>
        <w:t>第二章 磋商响应供应商须知及前附表</w:t>
      </w:r>
    </w:p>
    <w:p w14:paraId="038E8F72">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b/>
          <w:bCs/>
          <w:kern w:val="0"/>
          <w:sz w:val="24"/>
          <w:szCs w:val="24"/>
        </w:rPr>
        <w:t>磋商响应供应商须知前附表</w:t>
      </w:r>
    </w:p>
    <w:tbl>
      <w:tblPr>
        <w:tblStyle w:val="20"/>
        <w:tblW w:w="9584" w:type="dxa"/>
        <w:jc w:val="center"/>
        <w:tblLayout w:type="fixed"/>
        <w:tblCellMar>
          <w:top w:w="0" w:type="dxa"/>
          <w:left w:w="108" w:type="dxa"/>
          <w:bottom w:w="0" w:type="dxa"/>
          <w:right w:w="108" w:type="dxa"/>
        </w:tblCellMar>
      </w:tblPr>
      <w:tblGrid>
        <w:gridCol w:w="1101"/>
        <w:gridCol w:w="1701"/>
        <w:gridCol w:w="6782"/>
      </w:tblGrid>
      <w:tr w14:paraId="04014AA8">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2B0E32F">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条款号</w:t>
            </w:r>
          </w:p>
        </w:tc>
        <w:tc>
          <w:tcPr>
            <w:tcW w:w="1701" w:type="dxa"/>
            <w:tcBorders>
              <w:top w:val="single" w:color="auto" w:sz="4" w:space="0"/>
              <w:left w:val="nil"/>
              <w:bottom w:val="single" w:color="auto" w:sz="4" w:space="0"/>
              <w:right w:val="single" w:color="auto" w:sz="4" w:space="0"/>
            </w:tcBorders>
            <w:noWrap/>
            <w:vAlign w:val="center"/>
          </w:tcPr>
          <w:p w14:paraId="00DAAC49">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条款名称</w:t>
            </w:r>
          </w:p>
        </w:tc>
        <w:tc>
          <w:tcPr>
            <w:tcW w:w="6782" w:type="dxa"/>
            <w:tcBorders>
              <w:top w:val="single" w:color="auto" w:sz="4" w:space="0"/>
              <w:left w:val="nil"/>
              <w:bottom w:val="single" w:color="auto" w:sz="4" w:space="0"/>
              <w:right w:val="single" w:color="auto" w:sz="4" w:space="0"/>
            </w:tcBorders>
            <w:noWrap/>
            <w:vAlign w:val="center"/>
          </w:tcPr>
          <w:p w14:paraId="41E950BB">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编列内容</w:t>
            </w:r>
          </w:p>
        </w:tc>
      </w:tr>
      <w:tr w14:paraId="0CA5C5CB">
        <w:tblPrEx>
          <w:tblCellMar>
            <w:top w:w="0" w:type="dxa"/>
            <w:left w:w="108" w:type="dxa"/>
            <w:bottom w:w="0" w:type="dxa"/>
            <w:right w:w="108" w:type="dxa"/>
          </w:tblCellMar>
        </w:tblPrEx>
        <w:trPr>
          <w:trHeight w:val="662"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1C46AF43">
            <w:pPr>
              <w:spacing w:line="460" w:lineRule="exact"/>
              <w:jc w:val="center"/>
              <w:rPr>
                <w:rFonts w:ascii="宋体" w:hAnsi="宋体" w:eastAsia="宋体" w:cs="Times New Roman"/>
                <w:sz w:val="24"/>
                <w:szCs w:val="24"/>
              </w:rPr>
            </w:pPr>
            <w:r>
              <w:rPr>
                <w:rFonts w:ascii="宋体" w:hAnsi="宋体" w:eastAsia="宋体" w:cs="Times New Roman"/>
                <w:sz w:val="24"/>
                <w:szCs w:val="24"/>
              </w:rPr>
              <w:t>1.1</w:t>
            </w:r>
          </w:p>
        </w:tc>
        <w:tc>
          <w:tcPr>
            <w:tcW w:w="1701" w:type="dxa"/>
            <w:vMerge w:val="restart"/>
            <w:tcBorders>
              <w:top w:val="nil"/>
              <w:left w:val="nil"/>
              <w:bottom w:val="single" w:color="auto" w:sz="4" w:space="0"/>
              <w:right w:val="single" w:color="auto" w:sz="4" w:space="0"/>
            </w:tcBorders>
            <w:noWrap/>
            <w:vAlign w:val="center"/>
          </w:tcPr>
          <w:p w14:paraId="0543DC9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w:t>
            </w:r>
          </w:p>
        </w:tc>
        <w:tc>
          <w:tcPr>
            <w:tcW w:w="6782" w:type="dxa"/>
            <w:tcBorders>
              <w:top w:val="single" w:color="auto" w:sz="4" w:space="0"/>
              <w:left w:val="nil"/>
              <w:bottom w:val="single" w:color="auto" w:sz="4" w:space="0"/>
              <w:right w:val="single" w:color="auto" w:sz="4" w:space="0"/>
            </w:tcBorders>
            <w:noWrap/>
            <w:vAlign w:val="center"/>
          </w:tcPr>
          <w:p w14:paraId="38104B09">
            <w:pPr>
              <w:spacing w:line="46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名称：</w:t>
            </w:r>
            <w:r>
              <w:rPr>
                <w:rFonts w:hint="eastAsia" w:ascii="宋体" w:hAnsi="宋体" w:eastAsia="宋体" w:cs="Times New Roman"/>
                <w:sz w:val="24"/>
                <w:szCs w:val="24"/>
                <w:lang w:eastAsia="zh-CN"/>
              </w:rPr>
              <w:t>三门峡市陕州区菜园乡人民政府</w:t>
            </w:r>
          </w:p>
        </w:tc>
      </w:tr>
      <w:tr w14:paraId="5A753680">
        <w:tblPrEx>
          <w:tblCellMar>
            <w:top w:w="0" w:type="dxa"/>
            <w:left w:w="108" w:type="dxa"/>
            <w:bottom w:w="0" w:type="dxa"/>
            <w:right w:w="108" w:type="dxa"/>
          </w:tblCellMar>
        </w:tblPrEx>
        <w:trPr>
          <w:trHeight w:val="456" w:hRule="atLeast"/>
          <w:jc w:val="center"/>
        </w:trPr>
        <w:tc>
          <w:tcPr>
            <w:tcW w:w="1101" w:type="dxa"/>
            <w:vMerge w:val="continue"/>
            <w:tcBorders>
              <w:left w:val="single" w:color="auto" w:sz="4" w:space="0"/>
              <w:right w:val="single" w:color="auto" w:sz="4" w:space="0"/>
            </w:tcBorders>
            <w:noWrap/>
            <w:vAlign w:val="center"/>
          </w:tcPr>
          <w:p w14:paraId="1A7B41E0">
            <w:pPr>
              <w:spacing w:line="460" w:lineRule="exact"/>
              <w:jc w:val="center"/>
              <w:rPr>
                <w:rFonts w:ascii="宋体" w:hAnsi="宋体" w:eastAsia="宋体" w:cs="Times New Roman"/>
                <w:sz w:val="24"/>
                <w:szCs w:val="24"/>
              </w:rPr>
            </w:pPr>
          </w:p>
        </w:tc>
        <w:tc>
          <w:tcPr>
            <w:tcW w:w="1701" w:type="dxa"/>
            <w:vMerge w:val="continue"/>
            <w:tcBorders>
              <w:left w:val="nil"/>
              <w:right w:val="single" w:color="auto" w:sz="4" w:space="0"/>
            </w:tcBorders>
            <w:noWrap/>
            <w:vAlign w:val="center"/>
          </w:tcPr>
          <w:p w14:paraId="51061A68">
            <w:pPr>
              <w:spacing w:line="460" w:lineRule="exact"/>
              <w:jc w:val="center"/>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239D4D95">
            <w:pPr>
              <w:spacing w:line="460" w:lineRule="exact"/>
              <w:rPr>
                <w:rFonts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Times New Roman"/>
                <w:sz w:val="24"/>
                <w:szCs w:val="24"/>
                <w:lang w:eastAsia="zh-CN"/>
              </w:rPr>
              <w:t>三门峡市陕州区菜园乡人民政府</w:t>
            </w:r>
          </w:p>
        </w:tc>
      </w:tr>
      <w:tr w14:paraId="1E4E77DD">
        <w:tblPrEx>
          <w:tblCellMar>
            <w:top w:w="0" w:type="dxa"/>
            <w:left w:w="108" w:type="dxa"/>
            <w:bottom w:w="0" w:type="dxa"/>
            <w:right w:w="108" w:type="dxa"/>
          </w:tblCellMar>
        </w:tblPrEx>
        <w:trPr>
          <w:trHeight w:val="520"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40C97A30">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p w14:paraId="1C71FBC1">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1701" w:type="dxa"/>
            <w:vMerge w:val="continue"/>
            <w:tcBorders>
              <w:top w:val="nil"/>
              <w:left w:val="nil"/>
              <w:bottom w:val="single" w:color="auto" w:sz="4" w:space="0"/>
              <w:right w:val="single" w:color="auto" w:sz="4" w:space="0"/>
            </w:tcBorders>
            <w:noWrap/>
            <w:vAlign w:val="center"/>
          </w:tcPr>
          <w:p w14:paraId="1E9A2678">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1E410789">
            <w:pPr>
              <w:spacing w:line="460" w:lineRule="exact"/>
              <w:rPr>
                <w:rFonts w:ascii="宋体" w:hAnsi="宋体" w:eastAsia="宋体" w:cs="宋体"/>
                <w:sz w:val="24"/>
                <w:szCs w:val="24"/>
              </w:rPr>
            </w:pPr>
            <w:r>
              <w:rPr>
                <w:rFonts w:hint="eastAsia" w:ascii="宋体" w:hAnsi="宋体" w:eastAsia="宋体" w:cs="Times New Roman"/>
                <w:sz w:val="24"/>
                <w:szCs w:val="24"/>
              </w:rPr>
              <w:t>联系人（电话）：</w:t>
            </w:r>
            <w:r>
              <w:rPr>
                <w:rFonts w:ascii="宋体" w:hAnsi="宋体" w:eastAsia="宋体" w:cs="宋体"/>
                <w:sz w:val="24"/>
                <w:szCs w:val="24"/>
              </w:rPr>
              <w:t xml:space="preserve"> </w:t>
            </w:r>
            <w:r>
              <w:rPr>
                <w:rFonts w:hint="eastAsia" w:ascii="宋体" w:hAnsi="宋体" w:eastAsia="宋体" w:cs="宋体"/>
                <w:bCs/>
                <w:kern w:val="0"/>
                <w:sz w:val="24"/>
                <w:lang w:val="en-US" w:eastAsia="zh-CN"/>
              </w:rPr>
              <w:t>刘女士</w:t>
            </w:r>
            <w:r>
              <w:rPr>
                <w:rFonts w:hint="eastAsia" w:ascii="宋体" w:hAnsi="宋体" w:eastAsia="宋体" w:cs="宋体"/>
                <w:sz w:val="24"/>
                <w:szCs w:val="24"/>
              </w:rPr>
              <w:t>（</w:t>
            </w:r>
            <w:r>
              <w:rPr>
                <w:rFonts w:hint="eastAsia" w:ascii="宋体" w:hAnsi="宋体" w:eastAsia="宋体" w:cs="Times New Roman"/>
                <w:kern w:val="0"/>
                <w:sz w:val="24"/>
                <w:shd w:val="clear" w:color="auto" w:fill="FFFFFF"/>
                <w:lang w:val="en-US" w:eastAsia="zh-CN"/>
              </w:rPr>
              <w:t>15839880889</w:t>
            </w:r>
            <w:r>
              <w:rPr>
                <w:rFonts w:hint="eastAsia" w:ascii="宋体" w:hAnsi="宋体" w:eastAsia="宋体" w:cs="宋体"/>
                <w:sz w:val="24"/>
                <w:szCs w:val="24"/>
              </w:rPr>
              <w:t>）</w:t>
            </w:r>
          </w:p>
        </w:tc>
      </w:tr>
      <w:tr w14:paraId="59184EAD">
        <w:tblPrEx>
          <w:tblCellMar>
            <w:top w:w="0" w:type="dxa"/>
            <w:left w:w="108" w:type="dxa"/>
            <w:bottom w:w="0" w:type="dxa"/>
            <w:right w:w="108" w:type="dxa"/>
          </w:tblCellMar>
        </w:tblPrEx>
        <w:trPr>
          <w:trHeight w:val="579"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1103C990">
            <w:pPr>
              <w:spacing w:line="460" w:lineRule="exact"/>
              <w:jc w:val="center"/>
              <w:rPr>
                <w:rFonts w:ascii="宋体" w:hAnsi="宋体" w:eastAsia="宋体" w:cs="Times New Roman"/>
                <w:sz w:val="24"/>
                <w:szCs w:val="24"/>
              </w:rPr>
            </w:pPr>
            <w:r>
              <w:rPr>
                <w:rFonts w:ascii="宋体" w:hAnsi="宋体" w:eastAsia="宋体" w:cs="Times New Roman"/>
                <w:sz w:val="24"/>
                <w:szCs w:val="24"/>
              </w:rPr>
              <w:t>1.2</w:t>
            </w:r>
          </w:p>
        </w:tc>
        <w:tc>
          <w:tcPr>
            <w:tcW w:w="1701" w:type="dxa"/>
            <w:vMerge w:val="restart"/>
            <w:tcBorders>
              <w:top w:val="nil"/>
              <w:left w:val="nil"/>
              <w:bottom w:val="single" w:color="auto" w:sz="4" w:space="0"/>
              <w:right w:val="single" w:color="auto" w:sz="4" w:space="0"/>
            </w:tcBorders>
            <w:noWrap/>
            <w:vAlign w:val="center"/>
          </w:tcPr>
          <w:p w14:paraId="6BABC68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采购代理机构</w:t>
            </w:r>
          </w:p>
        </w:tc>
        <w:tc>
          <w:tcPr>
            <w:tcW w:w="6782" w:type="dxa"/>
            <w:tcBorders>
              <w:top w:val="single" w:color="auto" w:sz="4" w:space="0"/>
              <w:left w:val="nil"/>
              <w:bottom w:val="single" w:color="auto" w:sz="4" w:space="0"/>
              <w:right w:val="single" w:color="auto" w:sz="4" w:space="0"/>
            </w:tcBorders>
            <w:noWrap/>
            <w:vAlign w:val="center"/>
          </w:tcPr>
          <w:p w14:paraId="38E19BDB">
            <w:pPr>
              <w:spacing w:line="46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eastAsia="zh-CN"/>
              </w:rPr>
              <w:t>中城恒业设计集团有限公司</w:t>
            </w:r>
          </w:p>
        </w:tc>
      </w:tr>
      <w:tr w14:paraId="5848C6CD">
        <w:tblPrEx>
          <w:tblCellMar>
            <w:top w:w="0" w:type="dxa"/>
            <w:left w:w="108" w:type="dxa"/>
            <w:bottom w:w="0" w:type="dxa"/>
            <w:right w:w="108" w:type="dxa"/>
          </w:tblCellMar>
        </w:tblPrEx>
        <w:trPr>
          <w:trHeight w:val="559"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29BD79B8">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48DEC94A">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A6F6451">
            <w:pPr>
              <w:spacing w:line="460" w:lineRule="exact"/>
              <w:rPr>
                <w:rFonts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贵州省铜仁市万山区仁山街道名家汇国际广场10栋16层</w:t>
            </w:r>
          </w:p>
        </w:tc>
      </w:tr>
      <w:tr w14:paraId="648B4D20">
        <w:tblPrEx>
          <w:tblCellMar>
            <w:top w:w="0" w:type="dxa"/>
            <w:left w:w="108" w:type="dxa"/>
            <w:bottom w:w="0" w:type="dxa"/>
            <w:right w:w="108" w:type="dxa"/>
          </w:tblCellMar>
        </w:tblPrEx>
        <w:trPr>
          <w:trHeight w:val="553"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1BB6E1CF">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632D638B">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1F523B9">
            <w:pPr>
              <w:spacing w:line="460" w:lineRule="exact"/>
              <w:rPr>
                <w:rFonts w:ascii="宋体" w:hAnsi="宋体" w:eastAsia="宋体" w:cs="Times New Roman"/>
                <w:sz w:val="24"/>
                <w:szCs w:val="24"/>
              </w:rPr>
            </w:pPr>
            <w:r>
              <w:rPr>
                <w:rFonts w:hint="eastAsia" w:ascii="宋体" w:hAnsi="宋体" w:eastAsia="宋体" w:cs="Times New Roman"/>
                <w:sz w:val="24"/>
                <w:szCs w:val="24"/>
              </w:rPr>
              <w:t>联系人（电话）：</w:t>
            </w:r>
            <w:r>
              <w:rPr>
                <w:rFonts w:hint="eastAsia" w:ascii="宋体" w:hAnsi="宋体" w:eastAsia="宋体" w:cs="Times New Roman"/>
                <w:sz w:val="24"/>
                <w:szCs w:val="24"/>
                <w:lang w:val="en-US" w:eastAsia="zh-CN"/>
              </w:rPr>
              <w:t>李先生</w:t>
            </w:r>
            <w:r>
              <w:rPr>
                <w:rFonts w:hint="eastAsia" w:ascii="宋体" w:hAnsi="宋体" w:eastAsia="宋体" w:cs="宋体"/>
                <w:sz w:val="24"/>
                <w:szCs w:val="24"/>
              </w:rPr>
              <w:t>（</w:t>
            </w:r>
            <w:r>
              <w:rPr>
                <w:rFonts w:hint="eastAsia" w:ascii="宋体" w:hAnsi="宋体" w:eastAsia="宋体" w:cs="宋体"/>
                <w:bCs/>
                <w:kern w:val="0"/>
                <w:sz w:val="24"/>
                <w:lang w:val="en-US" w:eastAsia="zh-CN"/>
              </w:rPr>
              <w:t>15538873228</w:t>
            </w:r>
            <w:r>
              <w:rPr>
                <w:rFonts w:hint="eastAsia" w:ascii="宋体" w:hAnsi="宋体" w:eastAsia="宋体" w:cs="宋体"/>
                <w:sz w:val="24"/>
                <w:szCs w:val="24"/>
              </w:rPr>
              <w:t>）</w:t>
            </w:r>
          </w:p>
        </w:tc>
      </w:tr>
      <w:tr w14:paraId="58F6C4A7">
        <w:tblPrEx>
          <w:tblCellMar>
            <w:top w:w="0" w:type="dxa"/>
            <w:left w:w="108" w:type="dxa"/>
            <w:bottom w:w="0" w:type="dxa"/>
            <w:right w:w="108" w:type="dxa"/>
          </w:tblCellMar>
        </w:tblPrEx>
        <w:trPr>
          <w:trHeight w:val="493" w:hRule="atLeast"/>
          <w:jc w:val="center"/>
        </w:trPr>
        <w:tc>
          <w:tcPr>
            <w:tcW w:w="1101" w:type="dxa"/>
            <w:tcBorders>
              <w:top w:val="nil"/>
              <w:left w:val="single" w:color="auto" w:sz="4" w:space="0"/>
              <w:bottom w:val="single" w:color="auto" w:sz="4" w:space="0"/>
              <w:right w:val="single" w:color="auto" w:sz="4" w:space="0"/>
            </w:tcBorders>
            <w:noWrap/>
            <w:vAlign w:val="center"/>
          </w:tcPr>
          <w:p w14:paraId="011B6EBA">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1.3</w:t>
            </w:r>
          </w:p>
        </w:tc>
        <w:tc>
          <w:tcPr>
            <w:tcW w:w="1701" w:type="dxa"/>
            <w:tcBorders>
              <w:top w:val="nil"/>
              <w:left w:val="nil"/>
              <w:bottom w:val="single" w:color="auto" w:sz="4" w:space="0"/>
              <w:right w:val="single" w:color="auto" w:sz="4" w:space="0"/>
            </w:tcBorders>
            <w:noWrap/>
            <w:vAlign w:val="center"/>
          </w:tcPr>
          <w:p w14:paraId="2BE2ADA6">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预算</w:t>
            </w:r>
            <w:r>
              <w:rPr>
                <w:rFonts w:ascii="宋体" w:hAnsi="宋体" w:eastAsia="宋体" w:cs="Times New Roman"/>
                <w:sz w:val="24"/>
                <w:szCs w:val="24"/>
              </w:rPr>
              <w:t>金额</w:t>
            </w:r>
          </w:p>
        </w:tc>
        <w:tc>
          <w:tcPr>
            <w:tcW w:w="6782" w:type="dxa"/>
            <w:tcBorders>
              <w:top w:val="single" w:color="auto" w:sz="4" w:space="0"/>
              <w:left w:val="nil"/>
              <w:bottom w:val="single" w:color="auto" w:sz="4" w:space="0"/>
              <w:right w:val="single" w:color="auto" w:sz="4" w:space="0"/>
            </w:tcBorders>
            <w:noWrap/>
            <w:vAlign w:val="center"/>
          </w:tcPr>
          <w:p w14:paraId="48658D64">
            <w:pPr>
              <w:spacing w:line="460" w:lineRule="exact"/>
              <w:rPr>
                <w:rFonts w:ascii="宋体" w:hAnsi="宋体" w:eastAsia="宋体" w:cs="Times New Roman"/>
                <w:sz w:val="24"/>
                <w:szCs w:val="24"/>
              </w:rPr>
            </w:pPr>
            <w:r>
              <w:rPr>
                <w:rFonts w:hint="eastAsia" w:ascii="宋体" w:hAnsi="宋体" w:eastAsia="宋体" w:cs="Times New Roman"/>
                <w:sz w:val="24"/>
                <w:szCs w:val="24"/>
                <w:lang w:val="en-US" w:eastAsia="zh-CN"/>
              </w:rPr>
              <w:t>1847000</w:t>
            </w:r>
            <w:r>
              <w:rPr>
                <w:rFonts w:hint="eastAsia" w:ascii="宋体" w:hAnsi="宋体" w:eastAsia="宋体" w:cs="Times New Roman"/>
                <w:sz w:val="24"/>
                <w:szCs w:val="24"/>
              </w:rPr>
              <w:t>元</w:t>
            </w:r>
          </w:p>
        </w:tc>
      </w:tr>
      <w:tr w14:paraId="64ED6BDA">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5C5B9206">
            <w:pPr>
              <w:spacing w:line="460" w:lineRule="exact"/>
              <w:jc w:val="center"/>
              <w:rPr>
                <w:rFonts w:ascii="宋体" w:hAnsi="宋体" w:eastAsia="宋体" w:cs="Times New Roman"/>
                <w:sz w:val="24"/>
                <w:szCs w:val="24"/>
              </w:rPr>
            </w:pPr>
            <w:r>
              <w:rPr>
                <w:rFonts w:ascii="宋体" w:hAnsi="宋体" w:eastAsia="宋体" w:cs="Times New Roman"/>
                <w:sz w:val="24"/>
                <w:szCs w:val="24"/>
              </w:rPr>
              <w:t>1.4</w:t>
            </w:r>
          </w:p>
        </w:tc>
        <w:tc>
          <w:tcPr>
            <w:tcW w:w="1701" w:type="dxa"/>
            <w:tcBorders>
              <w:top w:val="single" w:color="auto" w:sz="4" w:space="0"/>
              <w:left w:val="nil"/>
              <w:bottom w:val="single" w:color="auto" w:sz="4" w:space="0"/>
              <w:right w:val="single" w:color="auto" w:sz="4" w:space="0"/>
            </w:tcBorders>
            <w:noWrap/>
            <w:vAlign w:val="center"/>
          </w:tcPr>
          <w:p w14:paraId="2C24C7D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782" w:type="dxa"/>
            <w:tcBorders>
              <w:top w:val="single" w:color="auto" w:sz="4" w:space="0"/>
              <w:left w:val="nil"/>
              <w:bottom w:val="single" w:color="auto" w:sz="4" w:space="0"/>
              <w:right w:val="single" w:color="auto" w:sz="4" w:space="0"/>
            </w:tcBorders>
            <w:noWrap/>
            <w:vAlign w:val="center"/>
          </w:tcPr>
          <w:p w14:paraId="051BD7F3">
            <w:pPr>
              <w:spacing w:line="460" w:lineRule="exact"/>
              <w:rPr>
                <w:rFonts w:ascii="宋体" w:hAnsi="宋体" w:eastAsia="宋体" w:cs="宋体"/>
                <w:sz w:val="24"/>
                <w:szCs w:val="24"/>
              </w:rPr>
            </w:pPr>
            <w:r>
              <w:rPr>
                <w:rFonts w:hint="eastAsia" w:ascii="宋体" w:hAnsi="宋体" w:eastAsia="宋体" w:cs="Times New Roman"/>
                <w:kern w:val="0"/>
                <w:sz w:val="24"/>
                <w:shd w:val="clear" w:color="auto" w:fill="FFFFFF"/>
                <w:lang w:val="en-US" w:eastAsia="zh-CN"/>
              </w:rPr>
              <w:t>三门峡田丰养殖有限公司2024年奶业生产能力提升整县推进项目（二次）</w:t>
            </w:r>
          </w:p>
        </w:tc>
      </w:tr>
      <w:tr w14:paraId="0865358A">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1C3CC88">
            <w:pPr>
              <w:spacing w:line="460" w:lineRule="exact"/>
              <w:jc w:val="center"/>
              <w:rPr>
                <w:rFonts w:ascii="宋体" w:hAnsi="宋体" w:eastAsia="宋体" w:cs="Times New Roman"/>
                <w:sz w:val="24"/>
                <w:szCs w:val="24"/>
              </w:rPr>
            </w:pPr>
            <w:r>
              <w:rPr>
                <w:rFonts w:ascii="宋体" w:hAnsi="宋体" w:eastAsia="宋体" w:cs="Times New Roman"/>
                <w:sz w:val="24"/>
                <w:szCs w:val="24"/>
              </w:rPr>
              <w:t>1.5</w:t>
            </w:r>
          </w:p>
        </w:tc>
        <w:tc>
          <w:tcPr>
            <w:tcW w:w="1701" w:type="dxa"/>
            <w:tcBorders>
              <w:top w:val="single" w:color="auto" w:sz="4" w:space="0"/>
              <w:left w:val="nil"/>
              <w:bottom w:val="single" w:color="auto" w:sz="4" w:space="0"/>
              <w:right w:val="single" w:color="auto" w:sz="4" w:space="0"/>
            </w:tcBorders>
            <w:noWrap/>
            <w:vAlign w:val="center"/>
          </w:tcPr>
          <w:p w14:paraId="054ADBA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资金来源及</w:t>
            </w:r>
            <w:r>
              <w:rPr>
                <w:rFonts w:ascii="宋体" w:hAnsi="宋体" w:eastAsia="宋体" w:cs="Times New Roman"/>
                <w:sz w:val="24"/>
                <w:szCs w:val="24"/>
              </w:rPr>
              <w:t>落实情况</w:t>
            </w:r>
          </w:p>
        </w:tc>
        <w:tc>
          <w:tcPr>
            <w:tcW w:w="6782" w:type="dxa"/>
            <w:tcBorders>
              <w:top w:val="single" w:color="auto" w:sz="4" w:space="0"/>
              <w:left w:val="nil"/>
              <w:bottom w:val="single" w:color="auto" w:sz="4" w:space="0"/>
              <w:right w:val="single" w:color="auto" w:sz="4" w:space="0"/>
            </w:tcBorders>
            <w:noWrap/>
            <w:vAlign w:val="center"/>
          </w:tcPr>
          <w:p w14:paraId="3AAAFA7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财政资金</w:t>
            </w:r>
            <w:r>
              <w:rPr>
                <w:rFonts w:hint="eastAsia" w:ascii="宋体" w:hAnsi="宋体" w:eastAsia="宋体" w:cs="Times New Roman"/>
                <w:sz w:val="24"/>
                <w:szCs w:val="24"/>
                <w:lang w:val="en-US" w:eastAsia="zh-CN"/>
              </w:rPr>
              <w:t>+自筹资金</w:t>
            </w:r>
            <w:r>
              <w:rPr>
                <w:rFonts w:hint="eastAsia" w:ascii="宋体" w:hAnsi="宋体" w:eastAsia="宋体" w:cs="Times New Roman"/>
                <w:sz w:val="24"/>
                <w:szCs w:val="24"/>
              </w:rPr>
              <w:t>，已落实。</w:t>
            </w:r>
          </w:p>
        </w:tc>
      </w:tr>
      <w:tr w14:paraId="54E0EC1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7D6FBB2">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3E3FF20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交货地点</w:t>
            </w:r>
          </w:p>
        </w:tc>
        <w:tc>
          <w:tcPr>
            <w:tcW w:w="6782" w:type="dxa"/>
            <w:tcBorders>
              <w:top w:val="single" w:color="auto" w:sz="4" w:space="0"/>
              <w:left w:val="nil"/>
              <w:bottom w:val="single" w:color="auto" w:sz="4" w:space="0"/>
              <w:right w:val="single" w:color="auto" w:sz="4" w:space="0"/>
            </w:tcBorders>
            <w:noWrap/>
            <w:vAlign w:val="center"/>
          </w:tcPr>
          <w:p w14:paraId="6A47F1B0">
            <w:pPr>
              <w:spacing w:line="460" w:lineRule="exact"/>
              <w:rPr>
                <w:rFonts w:ascii="宋体" w:hAnsi="宋体" w:eastAsia="宋体" w:cs="Times New Roman"/>
                <w:sz w:val="24"/>
                <w:szCs w:val="24"/>
              </w:rPr>
            </w:pPr>
            <w:r>
              <w:rPr>
                <w:rFonts w:hint="eastAsia" w:ascii="宋体" w:hAnsi="宋体" w:eastAsia="宋体" w:cs="Times New Roman"/>
                <w:sz w:val="24"/>
                <w:szCs w:val="24"/>
              </w:rPr>
              <w:t>采购人指定地点。</w:t>
            </w:r>
          </w:p>
        </w:tc>
      </w:tr>
      <w:tr w14:paraId="7E8DECA9">
        <w:tblPrEx>
          <w:tblCellMar>
            <w:top w:w="0" w:type="dxa"/>
            <w:left w:w="108" w:type="dxa"/>
            <w:bottom w:w="0" w:type="dxa"/>
            <w:right w:w="108" w:type="dxa"/>
          </w:tblCellMar>
        </w:tblPrEx>
        <w:trPr>
          <w:trHeight w:val="1299" w:hRule="atLeast"/>
          <w:jc w:val="center"/>
        </w:trPr>
        <w:tc>
          <w:tcPr>
            <w:tcW w:w="1101" w:type="dxa"/>
            <w:tcBorders>
              <w:top w:val="nil"/>
              <w:left w:val="single" w:color="auto" w:sz="4" w:space="0"/>
              <w:bottom w:val="single" w:color="auto" w:sz="4" w:space="0"/>
              <w:right w:val="single" w:color="auto" w:sz="4" w:space="0"/>
            </w:tcBorders>
            <w:noWrap/>
            <w:vAlign w:val="center"/>
          </w:tcPr>
          <w:p w14:paraId="4D621286">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7</w:t>
            </w:r>
          </w:p>
        </w:tc>
        <w:tc>
          <w:tcPr>
            <w:tcW w:w="1701" w:type="dxa"/>
            <w:tcBorders>
              <w:top w:val="nil"/>
              <w:left w:val="nil"/>
              <w:bottom w:val="single" w:color="auto" w:sz="4" w:space="0"/>
              <w:right w:val="single" w:color="auto" w:sz="4" w:space="0"/>
            </w:tcBorders>
            <w:noWrap/>
            <w:vAlign w:val="center"/>
          </w:tcPr>
          <w:p w14:paraId="39EFAB9B">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采购范围</w:t>
            </w:r>
          </w:p>
        </w:tc>
        <w:tc>
          <w:tcPr>
            <w:tcW w:w="6782" w:type="dxa"/>
            <w:tcBorders>
              <w:top w:val="nil"/>
              <w:left w:val="nil"/>
              <w:bottom w:val="single" w:color="auto" w:sz="4" w:space="0"/>
              <w:right w:val="single" w:color="auto" w:sz="4" w:space="0"/>
            </w:tcBorders>
            <w:noWrap/>
            <w:vAlign w:val="center"/>
          </w:tcPr>
          <w:p w14:paraId="0A1D235A">
            <w:pPr>
              <w:spacing w:line="360" w:lineRule="auto"/>
              <w:rPr>
                <w:rFonts w:ascii="宋体" w:hAnsi="宋体" w:eastAsia="宋体" w:cs="Times New Roman"/>
                <w:sz w:val="24"/>
                <w:szCs w:val="21"/>
              </w:rPr>
            </w:pPr>
            <w:r>
              <w:rPr>
                <w:rFonts w:hint="eastAsia" w:ascii="宋体" w:hAnsi="宋体" w:eastAsia="宋体" w:cs="Times New Roman"/>
                <w:sz w:val="24"/>
                <w:szCs w:val="21"/>
                <w:lang w:eastAsia="zh-CN"/>
              </w:rPr>
              <w:t>卧床耙松机、卧床垫料抛洒车、电动修蹄机、青贮收割机、场区消毒车等设备采购及安装、培训、验收、质保期服务、与货物有关的运输和保险及其他伴随服务</w:t>
            </w:r>
            <w:r>
              <w:rPr>
                <w:rFonts w:hint="eastAsia" w:ascii="宋体" w:hAnsi="宋体" w:eastAsia="宋体" w:cs="Times New Roman"/>
                <w:sz w:val="24"/>
                <w:szCs w:val="21"/>
              </w:rPr>
              <w:t>，具体参数详见竞争性磋商文件第三章。</w:t>
            </w:r>
          </w:p>
        </w:tc>
      </w:tr>
      <w:tr w14:paraId="3449B69B">
        <w:tblPrEx>
          <w:tblCellMar>
            <w:top w:w="0" w:type="dxa"/>
            <w:left w:w="108" w:type="dxa"/>
            <w:bottom w:w="0" w:type="dxa"/>
            <w:right w:w="108" w:type="dxa"/>
          </w:tblCellMar>
        </w:tblPrEx>
        <w:trPr>
          <w:trHeight w:val="52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3994816">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1.8</w:t>
            </w:r>
          </w:p>
        </w:tc>
        <w:tc>
          <w:tcPr>
            <w:tcW w:w="1701" w:type="dxa"/>
            <w:tcBorders>
              <w:top w:val="single" w:color="auto" w:sz="4" w:space="0"/>
              <w:left w:val="nil"/>
              <w:bottom w:val="single" w:color="auto" w:sz="4" w:space="0"/>
              <w:right w:val="single" w:color="auto" w:sz="4" w:space="0"/>
            </w:tcBorders>
            <w:noWrap/>
            <w:vAlign w:val="center"/>
          </w:tcPr>
          <w:p w14:paraId="5C1632FA">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交货期</w:t>
            </w:r>
          </w:p>
        </w:tc>
        <w:tc>
          <w:tcPr>
            <w:tcW w:w="6782" w:type="dxa"/>
            <w:tcBorders>
              <w:top w:val="single" w:color="auto" w:sz="4" w:space="0"/>
              <w:left w:val="nil"/>
              <w:bottom w:val="single" w:color="auto" w:sz="4" w:space="0"/>
              <w:right w:val="single" w:color="auto" w:sz="4" w:space="0"/>
            </w:tcBorders>
            <w:noWrap/>
            <w:vAlign w:val="center"/>
          </w:tcPr>
          <w:p w14:paraId="2C215A6F">
            <w:pPr>
              <w:spacing w:line="460" w:lineRule="exact"/>
              <w:rPr>
                <w:rFonts w:ascii="宋体" w:hAnsi="宋体" w:eastAsia="宋体" w:cs="Times New Roman"/>
                <w:sz w:val="24"/>
                <w:szCs w:val="24"/>
              </w:rPr>
            </w:pPr>
            <w:r>
              <w:rPr>
                <w:rFonts w:hint="eastAsia" w:ascii="宋体" w:hAnsi="宋体" w:eastAsia="宋体" w:cs="Times New Roman"/>
                <w:sz w:val="24"/>
                <w:szCs w:val="28"/>
                <w:lang w:eastAsia="zh-CN"/>
              </w:rPr>
              <w:t>合同签订之日起6个月内</w:t>
            </w:r>
            <w:r>
              <w:rPr>
                <w:rFonts w:hint="eastAsia" w:ascii="宋体" w:hAnsi="宋体" w:eastAsia="宋体" w:cs="Times New Roman"/>
                <w:kern w:val="0"/>
                <w:sz w:val="24"/>
                <w:szCs w:val="24"/>
              </w:rPr>
              <w:t>。</w:t>
            </w:r>
          </w:p>
        </w:tc>
      </w:tr>
      <w:tr w14:paraId="1638C779">
        <w:tblPrEx>
          <w:tblCellMar>
            <w:top w:w="0" w:type="dxa"/>
            <w:left w:w="108" w:type="dxa"/>
            <w:bottom w:w="0" w:type="dxa"/>
            <w:right w:w="108" w:type="dxa"/>
          </w:tblCellMar>
        </w:tblPrEx>
        <w:trPr>
          <w:trHeight w:val="57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22AB14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2.0</w:t>
            </w:r>
          </w:p>
        </w:tc>
        <w:tc>
          <w:tcPr>
            <w:tcW w:w="1701" w:type="dxa"/>
            <w:tcBorders>
              <w:top w:val="single" w:color="auto" w:sz="4" w:space="0"/>
              <w:left w:val="nil"/>
              <w:bottom w:val="single" w:color="auto" w:sz="4" w:space="0"/>
              <w:right w:val="single" w:color="auto" w:sz="4" w:space="0"/>
            </w:tcBorders>
            <w:noWrap/>
            <w:vAlign w:val="center"/>
          </w:tcPr>
          <w:p w14:paraId="75342537">
            <w:pPr>
              <w:keepLines/>
              <w:spacing w:line="460" w:lineRule="exact"/>
              <w:jc w:val="center"/>
              <w:rPr>
                <w:rFonts w:ascii="宋体" w:hAnsi="宋体" w:eastAsia="宋体" w:cs="Times New Roman"/>
                <w:sz w:val="24"/>
                <w:szCs w:val="21"/>
              </w:rPr>
            </w:pPr>
            <w:r>
              <w:rPr>
                <w:rFonts w:hint="eastAsia" w:ascii="宋体" w:hAnsi="宋体" w:eastAsia="宋体" w:cs="Times New Roman"/>
                <w:sz w:val="24"/>
                <w:szCs w:val="21"/>
              </w:rPr>
              <w:t>质量要求</w:t>
            </w:r>
          </w:p>
        </w:tc>
        <w:tc>
          <w:tcPr>
            <w:tcW w:w="6782" w:type="dxa"/>
            <w:tcBorders>
              <w:top w:val="single" w:color="auto" w:sz="4" w:space="0"/>
              <w:left w:val="nil"/>
              <w:bottom w:val="single" w:color="auto" w:sz="4" w:space="0"/>
              <w:right w:val="single" w:color="auto" w:sz="4" w:space="0"/>
            </w:tcBorders>
            <w:noWrap/>
            <w:vAlign w:val="center"/>
          </w:tcPr>
          <w:p w14:paraId="04D7034F">
            <w:pPr>
              <w:keepLines/>
              <w:spacing w:line="460" w:lineRule="exact"/>
              <w:jc w:val="left"/>
              <w:rPr>
                <w:rFonts w:ascii="宋体" w:hAnsi="宋体" w:eastAsia="宋体" w:cs="Times New Roman"/>
                <w:sz w:val="24"/>
                <w:szCs w:val="21"/>
              </w:rPr>
            </w:pPr>
            <w:r>
              <w:rPr>
                <w:rFonts w:hint="eastAsia" w:ascii="宋体" w:hAnsi="宋体" w:eastAsia="宋体" w:cs="Times New Roman"/>
                <w:sz w:val="24"/>
                <w:szCs w:val="24"/>
              </w:rPr>
              <w:t>符合国家及行业相关规范和标准</w:t>
            </w:r>
            <w:r>
              <w:rPr>
                <w:rFonts w:hint="eastAsia" w:ascii="宋体" w:hAnsi="宋体" w:eastAsia="宋体" w:cs="宋体"/>
                <w:sz w:val="24"/>
                <w:szCs w:val="21"/>
                <w:shd w:val="clear" w:color="auto" w:fill="FFFFFF"/>
              </w:rPr>
              <w:t>。</w:t>
            </w:r>
          </w:p>
        </w:tc>
      </w:tr>
      <w:tr w14:paraId="22E673D3">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54707D65">
            <w:pPr>
              <w:spacing w:line="460" w:lineRule="exact"/>
              <w:rPr>
                <w:rFonts w:ascii="宋体" w:hAnsi="宋体" w:eastAsia="宋体" w:cs="Times New Roman"/>
                <w:sz w:val="24"/>
                <w:szCs w:val="24"/>
              </w:rPr>
            </w:pPr>
            <w:r>
              <w:rPr>
                <w:rFonts w:ascii="宋体" w:hAnsi="宋体" w:eastAsia="宋体" w:cs="Times New Roman"/>
                <w:sz w:val="24"/>
                <w:szCs w:val="24"/>
              </w:rPr>
              <w:t xml:space="preserve">  2.</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BEFEAE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磋商响应供应商资格要求</w:t>
            </w:r>
          </w:p>
        </w:tc>
        <w:tc>
          <w:tcPr>
            <w:tcW w:w="6782" w:type="dxa"/>
            <w:tcBorders>
              <w:top w:val="single" w:color="auto" w:sz="4" w:space="0"/>
              <w:left w:val="nil"/>
              <w:bottom w:val="single" w:color="auto" w:sz="4" w:space="0"/>
              <w:right w:val="single" w:color="auto" w:sz="4" w:space="0"/>
            </w:tcBorders>
            <w:noWrap/>
            <w:vAlign w:val="center"/>
          </w:tcPr>
          <w:p w14:paraId="444EB00A">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1</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满足《中华人民共和国政府采购法》第二十二条规定；</w:t>
            </w:r>
          </w:p>
          <w:p w14:paraId="17D4CACA">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2</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落实政府采购政策满足的资格要求：</w:t>
            </w:r>
            <w:r>
              <w:rPr>
                <w:rFonts w:hint="eastAsia" w:ascii="宋体" w:hAnsi="宋体" w:eastAsia="宋体" w:cs="宋体"/>
                <w:sz w:val="24"/>
                <w:szCs w:val="21"/>
                <w:lang w:val="en-US" w:eastAsia="zh-CN"/>
              </w:rPr>
              <w:t>本项目专门面向中小微企业采购项目,执行促进中小企业（监狱企业、残疾人福利性企业）发展等政府采购政策。</w:t>
            </w:r>
          </w:p>
          <w:p w14:paraId="56A9F646">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本项目的特定资格要求</w:t>
            </w:r>
          </w:p>
          <w:p w14:paraId="565DA6EA">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3.1</w:t>
            </w:r>
            <w:r>
              <w:rPr>
                <w:rFonts w:hint="eastAsia" w:ascii="宋体" w:hAnsi="宋体" w:eastAsia="宋体" w:cs="宋体"/>
                <w:sz w:val="24"/>
                <w:szCs w:val="21"/>
                <w:lang w:val="en-US" w:eastAsia="zh-CN"/>
              </w:rPr>
              <w:t>供应商具有合格有效的营业执照；提供具有履行合同所必需的设备和专业技术能力（自行作出承诺，格式自拟）；</w:t>
            </w:r>
          </w:p>
          <w:p w14:paraId="3F495287">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2供应商出具无行贿记录在中国裁判文书网自行查询或自行承诺（查询对象：企业、法定代表人）及企业自行承诺无商业贿赂和不正当竞争行为；</w:t>
            </w:r>
          </w:p>
          <w:p w14:paraId="45B04919">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3.3</w:t>
            </w:r>
            <w:r>
              <w:rPr>
                <w:rFonts w:hint="eastAsia" w:ascii="宋体" w:hAnsi="宋体" w:eastAsia="宋体" w:cs="宋体"/>
                <w:sz w:val="24"/>
                <w:szCs w:val="21"/>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74F1545B">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3.4本项目不接受联合体投标；</w:t>
            </w:r>
          </w:p>
          <w:p w14:paraId="0C974FDE">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3.5本次磋商实行资格后审；</w:t>
            </w:r>
          </w:p>
        </w:tc>
      </w:tr>
      <w:tr w14:paraId="2C617C44">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28A0E86">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3881499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磋商响应供应商提出问题的截止时间</w:t>
            </w:r>
          </w:p>
        </w:tc>
        <w:tc>
          <w:tcPr>
            <w:tcW w:w="6782" w:type="dxa"/>
            <w:tcBorders>
              <w:top w:val="single" w:color="auto" w:sz="4" w:space="0"/>
              <w:left w:val="nil"/>
              <w:bottom w:val="single" w:color="auto" w:sz="4" w:space="0"/>
              <w:right w:val="single" w:color="auto" w:sz="4" w:space="0"/>
            </w:tcBorders>
            <w:noWrap/>
            <w:vAlign w:val="center"/>
          </w:tcPr>
          <w:p w14:paraId="04AB4A04">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3897BC92">
        <w:tblPrEx>
          <w:tblCellMar>
            <w:top w:w="0" w:type="dxa"/>
            <w:left w:w="108" w:type="dxa"/>
            <w:bottom w:w="0" w:type="dxa"/>
            <w:right w:w="108" w:type="dxa"/>
          </w:tblCellMar>
        </w:tblPrEx>
        <w:trPr>
          <w:trHeight w:val="90" w:hRule="atLeast"/>
          <w:jc w:val="center"/>
        </w:trPr>
        <w:tc>
          <w:tcPr>
            <w:tcW w:w="1101" w:type="dxa"/>
            <w:tcBorders>
              <w:top w:val="nil"/>
              <w:left w:val="single" w:color="auto" w:sz="4" w:space="0"/>
              <w:bottom w:val="single" w:color="auto" w:sz="4" w:space="0"/>
              <w:right w:val="single" w:color="auto" w:sz="4" w:space="0"/>
            </w:tcBorders>
            <w:noWrap/>
            <w:vAlign w:val="center"/>
          </w:tcPr>
          <w:p w14:paraId="4E39E31F">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p>
        </w:tc>
        <w:tc>
          <w:tcPr>
            <w:tcW w:w="1701" w:type="dxa"/>
            <w:tcBorders>
              <w:top w:val="nil"/>
              <w:left w:val="nil"/>
              <w:bottom w:val="single" w:color="auto" w:sz="4" w:space="0"/>
              <w:right w:val="single" w:color="auto" w:sz="4" w:space="0"/>
            </w:tcBorders>
            <w:noWrap/>
            <w:vAlign w:val="center"/>
          </w:tcPr>
          <w:p w14:paraId="4E29047F">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采购人书面</w:t>
            </w:r>
          </w:p>
          <w:p w14:paraId="2D6225D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澄清的时间</w:t>
            </w:r>
          </w:p>
        </w:tc>
        <w:tc>
          <w:tcPr>
            <w:tcW w:w="6782" w:type="dxa"/>
            <w:tcBorders>
              <w:top w:val="nil"/>
              <w:left w:val="nil"/>
              <w:bottom w:val="single" w:color="auto" w:sz="4" w:space="0"/>
              <w:right w:val="single" w:color="auto" w:sz="4" w:space="0"/>
            </w:tcBorders>
            <w:noWrap/>
            <w:vAlign w:val="center"/>
          </w:tcPr>
          <w:p w14:paraId="19D06D07">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5B5893C6">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92306E1">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p>
        </w:tc>
        <w:tc>
          <w:tcPr>
            <w:tcW w:w="1701" w:type="dxa"/>
            <w:tcBorders>
              <w:top w:val="single" w:color="auto" w:sz="4" w:space="0"/>
              <w:left w:val="nil"/>
              <w:bottom w:val="single" w:color="auto" w:sz="4" w:space="0"/>
              <w:right w:val="single" w:color="auto" w:sz="4" w:space="0"/>
            </w:tcBorders>
            <w:noWrap/>
            <w:vAlign w:val="center"/>
          </w:tcPr>
          <w:p w14:paraId="3503264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磋商截止时间</w:t>
            </w:r>
          </w:p>
        </w:tc>
        <w:tc>
          <w:tcPr>
            <w:tcW w:w="6782" w:type="dxa"/>
            <w:tcBorders>
              <w:top w:val="single" w:color="auto" w:sz="4" w:space="0"/>
              <w:left w:val="nil"/>
              <w:bottom w:val="single" w:color="auto" w:sz="4" w:space="0"/>
              <w:right w:val="single" w:color="auto" w:sz="4" w:space="0"/>
            </w:tcBorders>
            <w:noWrap/>
            <w:vAlign w:val="center"/>
          </w:tcPr>
          <w:p w14:paraId="6A459825">
            <w:pPr>
              <w:spacing w:line="460" w:lineRule="exact"/>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lang w:val="en-US" w:eastAsia="zh-CN"/>
              </w:rPr>
              <w:t>5</w:t>
            </w:r>
            <w:r>
              <w:rPr>
                <w:rFonts w:ascii="宋体" w:hAnsi="宋体" w:eastAsia="宋体" w:cs="Times New Roman"/>
                <w:sz w:val="24"/>
                <w:szCs w:val="24"/>
              </w:rPr>
              <w:t>年</w:t>
            </w:r>
            <w:r>
              <w:rPr>
                <w:rFonts w:hint="eastAsia" w:ascii="宋体" w:hAnsi="宋体" w:eastAsia="宋体" w:cs="Times New Roman"/>
                <w:sz w:val="24"/>
                <w:szCs w:val="24"/>
                <w:lang w:val="en-US" w:eastAsia="zh-CN"/>
              </w:rPr>
              <w:t>1</w:t>
            </w:r>
            <w:r>
              <w:rPr>
                <w:rFonts w:ascii="宋体" w:hAnsi="宋体" w:eastAsia="宋体" w:cs="Times New Roman"/>
                <w:sz w:val="24"/>
                <w:szCs w:val="24"/>
              </w:rPr>
              <w:t>月</w:t>
            </w:r>
            <w:r>
              <w:rPr>
                <w:rFonts w:hint="eastAsia" w:ascii="宋体" w:hAnsi="宋体" w:eastAsia="宋体" w:cs="Times New Roman"/>
                <w:sz w:val="24"/>
                <w:szCs w:val="24"/>
                <w:lang w:val="en-US" w:eastAsia="zh-CN"/>
              </w:rPr>
              <w:t>1</w:t>
            </w:r>
            <w:bookmarkStart w:id="18" w:name="_GoBack"/>
            <w:bookmarkEnd w:id="18"/>
            <w:r>
              <w:rPr>
                <w:rFonts w:hint="eastAsia" w:ascii="宋体" w:hAnsi="宋体" w:eastAsia="宋体" w:cs="Times New Roman"/>
                <w:sz w:val="24"/>
                <w:szCs w:val="24"/>
                <w:lang w:val="en-US" w:eastAsia="zh-CN"/>
              </w:rPr>
              <w:t>5</w:t>
            </w:r>
            <w:r>
              <w:rPr>
                <w:rFonts w:ascii="宋体" w:hAnsi="宋体" w:eastAsia="宋体" w:cs="Times New Roman"/>
                <w:sz w:val="24"/>
                <w:szCs w:val="24"/>
              </w:rPr>
              <w:t>日</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w:t>
            </w:r>
          </w:p>
        </w:tc>
      </w:tr>
      <w:tr w14:paraId="6BB3F97F">
        <w:tblPrEx>
          <w:tblCellMar>
            <w:top w:w="0" w:type="dxa"/>
            <w:left w:w="108" w:type="dxa"/>
            <w:bottom w:w="0" w:type="dxa"/>
            <w:right w:w="108" w:type="dxa"/>
          </w:tblCellMar>
        </w:tblPrEx>
        <w:trPr>
          <w:trHeight w:val="4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8CE4E9">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2090B6C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磋商有效期</w:t>
            </w:r>
          </w:p>
        </w:tc>
        <w:tc>
          <w:tcPr>
            <w:tcW w:w="6782" w:type="dxa"/>
            <w:tcBorders>
              <w:top w:val="single" w:color="auto" w:sz="4" w:space="0"/>
              <w:left w:val="nil"/>
              <w:bottom w:val="single" w:color="auto" w:sz="4" w:space="0"/>
              <w:right w:val="single" w:color="auto" w:sz="4" w:space="0"/>
            </w:tcBorders>
            <w:noWrap/>
            <w:vAlign w:val="center"/>
          </w:tcPr>
          <w:p w14:paraId="11BB642A">
            <w:pPr>
              <w:spacing w:line="460" w:lineRule="exact"/>
              <w:rPr>
                <w:rFonts w:ascii="宋体" w:hAnsi="宋体" w:eastAsia="宋体" w:cs="Times New Roman"/>
                <w:sz w:val="24"/>
                <w:szCs w:val="24"/>
              </w:rPr>
            </w:pPr>
            <w:r>
              <w:rPr>
                <w:rFonts w:hint="eastAsia" w:ascii="宋体" w:hAnsi="宋体" w:eastAsia="宋体" w:cs="宋体"/>
                <w:kern w:val="0"/>
                <w:sz w:val="24"/>
                <w:szCs w:val="24"/>
              </w:rPr>
              <w:t>响应文件递交截止之日起60天</w:t>
            </w:r>
          </w:p>
        </w:tc>
      </w:tr>
      <w:tr w14:paraId="0E5C04A1">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B6CB58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2.6</w:t>
            </w:r>
          </w:p>
        </w:tc>
        <w:tc>
          <w:tcPr>
            <w:tcW w:w="1701" w:type="dxa"/>
            <w:tcBorders>
              <w:top w:val="single" w:color="auto" w:sz="4" w:space="0"/>
              <w:left w:val="nil"/>
              <w:bottom w:val="single" w:color="auto" w:sz="4" w:space="0"/>
              <w:right w:val="single" w:color="auto" w:sz="4" w:space="0"/>
            </w:tcBorders>
            <w:noWrap/>
            <w:vAlign w:val="center"/>
          </w:tcPr>
          <w:p w14:paraId="55E3206B">
            <w:pPr>
              <w:widowControl/>
              <w:spacing w:line="460" w:lineRule="exact"/>
              <w:jc w:val="center"/>
              <w:rPr>
                <w:rFonts w:ascii="宋体" w:hAnsi="宋体" w:eastAsia="宋体" w:cs="宋体"/>
                <w:kern w:val="0"/>
                <w:sz w:val="24"/>
                <w:szCs w:val="24"/>
              </w:rPr>
            </w:pPr>
            <w:r>
              <w:rPr>
                <w:rFonts w:hint="eastAsia" w:ascii="宋体" w:hAnsi="宋体" w:eastAsia="宋体" w:cs="宋体"/>
                <w:kern w:val="44"/>
                <w:sz w:val="24"/>
                <w:szCs w:val="24"/>
              </w:rPr>
              <w:t>磋商保证金</w:t>
            </w:r>
          </w:p>
        </w:tc>
        <w:tc>
          <w:tcPr>
            <w:tcW w:w="6782" w:type="dxa"/>
            <w:tcBorders>
              <w:top w:val="single" w:color="auto" w:sz="4" w:space="0"/>
              <w:left w:val="nil"/>
              <w:bottom w:val="single" w:color="auto" w:sz="4" w:space="0"/>
              <w:right w:val="single" w:color="auto" w:sz="4" w:space="0"/>
            </w:tcBorders>
            <w:noWrap/>
            <w:vAlign w:val="center"/>
          </w:tcPr>
          <w:p w14:paraId="2B0A3394">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按照《河南省财政厅关于优化政府采购营商环境有关问题的通知》（豫财购[2020]4号文）的要求本项目不再收取保证金。</w:t>
            </w:r>
          </w:p>
        </w:tc>
      </w:tr>
      <w:tr w14:paraId="3EAF6692">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A2193A0">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p>
        </w:tc>
        <w:tc>
          <w:tcPr>
            <w:tcW w:w="1701" w:type="dxa"/>
            <w:tcBorders>
              <w:top w:val="single" w:color="auto" w:sz="4" w:space="0"/>
              <w:left w:val="nil"/>
              <w:bottom w:val="single" w:color="auto" w:sz="4" w:space="0"/>
              <w:right w:val="single" w:color="auto" w:sz="4" w:space="0"/>
            </w:tcBorders>
            <w:noWrap/>
            <w:vAlign w:val="center"/>
          </w:tcPr>
          <w:p w14:paraId="35B5B516">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签字或盖章</w:t>
            </w:r>
          </w:p>
          <w:p w14:paraId="05C8891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要求</w:t>
            </w:r>
          </w:p>
        </w:tc>
        <w:tc>
          <w:tcPr>
            <w:tcW w:w="6782" w:type="dxa"/>
            <w:tcBorders>
              <w:top w:val="single" w:color="auto" w:sz="4" w:space="0"/>
              <w:left w:val="nil"/>
              <w:bottom w:val="single" w:color="auto" w:sz="4" w:space="0"/>
              <w:right w:val="single" w:color="auto" w:sz="4" w:space="0"/>
            </w:tcBorders>
            <w:noWrap/>
            <w:vAlign w:val="center"/>
          </w:tcPr>
          <w:p w14:paraId="6D193914">
            <w:pPr>
              <w:spacing w:line="460" w:lineRule="exact"/>
              <w:rPr>
                <w:rFonts w:ascii="宋体" w:hAnsi="宋体" w:eastAsia="宋体" w:cs="Times New Roman"/>
                <w:sz w:val="24"/>
                <w:szCs w:val="24"/>
              </w:rPr>
            </w:pP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磋商响应供应商在进行电子化磋商响应文件签章时，竞争性磋商文件中要求磋商响应供应商盖章的，以签盖单位章为准；要求法定代表人签章的，以签盖法定代表人签章为准。</w:t>
            </w:r>
          </w:p>
        </w:tc>
      </w:tr>
      <w:tr w14:paraId="7BB8767C">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496986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795BA3CD">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w:t>
            </w:r>
            <w:r>
              <w:rPr>
                <w:rFonts w:hint="eastAsia" w:ascii="宋体" w:hAnsi="宋体" w:eastAsia="宋体" w:cs="Times New Roman"/>
                <w:sz w:val="24"/>
                <w:szCs w:val="24"/>
              </w:rPr>
              <w:t>磋商</w:t>
            </w:r>
            <w:r>
              <w:rPr>
                <w:rFonts w:hint="eastAsia" w:ascii="宋体" w:hAnsi="宋体" w:eastAsia="宋体" w:cs="Times New Roman"/>
                <w:kern w:val="0"/>
                <w:sz w:val="24"/>
                <w:szCs w:val="24"/>
              </w:rPr>
              <w:t>响应文件的格式及上传</w:t>
            </w:r>
          </w:p>
        </w:tc>
        <w:tc>
          <w:tcPr>
            <w:tcW w:w="6782" w:type="dxa"/>
            <w:tcBorders>
              <w:top w:val="single" w:color="auto" w:sz="4" w:space="0"/>
              <w:left w:val="nil"/>
              <w:bottom w:val="single" w:color="auto" w:sz="4" w:space="0"/>
              <w:right w:val="single" w:color="auto" w:sz="4" w:space="0"/>
            </w:tcBorders>
            <w:noWrap/>
            <w:vAlign w:val="center"/>
          </w:tcPr>
          <w:p w14:paraId="30F6A404">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AD69870">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2、电子化磋商响应文件应在投标截止时间前成功上传至三门峡市公共资源电子化交易系统。至投标截止时间止，仍未上传成功的电子化磋商响应文件将不予接收。</w:t>
            </w:r>
          </w:p>
          <w:p w14:paraId="1C5F0902">
            <w:pPr>
              <w:spacing w:line="460" w:lineRule="exac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tc>
      </w:tr>
      <w:tr w14:paraId="7C813595">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8CD491D">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2.9</w:t>
            </w:r>
          </w:p>
        </w:tc>
        <w:tc>
          <w:tcPr>
            <w:tcW w:w="1701" w:type="dxa"/>
            <w:tcBorders>
              <w:top w:val="single" w:color="auto" w:sz="4" w:space="0"/>
              <w:left w:val="nil"/>
              <w:bottom w:val="single" w:color="auto" w:sz="4" w:space="0"/>
              <w:right w:val="single" w:color="auto" w:sz="4" w:space="0"/>
            </w:tcBorders>
            <w:noWrap/>
            <w:vAlign w:val="center"/>
          </w:tcPr>
          <w:p w14:paraId="53A77FD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磋商时间</w:t>
            </w:r>
          </w:p>
          <w:p w14:paraId="2378C4E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和地点</w:t>
            </w:r>
          </w:p>
        </w:tc>
        <w:tc>
          <w:tcPr>
            <w:tcW w:w="6782" w:type="dxa"/>
            <w:tcBorders>
              <w:top w:val="single" w:color="auto" w:sz="4" w:space="0"/>
              <w:left w:val="nil"/>
              <w:bottom w:val="single" w:color="auto" w:sz="4" w:space="0"/>
              <w:right w:val="single" w:color="auto" w:sz="4" w:space="0"/>
            </w:tcBorders>
            <w:noWrap/>
            <w:vAlign w:val="center"/>
          </w:tcPr>
          <w:p w14:paraId="1D35DF9F">
            <w:pPr>
              <w:spacing w:line="460" w:lineRule="exact"/>
              <w:rPr>
                <w:rFonts w:ascii="宋体" w:hAnsi="宋体" w:eastAsia="宋体" w:cs="Times New Roman"/>
                <w:sz w:val="24"/>
                <w:szCs w:val="24"/>
              </w:rPr>
            </w:pPr>
            <w:r>
              <w:rPr>
                <w:rFonts w:hint="eastAsia" w:ascii="宋体" w:hAnsi="宋体" w:eastAsia="宋体" w:cs="Times New Roman"/>
                <w:sz w:val="24"/>
                <w:szCs w:val="24"/>
              </w:rPr>
              <w:t>时间：</w:t>
            </w:r>
            <w:r>
              <w:rPr>
                <w:rFonts w:ascii="宋体" w:hAnsi="宋体" w:eastAsia="宋体" w:cs="Times New Roman"/>
                <w:sz w:val="24"/>
                <w:szCs w:val="24"/>
              </w:rPr>
              <w:t>202</w:t>
            </w:r>
            <w:r>
              <w:rPr>
                <w:rFonts w:hint="eastAsia" w:ascii="宋体" w:hAnsi="宋体" w:eastAsia="宋体" w:cs="Times New Roman"/>
                <w:sz w:val="24"/>
                <w:szCs w:val="24"/>
                <w:lang w:val="en-US" w:eastAsia="zh-CN"/>
              </w:rPr>
              <w:t>5</w:t>
            </w:r>
            <w:r>
              <w:rPr>
                <w:rFonts w:ascii="宋体" w:hAnsi="宋体" w:eastAsia="宋体" w:cs="Times New Roman"/>
                <w:sz w:val="24"/>
                <w:szCs w:val="24"/>
              </w:rPr>
              <w:t>年</w:t>
            </w:r>
            <w:r>
              <w:rPr>
                <w:rFonts w:hint="eastAsia" w:ascii="宋体" w:hAnsi="宋体" w:eastAsia="宋体" w:cs="Times New Roman"/>
                <w:sz w:val="24"/>
                <w:szCs w:val="24"/>
                <w:lang w:val="en-US" w:eastAsia="zh-CN"/>
              </w:rPr>
              <w:t>1</w:t>
            </w:r>
            <w:r>
              <w:rPr>
                <w:rFonts w:ascii="宋体" w:hAnsi="宋体" w:eastAsia="宋体" w:cs="Times New Roman"/>
                <w:sz w:val="24"/>
                <w:szCs w:val="24"/>
              </w:rPr>
              <w:t>月</w:t>
            </w:r>
            <w:r>
              <w:rPr>
                <w:rFonts w:hint="eastAsia" w:ascii="宋体" w:hAnsi="宋体" w:eastAsia="宋体" w:cs="Times New Roman"/>
                <w:sz w:val="24"/>
                <w:szCs w:val="24"/>
                <w:lang w:val="en-US" w:eastAsia="zh-CN"/>
              </w:rPr>
              <w:t>15</w:t>
            </w:r>
            <w:r>
              <w:rPr>
                <w:rFonts w:ascii="宋体" w:hAnsi="宋体" w:eastAsia="宋体" w:cs="Times New Roman"/>
                <w:sz w:val="24"/>
                <w:szCs w:val="24"/>
              </w:rPr>
              <w:t>日</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w:t>
            </w:r>
          </w:p>
          <w:p w14:paraId="14BD1F90">
            <w:pPr>
              <w:spacing w:line="460" w:lineRule="exact"/>
              <w:rPr>
                <w:rFonts w:ascii="宋体" w:hAnsi="宋体" w:eastAsia="宋体" w:cs="Times New Roman"/>
                <w:sz w:val="24"/>
                <w:szCs w:val="24"/>
              </w:rPr>
            </w:pPr>
            <w:r>
              <w:rPr>
                <w:rFonts w:hint="eastAsia" w:ascii="宋体" w:hAnsi="宋体" w:eastAsia="宋体" w:cs="Times New Roman"/>
                <w:sz w:val="24"/>
                <w:szCs w:val="24"/>
              </w:rPr>
              <w:t>地点：三门峡市陕州区公共资源交易中心</w:t>
            </w:r>
            <w:r>
              <w:rPr>
                <w:rFonts w:hint="eastAsia" w:ascii="宋体" w:hAnsi="宋体" w:eastAsia="宋体" w:cs="Times New Roman"/>
                <w:sz w:val="24"/>
                <w:szCs w:val="24"/>
                <w:lang w:val="en-US" w:eastAsia="zh-CN"/>
              </w:rPr>
              <w:t>开标二室</w:t>
            </w:r>
            <w:r>
              <w:rPr>
                <w:rFonts w:hint="eastAsia" w:ascii="宋体" w:hAnsi="宋体" w:eastAsia="宋体" w:cs="Times New Roman"/>
                <w:sz w:val="24"/>
                <w:szCs w:val="24"/>
              </w:rPr>
              <w:t>（三门峡市陕州区新闻广播电视台四楼）。</w:t>
            </w:r>
          </w:p>
        </w:tc>
      </w:tr>
      <w:tr w14:paraId="5C3658D5">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B8F3645">
            <w:pPr>
              <w:spacing w:line="460" w:lineRule="exact"/>
              <w:rPr>
                <w:rFonts w:ascii="宋体" w:hAnsi="宋体" w:eastAsia="宋体" w:cs="Times New Roman"/>
                <w:sz w:val="24"/>
                <w:szCs w:val="24"/>
              </w:rPr>
            </w:pPr>
            <w:r>
              <w:rPr>
                <w:rFonts w:ascii="宋体" w:hAnsi="宋体" w:eastAsia="宋体" w:cs="Times New Roman"/>
                <w:sz w:val="24"/>
                <w:szCs w:val="24"/>
              </w:rPr>
              <w:t xml:space="preserve">  3.</w:t>
            </w:r>
            <w:r>
              <w:rPr>
                <w:rFonts w:hint="eastAsia" w:ascii="宋体" w:hAnsi="宋体" w:eastAsia="宋体" w:cs="Times New Roman"/>
                <w:sz w:val="24"/>
                <w:szCs w:val="24"/>
              </w:rPr>
              <w:t>0</w:t>
            </w:r>
          </w:p>
        </w:tc>
        <w:tc>
          <w:tcPr>
            <w:tcW w:w="1701" w:type="dxa"/>
            <w:tcBorders>
              <w:top w:val="single" w:color="auto" w:sz="4" w:space="0"/>
              <w:left w:val="nil"/>
              <w:bottom w:val="single" w:color="auto" w:sz="4" w:space="0"/>
              <w:right w:val="single" w:color="auto" w:sz="4" w:space="0"/>
            </w:tcBorders>
            <w:noWrap/>
            <w:vAlign w:val="center"/>
          </w:tcPr>
          <w:p w14:paraId="57193A5F">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磋商顺序</w:t>
            </w:r>
          </w:p>
        </w:tc>
        <w:tc>
          <w:tcPr>
            <w:tcW w:w="6782" w:type="dxa"/>
            <w:tcBorders>
              <w:top w:val="single" w:color="auto" w:sz="4" w:space="0"/>
              <w:left w:val="nil"/>
              <w:bottom w:val="single" w:color="auto" w:sz="4" w:space="0"/>
              <w:right w:val="single" w:color="auto" w:sz="4" w:space="0"/>
            </w:tcBorders>
            <w:noWrap/>
            <w:vAlign w:val="center"/>
          </w:tcPr>
          <w:p w14:paraId="391EDEB3">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w:t>
            </w:r>
            <w:r>
              <w:rPr>
                <w:rFonts w:hint="eastAsia" w:ascii="宋体" w:hAnsi="宋体" w:eastAsia="宋体" w:cs="Times New Roman"/>
                <w:sz w:val="24"/>
                <w:szCs w:val="24"/>
              </w:rPr>
              <w:t>电子化磋商</w:t>
            </w:r>
            <w:r>
              <w:rPr>
                <w:rFonts w:hint="eastAsia" w:ascii="宋体" w:hAnsi="宋体" w:eastAsia="宋体" w:cs="Times New Roman"/>
                <w:kern w:val="0"/>
                <w:sz w:val="24"/>
                <w:szCs w:val="24"/>
              </w:rPr>
              <w:t>响应文件上传的时间顺序磋商。</w:t>
            </w:r>
          </w:p>
        </w:tc>
      </w:tr>
      <w:tr w14:paraId="7F0B6840">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E0FE1FC">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6A2E6E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磋商小组</w:t>
            </w:r>
          </w:p>
          <w:p w14:paraId="27314D6E">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的组建</w:t>
            </w:r>
          </w:p>
        </w:tc>
        <w:tc>
          <w:tcPr>
            <w:tcW w:w="6782" w:type="dxa"/>
            <w:tcBorders>
              <w:top w:val="single" w:color="auto" w:sz="4" w:space="0"/>
              <w:left w:val="nil"/>
              <w:bottom w:val="single" w:color="auto" w:sz="4" w:space="0"/>
              <w:right w:val="single" w:color="auto" w:sz="4" w:space="0"/>
            </w:tcBorders>
            <w:noWrap/>
            <w:vAlign w:val="center"/>
          </w:tcPr>
          <w:p w14:paraId="09446AF3">
            <w:pPr>
              <w:spacing w:line="460" w:lineRule="exact"/>
              <w:rPr>
                <w:rFonts w:ascii="宋体" w:hAnsi="宋体" w:eastAsia="宋体" w:cs="Times New Roman"/>
                <w:sz w:val="24"/>
                <w:szCs w:val="24"/>
              </w:rPr>
            </w:pPr>
            <w:r>
              <w:rPr>
                <w:rFonts w:hint="eastAsia" w:ascii="宋体" w:hAnsi="宋体" w:eastAsia="宋体" w:cs="宋体"/>
                <w:sz w:val="24"/>
                <w:szCs w:val="24"/>
              </w:rPr>
              <w:t>磋商小组由</w:t>
            </w:r>
            <w:r>
              <w:rPr>
                <w:rFonts w:hint="eastAsia" w:ascii="宋体" w:hAnsi="宋体" w:eastAsia="宋体" w:cs="Times New Roman"/>
                <w:sz w:val="24"/>
                <w:szCs w:val="24"/>
              </w:rPr>
              <w:t>采购</w:t>
            </w:r>
            <w:r>
              <w:rPr>
                <w:rFonts w:hint="eastAsia" w:ascii="宋体" w:hAnsi="宋体" w:eastAsia="宋体" w:cs="宋体"/>
                <w:sz w:val="24"/>
                <w:szCs w:val="24"/>
              </w:rPr>
              <w:t>人代表和评审专家共3人以上单数组成，</w:t>
            </w:r>
            <w:r>
              <w:rPr>
                <w:rFonts w:hint="eastAsia" w:ascii="宋体" w:hAnsi="宋体" w:eastAsia="宋体" w:cs="宋体"/>
                <w:kern w:val="44"/>
                <w:sz w:val="24"/>
                <w:szCs w:val="24"/>
              </w:rPr>
              <w:t>其中</w:t>
            </w:r>
            <w:r>
              <w:rPr>
                <w:rFonts w:hint="eastAsia" w:ascii="宋体" w:hAnsi="宋体" w:eastAsia="宋体" w:cs="Times New Roman"/>
                <w:sz w:val="24"/>
                <w:szCs w:val="24"/>
              </w:rPr>
              <w:t>采购</w:t>
            </w:r>
            <w:r>
              <w:rPr>
                <w:rFonts w:hint="eastAsia" w:ascii="宋体" w:hAnsi="宋体" w:eastAsia="宋体" w:cs="宋体"/>
                <w:kern w:val="44"/>
                <w:sz w:val="24"/>
                <w:szCs w:val="24"/>
              </w:rPr>
              <w:t>人代表1人，其余评审专家2人从三门峡市公共资源交易</w:t>
            </w:r>
            <w:r>
              <w:rPr>
                <w:rFonts w:hint="eastAsia" w:ascii="宋体" w:hAnsi="宋体" w:eastAsia="宋体" w:cs="宋体"/>
                <w:kern w:val="44"/>
                <w:sz w:val="24"/>
                <w:szCs w:val="24"/>
                <w:lang w:val="en-US" w:eastAsia="zh-CN"/>
              </w:rPr>
              <w:t>相关</w:t>
            </w:r>
            <w:r>
              <w:rPr>
                <w:rFonts w:hint="eastAsia" w:ascii="宋体" w:hAnsi="宋体" w:eastAsia="宋体" w:cs="宋体"/>
                <w:kern w:val="44"/>
                <w:sz w:val="24"/>
                <w:szCs w:val="24"/>
              </w:rPr>
              <w:t>评标专家库陕州区终端中随机抽取。</w:t>
            </w:r>
          </w:p>
        </w:tc>
      </w:tr>
      <w:tr w14:paraId="0D9AD0DE">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4C43B16">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06F37A5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782" w:type="dxa"/>
            <w:tcBorders>
              <w:top w:val="single" w:color="auto" w:sz="4" w:space="0"/>
              <w:left w:val="nil"/>
              <w:bottom w:val="single" w:color="auto" w:sz="4" w:space="0"/>
              <w:right w:val="single" w:color="auto" w:sz="4" w:space="0"/>
            </w:tcBorders>
            <w:noWrap/>
            <w:vAlign w:val="center"/>
          </w:tcPr>
          <w:p w14:paraId="7161EFA2">
            <w:pPr>
              <w:spacing w:line="460" w:lineRule="exact"/>
              <w:rPr>
                <w:rFonts w:ascii="宋体" w:hAnsi="宋体" w:eastAsia="宋体" w:cs="Times New Roman"/>
                <w:sz w:val="24"/>
                <w:szCs w:val="24"/>
              </w:rPr>
            </w:pPr>
            <w:r>
              <w:rPr>
                <w:rFonts w:hint="eastAsia" w:ascii="宋体" w:hAnsi="宋体" w:eastAsia="宋体" w:cs="Times New Roman"/>
                <w:sz w:val="24"/>
                <w:szCs w:val="24"/>
              </w:rPr>
              <w:t>否，按顺序推荐的成交候选供应商：</w:t>
            </w:r>
            <w:r>
              <w:rPr>
                <w:rFonts w:ascii="宋体" w:hAnsi="宋体" w:eastAsia="宋体" w:cs="Times New Roman"/>
                <w:sz w:val="24"/>
                <w:szCs w:val="24"/>
                <w:u w:val="single"/>
              </w:rPr>
              <w:t>3</w:t>
            </w:r>
            <w:r>
              <w:rPr>
                <w:rFonts w:hint="eastAsia" w:ascii="宋体" w:hAnsi="宋体" w:eastAsia="宋体" w:cs="Times New Roman"/>
                <w:sz w:val="24"/>
                <w:szCs w:val="24"/>
                <w:u w:val="single"/>
              </w:rPr>
              <w:t>名</w:t>
            </w:r>
            <w:r>
              <w:rPr>
                <w:rFonts w:hint="eastAsia" w:ascii="宋体" w:hAnsi="宋体" w:eastAsia="宋体" w:cs="Times New Roman"/>
                <w:sz w:val="24"/>
                <w:szCs w:val="24"/>
                <w:u w:val="none"/>
              </w:rPr>
              <w:t>。</w:t>
            </w:r>
          </w:p>
        </w:tc>
      </w:tr>
      <w:tr w14:paraId="3613ECD9">
        <w:tblPrEx>
          <w:tblCellMar>
            <w:top w:w="0" w:type="dxa"/>
            <w:left w:w="108" w:type="dxa"/>
            <w:bottom w:w="0" w:type="dxa"/>
            <w:right w:w="108" w:type="dxa"/>
          </w:tblCellMar>
        </w:tblPrEx>
        <w:trPr>
          <w:trHeight w:val="49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9AAF322">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3</w:t>
            </w:r>
          </w:p>
        </w:tc>
        <w:tc>
          <w:tcPr>
            <w:tcW w:w="1701" w:type="dxa"/>
            <w:tcBorders>
              <w:top w:val="single" w:color="auto" w:sz="4" w:space="0"/>
              <w:left w:val="nil"/>
              <w:bottom w:val="single" w:color="auto" w:sz="4" w:space="0"/>
              <w:right w:val="single" w:color="auto" w:sz="4" w:space="0"/>
            </w:tcBorders>
            <w:noWrap/>
            <w:vAlign w:val="center"/>
          </w:tcPr>
          <w:p w14:paraId="06F850CB">
            <w:pPr>
              <w:keepLines/>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付款方式</w:t>
            </w:r>
          </w:p>
        </w:tc>
        <w:tc>
          <w:tcPr>
            <w:tcW w:w="6782" w:type="dxa"/>
            <w:tcBorders>
              <w:top w:val="single" w:color="auto" w:sz="4" w:space="0"/>
              <w:left w:val="nil"/>
              <w:bottom w:val="single" w:color="auto" w:sz="4" w:space="0"/>
              <w:right w:val="single" w:color="auto" w:sz="4" w:space="0"/>
            </w:tcBorders>
            <w:noWrap/>
            <w:vAlign w:val="center"/>
          </w:tcPr>
          <w:p w14:paraId="3D01A267">
            <w:pPr>
              <w:keepLines/>
              <w:spacing w:line="460" w:lineRule="exact"/>
              <w:jc w:val="left"/>
              <w:rPr>
                <w:rFonts w:ascii="宋体" w:hAnsi="宋体" w:eastAsia="宋体" w:cs="Times New Roman"/>
                <w:sz w:val="24"/>
                <w:szCs w:val="24"/>
              </w:rPr>
            </w:pPr>
            <w:r>
              <w:rPr>
                <w:rFonts w:hint="eastAsia" w:ascii="宋体" w:hAnsi="宋体" w:eastAsia="宋体" w:cs="Times New Roman"/>
                <w:kern w:val="0"/>
                <w:sz w:val="24"/>
                <w:szCs w:val="24"/>
              </w:rPr>
              <w:t>按合同执行。</w:t>
            </w:r>
          </w:p>
        </w:tc>
      </w:tr>
      <w:tr w14:paraId="67850A0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BA97EB5">
            <w:pPr>
              <w:spacing w:line="460" w:lineRule="exact"/>
              <w:jc w:val="center"/>
              <w:rPr>
                <w:rFonts w:ascii="宋体" w:hAnsi="宋体" w:eastAsia="宋体" w:cs="Times New Roman"/>
                <w:sz w:val="24"/>
                <w:szCs w:val="24"/>
              </w:rPr>
            </w:pPr>
            <w:r>
              <w:rPr>
                <w:rFonts w:ascii="宋体" w:hAnsi="宋体" w:eastAsia="宋体" w:cs="Times New Roman"/>
                <w:sz w:val="24"/>
                <w:szCs w:val="24"/>
              </w:rPr>
              <w:t>3.4</w:t>
            </w:r>
          </w:p>
        </w:tc>
        <w:tc>
          <w:tcPr>
            <w:tcW w:w="1701" w:type="dxa"/>
            <w:tcBorders>
              <w:top w:val="single" w:color="auto" w:sz="4" w:space="0"/>
              <w:left w:val="nil"/>
              <w:bottom w:val="single" w:color="auto" w:sz="4" w:space="0"/>
              <w:right w:val="single" w:color="auto" w:sz="4" w:space="0"/>
            </w:tcBorders>
            <w:noWrap/>
            <w:vAlign w:val="center"/>
          </w:tcPr>
          <w:p w14:paraId="0F32F69F">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招标控制价</w:t>
            </w:r>
          </w:p>
        </w:tc>
        <w:tc>
          <w:tcPr>
            <w:tcW w:w="6782" w:type="dxa"/>
            <w:tcBorders>
              <w:top w:val="single" w:color="auto" w:sz="4" w:space="0"/>
              <w:left w:val="nil"/>
              <w:bottom w:val="single" w:color="auto" w:sz="4" w:space="0"/>
              <w:right w:val="single" w:color="auto" w:sz="4" w:space="0"/>
            </w:tcBorders>
            <w:noWrap/>
            <w:vAlign w:val="center"/>
          </w:tcPr>
          <w:p w14:paraId="1CB67FC3">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人民币</w:t>
            </w:r>
            <w:r>
              <w:rPr>
                <w:rFonts w:hint="eastAsia" w:ascii="宋体" w:hAnsi="宋体" w:eastAsia="宋体" w:cs="Times New Roman"/>
                <w:sz w:val="24"/>
                <w:szCs w:val="24"/>
                <w:lang w:val="en-US" w:eastAsia="zh-CN"/>
              </w:rPr>
              <w:t>壹佰捌拾肆万柒仟元整</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1847000</w:t>
            </w:r>
            <w:r>
              <w:rPr>
                <w:rFonts w:hint="eastAsia" w:ascii="宋体" w:hAnsi="宋体" w:eastAsia="宋体" w:cs="Times New Roman"/>
                <w:sz w:val="24"/>
                <w:szCs w:val="24"/>
              </w:rPr>
              <w:t>元），凡磋商响应供应商的磋商报价超出“招标控制价”的，该磋商响应供应商的磋商响应文件应作无效标处理。</w:t>
            </w:r>
          </w:p>
        </w:tc>
      </w:tr>
      <w:tr w14:paraId="6D3EF4A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01B91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3.5</w:t>
            </w:r>
          </w:p>
        </w:tc>
        <w:tc>
          <w:tcPr>
            <w:tcW w:w="1701" w:type="dxa"/>
            <w:tcBorders>
              <w:top w:val="single" w:color="auto" w:sz="4" w:space="0"/>
              <w:left w:val="nil"/>
              <w:bottom w:val="single" w:color="auto" w:sz="4" w:space="0"/>
              <w:right w:val="single" w:color="auto" w:sz="4" w:space="0"/>
            </w:tcBorders>
            <w:noWrap/>
            <w:vAlign w:val="center"/>
          </w:tcPr>
          <w:p w14:paraId="50BE822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其他</w:t>
            </w:r>
          </w:p>
        </w:tc>
        <w:tc>
          <w:tcPr>
            <w:tcW w:w="6782" w:type="dxa"/>
            <w:tcBorders>
              <w:top w:val="single" w:color="auto" w:sz="4" w:space="0"/>
              <w:left w:val="nil"/>
              <w:bottom w:val="single" w:color="auto" w:sz="4" w:space="0"/>
              <w:right w:val="single" w:color="auto" w:sz="4" w:space="0"/>
            </w:tcBorders>
            <w:noWrap/>
            <w:vAlign w:val="center"/>
          </w:tcPr>
          <w:p w14:paraId="299D54FE">
            <w:pPr>
              <w:widowControl/>
              <w:spacing w:line="460" w:lineRule="exact"/>
              <w:jc w:val="left"/>
              <w:rPr>
                <w:rFonts w:hint="eastAsia" w:ascii="宋体" w:hAnsi="宋体" w:eastAsia="宋体" w:cs="Times New Roman"/>
                <w:sz w:val="24"/>
                <w:szCs w:val="24"/>
              </w:rPr>
            </w:pPr>
            <w:r>
              <w:rPr>
                <w:rFonts w:hint="eastAsia" w:ascii="宋体" w:hAnsi="宋体" w:eastAsia="宋体" w:cs="Times New Roman"/>
                <w:sz w:val="24"/>
                <w:szCs w:val="24"/>
              </w:rPr>
              <w:t>1.我单位（采购人）严格按三财购【2021】9号文要求的时限发布中标结果公告，发出中标通知书，签订采购合同，上传采购合同。</w:t>
            </w:r>
          </w:p>
          <w:p w14:paraId="4BDBD857">
            <w:pPr>
              <w:widowControl/>
              <w:spacing w:line="460" w:lineRule="exact"/>
              <w:jc w:val="left"/>
              <w:rPr>
                <w:rFonts w:hint="eastAsia" w:ascii="宋体" w:hAnsi="宋体" w:eastAsia="宋体" w:cs="Times New Roman"/>
                <w:sz w:val="24"/>
                <w:szCs w:val="24"/>
              </w:rPr>
            </w:pPr>
            <w:r>
              <w:rPr>
                <w:rFonts w:hint="eastAsia" w:ascii="宋体" w:hAnsi="宋体" w:eastAsia="宋体" w:cs="Times New Roman"/>
                <w:sz w:val="24"/>
                <w:szCs w:val="24"/>
              </w:rPr>
              <w:t>2.本项目不收取履约保证金。</w:t>
            </w:r>
          </w:p>
          <w:p w14:paraId="1B931556">
            <w:pPr>
              <w:widowControl/>
              <w:spacing w:line="460" w:lineRule="exact"/>
              <w:jc w:val="left"/>
              <w:rPr>
                <w:rFonts w:hint="default" w:eastAsia="宋体"/>
                <w:lang w:val="en-US" w:eastAsia="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招标服务费：</w:t>
            </w:r>
            <w:r>
              <w:rPr>
                <w:rFonts w:hint="eastAsia" w:ascii="宋体" w:hAnsi="宋体" w:eastAsia="宋体" w:cs="Times New Roman"/>
                <w:sz w:val="24"/>
                <w:szCs w:val="24"/>
                <w:lang w:val="en-US" w:eastAsia="zh-CN"/>
              </w:rPr>
              <w:t>收费标准按豫招协【2023】002号文件规定收取，服务费按差额定率累进法计算。中标服务费由中标供应商在领取中标通知书前以支票、汇票、现金等付款方式一次性缴清。</w:t>
            </w:r>
          </w:p>
        </w:tc>
      </w:tr>
      <w:tr w14:paraId="1D75DFDD">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4A994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7692C897">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电子化交易</w:t>
            </w:r>
          </w:p>
          <w:p w14:paraId="486D97F3">
            <w:pPr>
              <w:spacing w:line="460" w:lineRule="exact"/>
              <w:jc w:val="center"/>
              <w:rPr>
                <w:rFonts w:ascii="宋体" w:hAnsi="宋体" w:eastAsia="宋体" w:cs="Times New Roman"/>
                <w:sz w:val="24"/>
                <w:szCs w:val="24"/>
              </w:rPr>
            </w:pPr>
            <w:r>
              <w:rPr>
                <w:rFonts w:hint="eastAsia" w:ascii="宋体" w:hAnsi="宋体" w:eastAsia="宋体" w:cs="Times New Roman"/>
                <w:kern w:val="0"/>
                <w:sz w:val="24"/>
                <w:szCs w:val="24"/>
              </w:rPr>
              <w:t>注意事项</w:t>
            </w:r>
          </w:p>
        </w:tc>
        <w:tc>
          <w:tcPr>
            <w:tcW w:w="6782" w:type="dxa"/>
            <w:tcBorders>
              <w:top w:val="single" w:color="auto" w:sz="4" w:space="0"/>
              <w:left w:val="nil"/>
              <w:bottom w:val="single" w:color="auto" w:sz="4" w:space="0"/>
              <w:right w:val="single" w:color="auto" w:sz="4" w:space="0"/>
            </w:tcBorders>
            <w:noWrap/>
            <w:vAlign w:val="center"/>
          </w:tcPr>
          <w:p w14:paraId="34883F39">
            <w:pPr>
              <w:spacing w:line="360" w:lineRule="auto"/>
              <w:rPr>
                <w:rFonts w:ascii="宋体" w:hAnsi="宋体" w:eastAsia="宋体" w:cs="宋体"/>
                <w:sz w:val="24"/>
                <w:szCs w:val="21"/>
              </w:rPr>
            </w:pPr>
            <w:r>
              <w:rPr>
                <w:rFonts w:hint="eastAsia" w:ascii="宋体" w:hAnsi="宋体" w:eastAsia="宋体" w:cs="宋体"/>
                <w:sz w:val="24"/>
                <w:szCs w:val="21"/>
              </w:rPr>
              <w:t>具体要求：本项目为电子化、无纸化交易项目，磋商响应文件是供应商通过中心磋商响应文件制作系统制作，并经过签章和加密后生成的电子版磋商响应文件。</w:t>
            </w:r>
          </w:p>
          <w:p w14:paraId="78C8DB5A">
            <w:pPr>
              <w:spacing w:line="360" w:lineRule="auto"/>
              <w:rPr>
                <w:rFonts w:ascii="宋体" w:hAnsi="宋体" w:eastAsia="宋体" w:cs="宋体"/>
                <w:sz w:val="24"/>
                <w:szCs w:val="21"/>
              </w:rPr>
            </w:pPr>
            <w:r>
              <w:rPr>
                <w:rFonts w:hint="eastAsia" w:ascii="宋体" w:hAnsi="宋体" w:eastAsia="宋体" w:cs="宋体"/>
                <w:sz w:val="24"/>
                <w:szCs w:val="21"/>
              </w:rPr>
              <w:t>电子化磋商响应文件具体制作文件请点击</w:t>
            </w:r>
            <w:r>
              <w:fldChar w:fldCharType="begin"/>
            </w:r>
            <w:r>
              <w:instrText xml:space="preserve"> HYPERLINK "http://t.cn/A6ZvtVob" </w:instrText>
            </w:r>
            <w:r>
              <w:fldChar w:fldCharType="separate"/>
            </w:r>
            <w:r>
              <w:rPr>
                <w:rFonts w:ascii="宋体" w:hAnsi="宋体" w:eastAsia="宋体" w:cs="宋体"/>
                <w:color w:val="0563C1"/>
                <w:sz w:val="24"/>
                <w:szCs w:val="21"/>
                <w:u w:val="single"/>
              </w:rPr>
              <w:t>https://download.bqpoint.com/download/downloaddetail.html?SourceFrom=Ztb&amp;ZtbSoftXiaQuCode=1506&amp;ZtbSoftType=tballinclusive</w:t>
            </w:r>
            <w:r>
              <w:rPr>
                <w:rFonts w:ascii="宋体" w:hAnsi="宋体" w:eastAsia="宋体" w:cs="宋体"/>
                <w:color w:val="0563C1"/>
                <w:sz w:val="24"/>
                <w:szCs w:val="21"/>
                <w:u w:val="single"/>
              </w:rPr>
              <w:fldChar w:fldCharType="end"/>
            </w:r>
            <w:r>
              <w:rPr>
                <w:rFonts w:hint="eastAsia" w:ascii="宋体" w:hAnsi="宋体" w:eastAsia="宋体" w:cs="宋体"/>
                <w:sz w:val="24"/>
                <w:szCs w:val="21"/>
              </w:rPr>
              <w:t>进行下载。</w:t>
            </w:r>
          </w:p>
          <w:p w14:paraId="7A28BF59">
            <w:pPr>
              <w:spacing w:line="360" w:lineRule="auto"/>
              <w:rPr>
                <w:rFonts w:ascii="宋体" w:hAnsi="宋体" w:eastAsia="宋体" w:cs="宋体"/>
                <w:sz w:val="24"/>
                <w:szCs w:val="21"/>
              </w:rPr>
            </w:pPr>
            <w:r>
              <w:rPr>
                <w:rFonts w:hint="eastAsia" w:ascii="宋体" w:hAnsi="宋体" w:eastAsia="宋体" w:cs="宋体"/>
                <w:b/>
                <w:sz w:val="24"/>
                <w:szCs w:val="21"/>
              </w:rPr>
              <w:t>温馨提示：本项目为电子化、无纸化交易项目，为保证您能投标成功，请需仔细阅读以下条款。</w:t>
            </w:r>
          </w:p>
          <w:p w14:paraId="208B8068">
            <w:pPr>
              <w:spacing w:line="360" w:lineRule="auto"/>
              <w:rPr>
                <w:rFonts w:ascii="宋体" w:hAnsi="宋体" w:eastAsia="宋体" w:cs="宋体"/>
                <w:b/>
                <w:sz w:val="24"/>
                <w:szCs w:val="21"/>
              </w:rPr>
            </w:pPr>
            <w:r>
              <w:rPr>
                <w:rFonts w:hint="eastAsia" w:ascii="宋体" w:hAnsi="宋体" w:eastAsia="宋体" w:cs="宋体"/>
                <w:b/>
                <w:sz w:val="24"/>
                <w:szCs w:val="21"/>
              </w:rPr>
              <w:t>一、电子化投标</w:t>
            </w:r>
          </w:p>
          <w:p w14:paraId="3D56FC32">
            <w:pPr>
              <w:spacing w:line="360" w:lineRule="auto"/>
              <w:rPr>
                <w:rFonts w:ascii="宋体" w:hAnsi="宋体" w:eastAsia="宋体" w:cs="宋体"/>
                <w:b/>
                <w:sz w:val="24"/>
                <w:szCs w:val="21"/>
              </w:rPr>
            </w:pPr>
            <w:r>
              <w:rPr>
                <w:rFonts w:hint="eastAsia" w:ascii="宋体" w:hAnsi="宋体" w:eastAsia="宋体" w:cs="宋体"/>
                <w:sz w:val="24"/>
                <w:szCs w:val="21"/>
              </w:rPr>
              <w:t>（一）网上磋商保证金的缴纳</w:t>
            </w:r>
          </w:p>
          <w:p w14:paraId="71220DE0">
            <w:pPr>
              <w:spacing w:line="360" w:lineRule="auto"/>
              <w:ind w:firstLine="120" w:firstLineChars="50"/>
              <w:rPr>
                <w:rFonts w:ascii="宋体" w:hAnsi="宋体" w:eastAsia="宋体" w:cs="宋体"/>
                <w:sz w:val="24"/>
                <w:szCs w:val="21"/>
              </w:rPr>
            </w:pPr>
            <w:r>
              <w:rPr>
                <w:rFonts w:hint="eastAsia" w:ascii="宋体" w:hAnsi="宋体" w:eastAsia="宋体" w:cs="Times New Roman"/>
                <w:sz w:val="24"/>
                <w:szCs w:val="24"/>
              </w:rPr>
              <w:t>根据《河南省财政厅关于优化政府采购营商环境有关问题的通知》（豫财购【2019】4号）第6条的规定，磋商保证金不再收取</w:t>
            </w:r>
            <w:r>
              <w:rPr>
                <w:rFonts w:hint="eastAsia" w:ascii="宋体" w:hAnsi="宋体" w:eastAsia="宋体" w:cs="宋体"/>
                <w:sz w:val="24"/>
                <w:szCs w:val="21"/>
              </w:rPr>
              <w:t>。</w:t>
            </w:r>
          </w:p>
          <w:p w14:paraId="7FEB4189">
            <w:pPr>
              <w:spacing w:line="360" w:lineRule="auto"/>
              <w:rPr>
                <w:rFonts w:ascii="宋体" w:hAnsi="宋体" w:eastAsia="宋体" w:cs="宋体"/>
                <w:sz w:val="24"/>
                <w:szCs w:val="21"/>
              </w:rPr>
            </w:pPr>
            <w:r>
              <w:rPr>
                <w:rFonts w:hint="eastAsia" w:ascii="宋体" w:hAnsi="宋体" w:eastAsia="宋体" w:cs="宋体"/>
                <w:sz w:val="24"/>
                <w:szCs w:val="21"/>
              </w:rPr>
              <w:t>（二）电子化磋商响应文件的签章</w:t>
            </w:r>
          </w:p>
          <w:p w14:paraId="2AB12FF5">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1、供应商在生成电子化磋商响应文件后，应对电子化磋商响应文件进行签章，未进行签章的视为无效投标。</w:t>
            </w:r>
          </w:p>
          <w:p w14:paraId="786D6B30">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b/>
                <w:sz w:val="24"/>
                <w:szCs w:val="21"/>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rPr>
              <w:t>。</w:t>
            </w:r>
          </w:p>
          <w:p w14:paraId="112CA987">
            <w:pPr>
              <w:spacing w:line="360" w:lineRule="auto"/>
              <w:rPr>
                <w:rFonts w:ascii="宋体" w:hAnsi="宋体" w:eastAsia="宋体" w:cs="宋体"/>
                <w:b/>
                <w:sz w:val="24"/>
                <w:szCs w:val="21"/>
              </w:rPr>
            </w:pPr>
            <w:r>
              <w:rPr>
                <w:rFonts w:hint="eastAsia" w:ascii="宋体" w:hAnsi="宋体" w:eastAsia="宋体" w:cs="宋体"/>
                <w:sz w:val="24"/>
                <w:szCs w:val="21"/>
              </w:rPr>
              <w:t>（三）电子化磋商响应文件的格式及上传投标</w:t>
            </w:r>
          </w:p>
          <w:p w14:paraId="678BE673">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552F08BC">
            <w:pPr>
              <w:spacing w:line="360" w:lineRule="auto"/>
              <w:ind w:firstLine="240" w:firstLineChars="100"/>
              <w:rPr>
                <w:rFonts w:ascii="宋体" w:hAnsi="宋体" w:eastAsia="宋体" w:cs="宋体"/>
                <w:sz w:val="24"/>
                <w:szCs w:val="21"/>
              </w:rPr>
            </w:pPr>
            <w:r>
              <w:rPr>
                <w:rFonts w:hint="eastAsia" w:ascii="宋体" w:hAnsi="宋体" w:eastAsia="宋体" w:cs="宋体"/>
                <w:sz w:val="24"/>
                <w:szCs w:val="21"/>
              </w:rPr>
              <w:t>2、电子化磋商响应文件应在投标截止时间前成功上传至三门峡市公共资源电子化交易系统。至投标截止时间止，仍未上传成功的电子化磋商响应文件将不予接收。</w:t>
            </w:r>
          </w:p>
          <w:p w14:paraId="7E84A1C8">
            <w:pPr>
              <w:spacing w:line="360" w:lineRule="auto"/>
              <w:ind w:firstLine="241" w:firstLineChars="100"/>
              <w:rPr>
                <w:rFonts w:ascii="宋体" w:hAnsi="宋体" w:eastAsia="宋体" w:cs="宋体"/>
                <w:sz w:val="24"/>
                <w:szCs w:val="21"/>
              </w:rPr>
            </w:pPr>
            <w:r>
              <w:rPr>
                <w:rFonts w:hint="eastAsia" w:ascii="宋体" w:hAnsi="宋体" w:eastAsia="宋体" w:cs="宋体"/>
                <w:b/>
                <w:sz w:val="24"/>
                <w:szCs w:val="21"/>
              </w:rPr>
              <w:t>注：</w:t>
            </w:r>
            <w:r>
              <w:rPr>
                <w:rFonts w:hint="eastAsia" w:ascii="宋体" w:hAnsi="宋体" w:eastAsia="宋体" w:cs="宋体"/>
                <w:sz w:val="24"/>
                <w:szCs w:val="21"/>
              </w:rPr>
              <w:t>如按照电子化投标操作教材制作完成的电子化磋商响应文件无法上传的，供应商应在</w:t>
            </w:r>
            <w:r>
              <w:rPr>
                <w:rFonts w:hint="eastAsia" w:ascii="宋体" w:hAnsi="宋体" w:eastAsia="宋体" w:cs="宋体"/>
                <w:b/>
                <w:sz w:val="24"/>
                <w:szCs w:val="21"/>
              </w:rPr>
              <w:t>投标截止时间前尽早的</w:t>
            </w:r>
            <w:r>
              <w:rPr>
                <w:rFonts w:hint="eastAsia" w:ascii="宋体" w:hAnsi="宋体" w:eastAsia="宋体" w:cs="宋体"/>
                <w:sz w:val="24"/>
                <w:szCs w:val="21"/>
              </w:rPr>
              <w:t>联系中心技术人员，以便有充分的时间进行处理。</w:t>
            </w:r>
            <w:r>
              <w:rPr>
                <w:rFonts w:hint="eastAsia" w:ascii="宋体" w:hAnsi="宋体" w:eastAsia="宋体" w:cs="宋体"/>
                <w:b/>
                <w:sz w:val="24"/>
                <w:szCs w:val="21"/>
              </w:rPr>
              <w:t>供应商应充分考虑到处理技术问题和上传数据等工作所需的时间问题，磋商响应文件未在投标截止时间前成功上传的，其磋商响应文件不予接收。</w:t>
            </w:r>
          </w:p>
          <w:p w14:paraId="2C99C596">
            <w:pPr>
              <w:spacing w:line="360" w:lineRule="auto"/>
              <w:rPr>
                <w:rFonts w:ascii="宋体" w:hAnsi="宋体" w:eastAsia="宋体" w:cs="宋体"/>
                <w:sz w:val="24"/>
                <w:szCs w:val="21"/>
              </w:rPr>
            </w:pPr>
            <w:r>
              <w:rPr>
                <w:rFonts w:hint="eastAsia" w:ascii="宋体" w:hAnsi="宋体" w:eastAsia="宋体" w:cs="宋体"/>
                <w:sz w:val="24"/>
                <w:szCs w:val="21"/>
              </w:rPr>
              <w:t>（四）电子化项目开标、解密、唱标、评标</w:t>
            </w:r>
          </w:p>
          <w:p w14:paraId="0AA8AF9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1、本项目采用</w:t>
            </w:r>
            <w:r>
              <w:rPr>
                <w:rFonts w:hint="eastAsia" w:ascii="宋体" w:hAnsi="宋体" w:eastAsia="宋体" w:cs="宋体"/>
                <w:b/>
                <w:sz w:val="24"/>
                <w:szCs w:val="21"/>
              </w:rPr>
              <w:t>电子化、无纸化</w:t>
            </w:r>
            <w:r>
              <w:rPr>
                <w:rFonts w:hint="eastAsia" w:ascii="宋体" w:hAnsi="宋体" w:eastAsia="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84AB5B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E603A6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3、电子化磋商响应文件解密异常的处理</w:t>
            </w:r>
          </w:p>
          <w:p w14:paraId="2C7B5C0E">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如出现供应商的电子磋商响应文件无法解密等异常情况，供应商应及时致电中介服务机构说明。磋商响应文件异常，按以下步骤进行处理：</w:t>
            </w:r>
          </w:p>
          <w:p w14:paraId="1412649D">
            <w:pPr>
              <w:spacing w:line="360" w:lineRule="auto"/>
              <w:rPr>
                <w:rFonts w:ascii="宋体" w:hAnsi="宋体" w:eastAsia="宋体" w:cs="宋体"/>
                <w:sz w:val="24"/>
                <w:szCs w:val="21"/>
              </w:rPr>
            </w:pPr>
            <w:r>
              <w:rPr>
                <w:rFonts w:hint="eastAsia" w:ascii="宋体" w:hAnsi="宋体" w:eastAsia="宋体" w:cs="宋体"/>
                <w:sz w:val="24"/>
                <w:szCs w:val="21"/>
              </w:rPr>
              <w:t>（1）首先由技术人员进行问题排查。</w:t>
            </w:r>
          </w:p>
          <w:p w14:paraId="39A78C6D">
            <w:pPr>
              <w:spacing w:line="360" w:lineRule="auto"/>
              <w:rPr>
                <w:rFonts w:ascii="宋体" w:hAnsi="宋体" w:eastAsia="宋体" w:cs="宋体"/>
                <w:sz w:val="24"/>
                <w:szCs w:val="21"/>
              </w:rPr>
            </w:pPr>
            <w:r>
              <w:rPr>
                <w:rFonts w:hint="eastAsia" w:ascii="宋体" w:hAnsi="宋体" w:eastAsia="宋体" w:cs="宋体"/>
                <w:sz w:val="24"/>
                <w:szCs w:val="21"/>
              </w:rPr>
              <w:t>（2）经技术人员排查后，是供应商文件自身问题导致磋商响应文件无法解密的，该磋商响应文件将不予接收、解密和唱标。开标会议继续进行。</w:t>
            </w:r>
          </w:p>
          <w:p w14:paraId="605D7006">
            <w:pPr>
              <w:spacing w:line="360" w:lineRule="auto"/>
              <w:rPr>
                <w:rFonts w:ascii="宋体" w:hAnsi="宋体" w:eastAsia="宋体" w:cs="宋体"/>
                <w:sz w:val="24"/>
                <w:szCs w:val="21"/>
              </w:rPr>
            </w:pPr>
            <w:r>
              <w:rPr>
                <w:rFonts w:hint="eastAsia" w:ascii="宋体" w:hAnsi="宋体" w:eastAsia="宋体" w:cs="宋体"/>
                <w:sz w:val="24"/>
                <w:szCs w:val="21"/>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7483C77">
            <w:pPr>
              <w:spacing w:line="360" w:lineRule="auto"/>
              <w:rPr>
                <w:rFonts w:ascii="宋体" w:hAnsi="宋体" w:eastAsia="宋体" w:cs="宋体"/>
                <w:sz w:val="24"/>
                <w:szCs w:val="21"/>
              </w:rPr>
            </w:pPr>
            <w:r>
              <w:rPr>
                <w:rFonts w:hint="eastAsia" w:ascii="宋体" w:hAnsi="宋体" w:eastAsia="宋体" w:cs="宋体"/>
                <w:sz w:val="24"/>
                <w:szCs w:val="21"/>
              </w:rPr>
              <w:t>4、待所有供应商磋商响应文件解密完成后，由中介服务机构操作，对所有已解密磋商响应文件进行唱标。</w:t>
            </w:r>
          </w:p>
          <w:p w14:paraId="7E670F3C">
            <w:pPr>
              <w:spacing w:line="360" w:lineRule="auto"/>
              <w:rPr>
                <w:rFonts w:ascii="宋体" w:hAnsi="宋体" w:eastAsia="宋体" w:cs="宋体"/>
                <w:sz w:val="24"/>
                <w:szCs w:val="21"/>
              </w:rPr>
            </w:pPr>
            <w:r>
              <w:rPr>
                <w:rFonts w:hint="eastAsia" w:ascii="宋体" w:hAnsi="宋体" w:eastAsia="宋体" w:cs="宋体"/>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22E90E9E">
            <w:pPr>
              <w:spacing w:line="360" w:lineRule="auto"/>
              <w:rPr>
                <w:rFonts w:ascii="宋体" w:hAnsi="宋体" w:eastAsia="宋体" w:cs="宋体"/>
                <w:sz w:val="24"/>
                <w:szCs w:val="21"/>
              </w:rPr>
            </w:pPr>
            <w:r>
              <w:rPr>
                <w:rFonts w:ascii="宋体" w:hAnsi="宋体" w:eastAsia="宋体" w:cs="宋体"/>
                <w:sz w:val="24"/>
                <w:szCs w:val="21"/>
              </w:rPr>
              <w:t>5</w:t>
            </w:r>
            <w:r>
              <w:rPr>
                <w:rFonts w:hint="eastAsia" w:ascii="宋体" w:hAnsi="宋体" w:eastAsia="宋体" w:cs="宋体"/>
                <w:sz w:val="24"/>
                <w:szCs w:val="21"/>
              </w:rPr>
              <w:t>、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262C312A">
            <w:pPr>
              <w:spacing w:line="360" w:lineRule="auto"/>
              <w:rPr>
                <w:rFonts w:ascii="宋体" w:hAnsi="宋体" w:eastAsia="宋体" w:cs="宋体"/>
                <w:sz w:val="24"/>
                <w:szCs w:val="21"/>
              </w:rPr>
            </w:pPr>
            <w:r>
              <w:rPr>
                <w:rFonts w:ascii="宋体" w:hAnsi="宋体" w:eastAsia="宋体" w:cs="宋体"/>
                <w:sz w:val="24"/>
                <w:szCs w:val="21"/>
              </w:rPr>
              <w:t>6</w:t>
            </w:r>
            <w:r>
              <w:rPr>
                <w:rFonts w:hint="eastAsia" w:ascii="宋体" w:hAnsi="宋体" w:eastAsia="宋体" w:cs="宋体"/>
                <w:sz w:val="24"/>
                <w:szCs w:val="21"/>
              </w:rPr>
              <w:t>、如评标委员会对需要回复的供应商连续三次致电未接通的，视为供应商放弃回复，评标委员会将自行对需要回复的内容进行认定。</w:t>
            </w:r>
          </w:p>
          <w:p w14:paraId="62FF1212">
            <w:pPr>
              <w:spacing w:line="360" w:lineRule="auto"/>
              <w:rPr>
                <w:rFonts w:ascii="宋体" w:hAnsi="宋体" w:eastAsia="宋体" w:cs="宋体"/>
                <w:b/>
                <w:bCs/>
                <w:sz w:val="24"/>
                <w:szCs w:val="21"/>
              </w:rPr>
            </w:pPr>
            <w:r>
              <w:rPr>
                <w:rFonts w:hint="eastAsia" w:ascii="宋体" w:hAnsi="宋体" w:eastAsia="宋体" w:cs="宋体"/>
                <w:b/>
                <w:bCs/>
                <w:sz w:val="24"/>
                <w:szCs w:val="21"/>
              </w:rPr>
              <w:t>二、相关证书原件的提交</w:t>
            </w:r>
          </w:p>
          <w:p w14:paraId="1EBD263F">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本项目实行资格后审，</w:t>
            </w:r>
            <w:r>
              <w:rPr>
                <w:rFonts w:hint="eastAsia" w:ascii="宋体" w:hAnsi="宋体" w:eastAsia="宋体" w:cs="宋体"/>
                <w:b/>
                <w:sz w:val="24"/>
                <w:szCs w:val="21"/>
              </w:rPr>
              <w:t>竞争性磋商文件中要求供应商提交相关资料原件的，供应商需将原件扫描件制作到电子磋商响应文件中，涉及到资格审查、企业荣誉、人员业绩、企业业绩等计分部分时，以投标单位自行上传到响应文件中的相应内容为准。</w:t>
            </w:r>
          </w:p>
          <w:p w14:paraId="308579CB">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1、资格评（预）审部分：资格评（预）审以响应文件为准，其上传资料真实性由供应商自行承担。</w:t>
            </w:r>
          </w:p>
          <w:p w14:paraId="434B2AB5">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2、评标打分部分：评标打分部分仍按照100分制原则进行，涉及到资格审查、企业荣誉、人员业绩、企业业绩等计分部分时，以投标单位自行上传到响应文件中的相应内容为准。</w:t>
            </w:r>
          </w:p>
          <w:p w14:paraId="068A5398">
            <w:pPr>
              <w:spacing w:line="360" w:lineRule="auto"/>
              <w:rPr>
                <w:rFonts w:ascii="宋体" w:hAnsi="宋体" w:eastAsia="宋体" w:cs="宋体"/>
                <w:kern w:val="1"/>
                <w:sz w:val="24"/>
                <w:szCs w:val="21"/>
              </w:rPr>
            </w:pPr>
            <w:r>
              <w:rPr>
                <w:rFonts w:hint="eastAsia" w:ascii="宋体" w:hAnsi="宋体" w:eastAsia="宋体" w:cs="宋体"/>
                <w:sz w:val="24"/>
                <w:szCs w:val="21"/>
              </w:rPr>
              <w:t>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w:t>
            </w:r>
          </w:p>
          <w:p w14:paraId="429AA5AD">
            <w:pPr>
              <w:widowControl/>
              <w:spacing w:line="460" w:lineRule="exact"/>
              <w:ind w:firstLine="241" w:firstLineChars="100"/>
              <w:rPr>
                <w:rFonts w:ascii="宋体" w:hAnsi="宋体" w:eastAsia="宋体" w:cs="Times New Roman"/>
                <w:kern w:val="0"/>
                <w:sz w:val="24"/>
                <w:szCs w:val="24"/>
                <w:shd w:val="clear" w:color="auto" w:fill="FFFFFF"/>
              </w:rPr>
            </w:pPr>
            <w:r>
              <w:rPr>
                <w:rFonts w:hint="eastAsia" w:ascii="宋体" w:hAnsi="宋体" w:eastAsia="宋体" w:cs="宋体"/>
                <w:b/>
                <w:sz w:val="24"/>
                <w:szCs w:val="21"/>
              </w:rPr>
              <w:t>提示：本项目为电子化、无纸化交易项目，为保证您能投标成功，请需仔细阅读以上条款。</w:t>
            </w:r>
          </w:p>
        </w:tc>
      </w:tr>
    </w:tbl>
    <w:p w14:paraId="01358EAA">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7FFC352A">
      <w:pPr>
        <w:widowControl/>
        <w:spacing w:line="360" w:lineRule="auto"/>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磋商响应供应商须知</w:t>
      </w:r>
    </w:p>
    <w:p w14:paraId="0A875161">
      <w:pPr>
        <w:spacing w:line="360" w:lineRule="auto"/>
        <w:ind w:firstLine="318" w:firstLineChars="132"/>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、项目概况</w:t>
      </w:r>
    </w:p>
    <w:p w14:paraId="4F74A66A">
      <w:pPr>
        <w:spacing w:line="360" w:lineRule="auto"/>
        <w:ind w:firstLine="480" w:firstLineChars="200"/>
        <w:rPr>
          <w:rFonts w:ascii="宋体" w:hAnsi="宋体" w:eastAsia="宋体" w:cs="Times New Roman"/>
          <w:sz w:val="24"/>
          <w:szCs w:val="21"/>
        </w:rPr>
      </w:pPr>
      <w:r>
        <w:rPr>
          <w:rFonts w:hint="eastAsia" w:ascii="宋体" w:hAnsi="宋体" w:eastAsia="宋体" w:cs="Times New Roman"/>
          <w:sz w:val="24"/>
          <w:szCs w:val="24"/>
        </w:rPr>
        <w:t>1.1采购范围：</w:t>
      </w:r>
      <w:r>
        <w:rPr>
          <w:rFonts w:hint="eastAsia" w:ascii="宋体" w:hAnsi="宋体" w:eastAsia="宋体" w:cs="Times New Roman"/>
          <w:sz w:val="24"/>
          <w:szCs w:val="24"/>
          <w:lang w:eastAsia="zh-CN"/>
        </w:rPr>
        <w:t>卧床耙松机、卧床垫料抛洒车、电动修蹄机、青贮收割机、场区消毒车等设备采购及安装、培训、验收、质保期服务、与货物有关的运输和保险及其他伴随服务</w:t>
      </w:r>
      <w:r>
        <w:rPr>
          <w:rFonts w:hint="eastAsia" w:ascii="宋体" w:hAnsi="宋体" w:eastAsia="宋体" w:cs="Times New Roman"/>
          <w:sz w:val="24"/>
          <w:szCs w:val="24"/>
        </w:rPr>
        <w:t>，具体采购内容及参数要求详见竞争性磋商文件</w:t>
      </w:r>
      <w:r>
        <w:rPr>
          <w:rFonts w:hint="eastAsia" w:ascii="宋体" w:hAnsi="宋体" w:eastAsia="宋体" w:cs="Times New Roman"/>
          <w:sz w:val="24"/>
          <w:szCs w:val="21"/>
        </w:rPr>
        <w:t>。</w:t>
      </w:r>
    </w:p>
    <w:p w14:paraId="73AB3FCC">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1.2资金来源：财政资金</w:t>
      </w:r>
      <w:r>
        <w:rPr>
          <w:rFonts w:hint="eastAsia" w:ascii="宋体" w:hAnsi="宋体" w:eastAsia="宋体" w:cs="Times New Roman"/>
          <w:sz w:val="24"/>
          <w:szCs w:val="24"/>
          <w:lang w:val="en-US" w:eastAsia="zh-CN"/>
        </w:rPr>
        <w:t>+自筹资金</w:t>
      </w:r>
      <w:r>
        <w:rPr>
          <w:rFonts w:hint="eastAsia" w:ascii="宋体" w:hAnsi="宋体" w:eastAsia="宋体" w:cs="Times New Roman"/>
          <w:sz w:val="24"/>
          <w:szCs w:val="24"/>
        </w:rPr>
        <w:t>，已落实。</w:t>
      </w:r>
    </w:p>
    <w:p w14:paraId="437CF211">
      <w:pPr>
        <w:spacing w:line="460" w:lineRule="exact"/>
        <w:ind w:firstLine="420" w:firstLineChars="175"/>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质量要求：符合国家及行业相关规范和标准。</w:t>
      </w:r>
    </w:p>
    <w:p w14:paraId="36D40F7A">
      <w:pPr>
        <w:spacing w:line="460" w:lineRule="exact"/>
        <w:ind w:firstLine="420" w:firstLineChars="175"/>
        <w:rPr>
          <w:rFonts w:ascii="宋体" w:hAnsi="宋体" w:eastAsia="宋体" w:cs="Times New Roman"/>
          <w:sz w:val="24"/>
          <w:szCs w:val="21"/>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交 货 期：</w:t>
      </w:r>
      <w:r>
        <w:rPr>
          <w:rFonts w:hint="eastAsia" w:ascii="宋体" w:hAnsi="宋体" w:eastAsia="宋体" w:cs="Times New Roman"/>
          <w:sz w:val="24"/>
          <w:szCs w:val="28"/>
          <w:lang w:eastAsia="zh-CN"/>
        </w:rPr>
        <w:t>合同签订之日起6个月内</w:t>
      </w:r>
      <w:r>
        <w:rPr>
          <w:rFonts w:hint="eastAsia" w:ascii="宋体" w:hAnsi="宋体" w:eastAsia="宋体" w:cs="Times New Roman"/>
          <w:sz w:val="24"/>
          <w:szCs w:val="21"/>
        </w:rPr>
        <w:t>。</w:t>
      </w:r>
    </w:p>
    <w:p w14:paraId="6817C4F2">
      <w:pPr>
        <w:spacing w:after="120" w:line="360" w:lineRule="auto"/>
        <w:ind w:firstLine="42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交货地点：采购人指定地点。</w:t>
      </w:r>
    </w:p>
    <w:p w14:paraId="7E8C0213">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、合格的磋商响应供应商</w:t>
      </w:r>
    </w:p>
    <w:p w14:paraId="40EB8D56">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713ACAD2">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本项目专门面向中小微企业采购项目,执行促进中小企业（监狱企业、残疾人福利性企业）发展等政府采购政策</w:t>
      </w:r>
      <w:r>
        <w:rPr>
          <w:rFonts w:hint="eastAsia" w:ascii="宋体" w:hAnsi="宋体" w:eastAsia="宋体" w:cs="Times New Roman"/>
          <w:color w:val="000000"/>
          <w:sz w:val="24"/>
          <w:szCs w:val="24"/>
        </w:rPr>
        <w:t>。</w:t>
      </w:r>
    </w:p>
    <w:p w14:paraId="7BE5F3BA">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319A7EC1">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r>
        <w:rPr>
          <w:rFonts w:hint="eastAsia" w:ascii="宋体" w:hAnsi="宋体" w:eastAsia="宋体" w:cs="Times New Roman"/>
          <w:sz w:val="24"/>
          <w:szCs w:val="24"/>
        </w:rPr>
        <w:t>；</w:t>
      </w:r>
    </w:p>
    <w:p w14:paraId="1EC4C2D8">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lang w:eastAsia="zh-CN"/>
        </w:rPr>
        <w:t>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rPr>
        <w:t>；</w:t>
      </w:r>
    </w:p>
    <w:p w14:paraId="634DBB2C">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728852BC">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2.3.4本项目不接受联合体投标；</w:t>
      </w:r>
    </w:p>
    <w:p w14:paraId="3D31EFF3">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lang w:val="en-US" w:eastAsia="zh-CN"/>
        </w:rPr>
        <w:t>2.3.5本次磋商实行资格后审</w:t>
      </w:r>
      <w:r>
        <w:rPr>
          <w:rFonts w:hint="eastAsia" w:ascii="宋体" w:hAnsi="宋体" w:eastAsia="宋体" w:cs="Times New Roman"/>
          <w:sz w:val="24"/>
          <w:szCs w:val="24"/>
        </w:rPr>
        <w:t>；</w:t>
      </w:r>
    </w:p>
    <w:p w14:paraId="71717955">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3</w:t>
      </w:r>
      <w:r>
        <w:rPr>
          <w:rFonts w:hint="eastAsia" w:ascii="宋体" w:hAnsi="宋体" w:eastAsia="宋体" w:cs="Times New Roman"/>
          <w:b/>
          <w:bCs/>
          <w:sz w:val="24"/>
          <w:szCs w:val="24"/>
        </w:rPr>
        <w:t>、费用</w:t>
      </w:r>
    </w:p>
    <w:p w14:paraId="7566F5F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磋商响应供应商应自行承担参加磋商活动有关的全部费用，采购人在任何情况下均无义务和责任承担上述费用。</w:t>
      </w:r>
    </w:p>
    <w:p w14:paraId="204FAEF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、竞争性磋商文件的构成</w:t>
      </w:r>
    </w:p>
    <w:p w14:paraId="49A8968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第一章  竞争性磋商公告</w:t>
      </w:r>
    </w:p>
    <w:p w14:paraId="2F84B2E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第二章  磋商响应供应商须知及前附表</w:t>
      </w:r>
    </w:p>
    <w:p w14:paraId="2E4C5B8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第三章  采购内容及要求</w:t>
      </w:r>
    </w:p>
    <w:p w14:paraId="578B8B48">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第四章  评审办法</w:t>
      </w:r>
    </w:p>
    <w:p w14:paraId="5F7E4412">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第五章  合同主要条款及格式</w:t>
      </w:r>
    </w:p>
    <w:p w14:paraId="3D18339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第六章  电子化响应文件内容及格式</w:t>
      </w:r>
    </w:p>
    <w:p w14:paraId="5685BC3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、竞争性磋商文件的澄清</w:t>
      </w:r>
    </w:p>
    <w:p w14:paraId="0A84A20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4AB89A4">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5.2</w:t>
      </w:r>
      <w:r>
        <w:rPr>
          <w:rFonts w:hint="eastAsia" w:ascii="宋体" w:hAnsi="宋体" w:eastAsia="宋体" w:cs="Times New Roman"/>
          <w:sz w:val="24"/>
          <w:szCs w:val="24"/>
        </w:rPr>
        <w:t>采购人将视情况在认为必要时于采购截止时间前答疑。</w:t>
      </w:r>
    </w:p>
    <w:p w14:paraId="26A373CE">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6</w:t>
      </w:r>
      <w:r>
        <w:rPr>
          <w:rFonts w:hint="eastAsia" w:ascii="宋体" w:hAnsi="宋体" w:eastAsia="宋体" w:cs="Times New Roman"/>
          <w:b/>
          <w:bCs/>
          <w:sz w:val="24"/>
          <w:szCs w:val="24"/>
        </w:rPr>
        <w:t>、竞争性磋商文件的修改</w:t>
      </w:r>
    </w:p>
    <w:p w14:paraId="6888A6E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6.1</w:t>
      </w:r>
      <w:r>
        <w:rPr>
          <w:rFonts w:hint="eastAsia" w:ascii="宋体" w:hAnsi="宋体" w:eastAsia="宋体" w:cs="Times New Roman"/>
          <w:sz w:val="24"/>
          <w:szCs w:val="24"/>
        </w:rPr>
        <w:t>竞争性磋商文件的修改书将构成磋商响应文件的一部分，对所有磋商响应供应商均有约束力。</w:t>
      </w:r>
    </w:p>
    <w:p w14:paraId="1CF6027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7</w:t>
      </w:r>
      <w:r>
        <w:rPr>
          <w:rFonts w:hint="eastAsia" w:ascii="宋体" w:hAnsi="宋体" w:eastAsia="宋体" w:cs="Times New Roman"/>
          <w:b/>
          <w:bCs/>
          <w:sz w:val="24"/>
          <w:szCs w:val="24"/>
        </w:rPr>
        <w:t>、要求</w:t>
      </w:r>
    </w:p>
    <w:p w14:paraId="6C668C7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7.1</w:t>
      </w:r>
      <w:r>
        <w:rPr>
          <w:rFonts w:hint="eastAsia" w:ascii="宋体" w:hAnsi="宋体" w:eastAsia="宋体" w:cs="Times New Roman"/>
          <w:sz w:val="24"/>
          <w:szCs w:val="24"/>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56BCBFA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8</w:t>
      </w:r>
      <w:r>
        <w:rPr>
          <w:rFonts w:hint="eastAsia" w:ascii="宋体" w:hAnsi="宋体" w:eastAsia="宋体" w:cs="Times New Roman"/>
          <w:b/>
          <w:bCs/>
          <w:sz w:val="24"/>
          <w:szCs w:val="24"/>
        </w:rPr>
        <w:t>、电子化磋商响应文件的组成</w:t>
      </w:r>
    </w:p>
    <w:p w14:paraId="005490D8">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w:t>
      </w:r>
      <w:r>
        <w:rPr>
          <w:rFonts w:hint="eastAsia" w:ascii="宋体" w:hAnsi="宋体" w:eastAsia="宋体" w:cs="Times New Roman"/>
          <w:sz w:val="24"/>
          <w:szCs w:val="24"/>
        </w:rPr>
        <w:t>综合标</w:t>
      </w:r>
    </w:p>
    <w:p w14:paraId="67D45026">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8.1.1</w:t>
      </w:r>
      <w:r>
        <w:rPr>
          <w:rFonts w:hint="eastAsia" w:ascii="宋体" w:hAnsi="宋体" w:eastAsia="宋体" w:cs="Times New Roman"/>
          <w:sz w:val="24"/>
          <w:szCs w:val="24"/>
        </w:rPr>
        <w:t>法定代表人身份证明书</w:t>
      </w:r>
    </w:p>
    <w:p w14:paraId="3C43FCF4">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8.1.2</w:t>
      </w:r>
      <w:r>
        <w:rPr>
          <w:rFonts w:hint="eastAsia" w:ascii="宋体" w:hAnsi="宋体" w:eastAsia="宋体" w:cs="Times New Roman"/>
          <w:sz w:val="24"/>
          <w:szCs w:val="24"/>
        </w:rPr>
        <w:t>磋商响应函</w:t>
      </w:r>
    </w:p>
    <w:p w14:paraId="7EC836F4">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8.1.3</w:t>
      </w:r>
      <w:r>
        <w:rPr>
          <w:rFonts w:hint="eastAsia" w:ascii="宋体" w:hAnsi="宋体" w:eastAsia="宋体" w:cs="Times New Roman"/>
          <w:sz w:val="24"/>
          <w:szCs w:val="24"/>
        </w:rPr>
        <w:t>首次报价一览表</w:t>
      </w:r>
    </w:p>
    <w:p w14:paraId="30C14CD0">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8.1.4</w:t>
      </w:r>
      <w:r>
        <w:rPr>
          <w:rFonts w:hint="eastAsia" w:ascii="宋体" w:hAnsi="宋体" w:eastAsia="宋体" w:cs="Times New Roman"/>
          <w:sz w:val="24"/>
          <w:szCs w:val="24"/>
        </w:rPr>
        <w:t>资格审查资料</w:t>
      </w:r>
    </w:p>
    <w:p w14:paraId="41BE2F54">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8.1.5</w:t>
      </w:r>
      <w:r>
        <w:rPr>
          <w:rFonts w:hint="eastAsia" w:ascii="宋体" w:hAnsi="宋体" w:eastAsia="宋体" w:cs="Times New Roman"/>
          <w:sz w:val="24"/>
          <w:szCs w:val="24"/>
        </w:rPr>
        <w:t>中小微企业声明函</w:t>
      </w:r>
    </w:p>
    <w:p w14:paraId="1F4F6F7C">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8.1.6</w:t>
      </w:r>
      <w:r>
        <w:rPr>
          <w:rFonts w:hint="eastAsia" w:ascii="宋体" w:hAnsi="宋体" w:eastAsia="宋体" w:cs="Times New Roman"/>
          <w:bCs/>
          <w:kern w:val="0"/>
          <w:sz w:val="24"/>
          <w:szCs w:val="24"/>
        </w:rPr>
        <w:t>残疾人福利性单位声明函</w:t>
      </w:r>
    </w:p>
    <w:p w14:paraId="4386B163">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w:t>
      </w:r>
      <w:r>
        <w:rPr>
          <w:rFonts w:ascii="宋体" w:hAnsi="宋体" w:eastAsia="宋体" w:cs="Times New Roman"/>
          <w:b/>
          <w:bCs/>
          <w:kern w:val="0"/>
          <w:sz w:val="24"/>
          <w:szCs w:val="24"/>
        </w:rPr>
        <w:t>.1.7</w:t>
      </w:r>
      <w:r>
        <w:rPr>
          <w:rFonts w:hint="eastAsia" w:ascii="宋体" w:hAnsi="宋体" w:eastAsia="宋体" w:cs="Times New Roman"/>
          <w:bCs/>
          <w:kern w:val="0"/>
          <w:sz w:val="24"/>
          <w:szCs w:val="24"/>
        </w:rPr>
        <w:t>监狱企业证明文件</w:t>
      </w:r>
    </w:p>
    <w:p w14:paraId="02461ED4">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kern w:val="0"/>
          <w:sz w:val="24"/>
          <w:szCs w:val="24"/>
        </w:rPr>
        <w:t>8.1.8</w:t>
      </w:r>
      <w:r>
        <w:rPr>
          <w:rFonts w:hint="eastAsia" w:ascii="宋体" w:hAnsi="宋体" w:eastAsia="宋体" w:cs="Times New Roman"/>
          <w:kern w:val="0"/>
          <w:sz w:val="24"/>
          <w:szCs w:val="24"/>
        </w:rPr>
        <w:t>人员培训及售后服务承诺</w:t>
      </w:r>
    </w:p>
    <w:p w14:paraId="1A0E7718">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bCs/>
          <w:kern w:val="0"/>
          <w:sz w:val="24"/>
          <w:szCs w:val="24"/>
        </w:rPr>
        <w:t>8.2</w:t>
      </w:r>
      <w:r>
        <w:rPr>
          <w:rFonts w:hint="eastAsia" w:ascii="宋体" w:hAnsi="宋体" w:eastAsia="宋体" w:cs="Times New Roman"/>
          <w:kern w:val="0"/>
          <w:sz w:val="24"/>
          <w:szCs w:val="24"/>
        </w:rPr>
        <w:t>技术标</w:t>
      </w:r>
    </w:p>
    <w:p w14:paraId="07B92D56">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w:t>
      </w:r>
      <w:r>
        <w:rPr>
          <w:rFonts w:hint="eastAsia" w:ascii="宋体" w:hAnsi="宋体" w:eastAsia="宋体" w:cs="Times New Roman"/>
          <w:b/>
          <w:bCs/>
          <w:sz w:val="24"/>
          <w:szCs w:val="24"/>
          <w:lang w:val="en-US" w:eastAsia="zh-CN"/>
        </w:rPr>
        <w:t>1</w:t>
      </w:r>
      <w:r>
        <w:rPr>
          <w:rFonts w:hint="eastAsia" w:ascii="宋体" w:hAnsi="宋体" w:eastAsia="宋体" w:cs="Times New Roman"/>
          <w:sz w:val="24"/>
          <w:szCs w:val="24"/>
        </w:rPr>
        <w:t>磋商报价表：</w:t>
      </w:r>
    </w:p>
    <w:p w14:paraId="30EF4865">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1）磋商报价明细表；</w:t>
      </w:r>
    </w:p>
    <w:p w14:paraId="18ABE175">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2）技术参数偏离表；</w:t>
      </w:r>
    </w:p>
    <w:p w14:paraId="3AF25742">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3）商务响应表；</w:t>
      </w:r>
    </w:p>
    <w:p w14:paraId="1DB45AA6">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w:t>
      </w:r>
      <w:r>
        <w:rPr>
          <w:rFonts w:hint="eastAsia" w:ascii="宋体" w:hAnsi="宋体" w:eastAsia="宋体" w:cs="Times New Roman"/>
          <w:b/>
          <w:bCs/>
          <w:sz w:val="24"/>
          <w:szCs w:val="24"/>
          <w:lang w:val="en-US" w:eastAsia="zh-CN"/>
        </w:rPr>
        <w:t>2</w:t>
      </w:r>
      <w:r>
        <w:rPr>
          <w:rFonts w:hint="eastAsia" w:ascii="宋体" w:hAnsi="宋体" w:eastAsia="宋体" w:cs="Times New Roman"/>
          <w:sz w:val="24"/>
          <w:szCs w:val="24"/>
        </w:rPr>
        <w:t>磋商响应供应商可提交的其他磋商资料</w:t>
      </w:r>
    </w:p>
    <w:p w14:paraId="00F55981">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9</w:t>
      </w:r>
      <w:r>
        <w:rPr>
          <w:rFonts w:hint="eastAsia" w:ascii="宋体" w:hAnsi="宋体" w:eastAsia="宋体" w:cs="Times New Roman"/>
          <w:b/>
          <w:bCs/>
          <w:sz w:val="24"/>
          <w:szCs w:val="24"/>
        </w:rPr>
        <w:t>、电子化磋商响应文件的格式</w:t>
      </w:r>
    </w:p>
    <w:p w14:paraId="44FB07F5">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9.1</w:t>
      </w:r>
      <w:r>
        <w:rPr>
          <w:rFonts w:hint="eastAsia" w:ascii="宋体" w:hAnsi="宋体" w:eastAsia="宋体" w:cs="Times New Roman"/>
          <w:sz w:val="24"/>
          <w:szCs w:val="24"/>
        </w:rPr>
        <w:t>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5D36A7BF">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10</w:t>
      </w:r>
      <w:r>
        <w:rPr>
          <w:rFonts w:hint="eastAsia" w:ascii="宋体" w:hAnsi="宋体" w:eastAsia="宋体" w:cs="Times New Roman"/>
          <w:b/>
          <w:bCs/>
          <w:sz w:val="24"/>
          <w:szCs w:val="24"/>
        </w:rPr>
        <w:t>、电子化磋商响应文件的签署</w:t>
      </w:r>
    </w:p>
    <w:p w14:paraId="69B2F2B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10.1</w:t>
      </w: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磋商响应供应商在进行电子化磋商响应文件签章时，竞争性磋商文件中要求磋商响应供应商盖章的，以签盖单位章为准；要求法定代表人或授权代理人签章的，以签盖法定代表人签章为准。</w:t>
      </w:r>
    </w:p>
    <w:p w14:paraId="58AB89F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11</w:t>
      </w:r>
      <w:r>
        <w:rPr>
          <w:rFonts w:hint="eastAsia" w:ascii="宋体" w:hAnsi="宋体" w:eastAsia="宋体" w:cs="Times New Roman"/>
          <w:b/>
          <w:bCs/>
          <w:sz w:val="24"/>
          <w:szCs w:val="24"/>
        </w:rPr>
        <w:t>、电子化磋商响应文件的上传</w:t>
      </w:r>
    </w:p>
    <w:p w14:paraId="55F852FA">
      <w:pPr>
        <w:spacing w:line="360" w:lineRule="auto"/>
        <w:ind w:firstLine="422" w:firstLineChars="176"/>
        <w:jc w:val="left"/>
        <w:rPr>
          <w:rFonts w:ascii="宋体" w:hAnsi="宋体" w:eastAsia="宋体" w:cs="Times New Roman"/>
          <w:kern w:val="0"/>
          <w:sz w:val="24"/>
          <w:szCs w:val="24"/>
        </w:rPr>
      </w:pPr>
      <w:r>
        <w:rPr>
          <w:rFonts w:ascii="宋体" w:hAnsi="宋体" w:eastAsia="宋体" w:cs="Times New Roman"/>
          <w:sz w:val="24"/>
          <w:szCs w:val="24"/>
        </w:rPr>
        <w:t>11.1</w:t>
      </w:r>
      <w:r>
        <w:rPr>
          <w:rFonts w:hint="eastAsia" w:ascii="宋体" w:hAnsi="宋体" w:eastAsia="宋体" w:cs="Times New Roman"/>
          <w:kern w:val="0"/>
          <w:sz w:val="24"/>
          <w:szCs w:val="24"/>
        </w:rPr>
        <w:t>电子化磋商响应文件应在投标截止时间前成功上传至三门峡市公共资源电子化交易系统。至投标截止时间止，仍未上传成功的电子化磋商响应文件将不予接收。</w:t>
      </w:r>
    </w:p>
    <w:p w14:paraId="6C0E6615">
      <w:pPr>
        <w:spacing w:line="360" w:lineRule="auto"/>
        <w:ind w:firstLine="422" w:firstLineChars="176"/>
        <w:jc w:val="lef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19BA8EF">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12</w:t>
      </w:r>
      <w:r>
        <w:rPr>
          <w:rFonts w:hint="eastAsia" w:ascii="宋体" w:hAnsi="宋体" w:eastAsia="宋体" w:cs="Times New Roman"/>
          <w:b/>
          <w:bCs/>
          <w:sz w:val="24"/>
          <w:szCs w:val="24"/>
        </w:rPr>
        <w:t>、磋商截止时间</w:t>
      </w:r>
    </w:p>
    <w:p w14:paraId="7B4D4E6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12.1</w:t>
      </w:r>
      <w:r>
        <w:rPr>
          <w:rFonts w:hint="eastAsia" w:ascii="宋体" w:hAnsi="宋体" w:eastAsia="宋体" w:cs="Times New Roman"/>
          <w:sz w:val="24"/>
          <w:szCs w:val="24"/>
        </w:rPr>
        <w:t>电子化磋商响应文件的截止时间见本须知前附表规定。</w:t>
      </w:r>
    </w:p>
    <w:p w14:paraId="01A88F27">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b/>
          <w:bCs/>
          <w:sz w:val="24"/>
          <w:szCs w:val="24"/>
        </w:rPr>
        <w:t>、电子化磋商响应文件的补充、修改与撤回</w:t>
      </w:r>
    </w:p>
    <w:p w14:paraId="51D1C10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13.1</w:t>
      </w:r>
      <w:r>
        <w:rPr>
          <w:rFonts w:hint="eastAsia" w:ascii="宋体" w:hAnsi="宋体" w:eastAsia="宋体" w:cs="Times New Roman"/>
          <w:sz w:val="24"/>
          <w:szCs w:val="24"/>
        </w:rPr>
        <w:t>在磋商截止时间之后，磋商响应供应商不得补充、修改电子化磋商响应文件。</w:t>
      </w:r>
    </w:p>
    <w:p w14:paraId="01BF3606">
      <w:pPr>
        <w:spacing w:line="360" w:lineRule="auto"/>
        <w:ind w:firstLine="424" w:firstLineChars="176"/>
        <w:rPr>
          <w:rFonts w:ascii="宋体" w:hAnsi="宋体" w:eastAsia="宋体" w:cs="Times New Roman"/>
          <w:szCs w:val="21"/>
        </w:rPr>
      </w:pPr>
      <w:r>
        <w:rPr>
          <w:rFonts w:hint="eastAsia" w:ascii="宋体" w:hAnsi="宋体" w:eastAsia="宋体" w:cs="Times New Roman"/>
          <w:b/>
          <w:bCs/>
          <w:sz w:val="24"/>
          <w:szCs w:val="24"/>
        </w:rPr>
        <w:t>14、磋商报价</w:t>
      </w:r>
      <w:r>
        <w:rPr>
          <w:rFonts w:ascii="宋体" w:hAnsi="宋体" w:eastAsia="宋体" w:cs="Times New Roman"/>
          <w:b/>
          <w:bCs/>
          <w:sz w:val="24"/>
          <w:szCs w:val="24"/>
        </w:rPr>
        <w:tab/>
      </w:r>
    </w:p>
    <w:p w14:paraId="2B84ED4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14.1</w:t>
      </w:r>
      <w:r>
        <w:rPr>
          <w:rFonts w:hint="eastAsia" w:ascii="宋体" w:hAnsi="宋体" w:eastAsia="宋体" w:cs="Times New Roman"/>
          <w:sz w:val="24"/>
          <w:szCs w:val="24"/>
        </w:rPr>
        <w:t>本次磋商采购的均须以人民币为计算单位。</w:t>
      </w:r>
    </w:p>
    <w:p w14:paraId="67A80D6A">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14.2</w:t>
      </w:r>
      <w:r>
        <w:rPr>
          <w:rFonts w:hint="eastAsia" w:ascii="宋体" w:hAnsi="宋体" w:eastAsia="宋体" w:cs="Times New Roman"/>
          <w:sz w:val="24"/>
          <w:szCs w:val="24"/>
        </w:rPr>
        <w:t>磋商响应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1BC8747A">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14.3 </w:t>
      </w:r>
      <w:r>
        <w:rPr>
          <w:rFonts w:hint="eastAsia" w:ascii="宋体" w:hAnsi="宋体" w:eastAsia="宋体" w:cs="Times New Roman"/>
          <w:sz w:val="24"/>
          <w:szCs w:val="24"/>
        </w:rPr>
        <w:t>磋商响应供应商应充分考虑市场风险和国家政策性风险系数，根据企业具体情况在合理的范围内自主报价，但不得低于企业实际成本。</w:t>
      </w:r>
    </w:p>
    <w:p w14:paraId="47A0B39E">
      <w:pPr>
        <w:spacing w:after="120" w:line="360" w:lineRule="auto"/>
        <w:ind w:firstLine="422" w:firstLineChars="176"/>
        <w:rPr>
          <w:rFonts w:ascii="宋体" w:hAnsi="宋体" w:eastAsia="宋体" w:cs="Times New Roman"/>
          <w:kern w:val="0"/>
          <w:sz w:val="24"/>
          <w:szCs w:val="24"/>
        </w:rPr>
      </w:pPr>
      <w:r>
        <w:rPr>
          <w:rFonts w:ascii="宋体" w:hAnsi="宋体" w:eastAsia="宋体" w:cs="Times New Roman"/>
          <w:kern w:val="0"/>
          <w:sz w:val="24"/>
          <w:szCs w:val="24"/>
        </w:rPr>
        <w:t>14.4</w:t>
      </w:r>
      <w:r>
        <w:rPr>
          <w:rFonts w:hint="eastAsia" w:ascii="宋体" w:hAnsi="宋体" w:eastAsia="宋体" w:cs="Times New Roman"/>
          <w:kern w:val="0"/>
          <w:sz w:val="24"/>
          <w:szCs w:val="24"/>
        </w:rPr>
        <w:t>磋商响应供应商只能提出一个报价，采购人不接受任何有选择的报价，最后报价不得超过项目招标控制价。</w:t>
      </w:r>
    </w:p>
    <w:p w14:paraId="5F6851B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14.5</w:t>
      </w:r>
      <w:r>
        <w:rPr>
          <w:rFonts w:hint="eastAsia" w:ascii="宋体" w:hAnsi="宋体" w:eastAsia="宋体" w:cs="Times New Roman"/>
          <w:sz w:val="24"/>
          <w:szCs w:val="24"/>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2FF5BE3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14.6</w:t>
      </w:r>
      <w:r>
        <w:rPr>
          <w:rFonts w:hint="eastAsia" w:ascii="宋体" w:hAnsi="宋体" w:eastAsia="宋体" w:cs="Times New Roman"/>
          <w:sz w:val="24"/>
          <w:szCs w:val="24"/>
        </w:rPr>
        <w:t>本次采购为竞争性磋商采购，允许二次报价。</w:t>
      </w:r>
    </w:p>
    <w:p w14:paraId="25C1B46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15</w:t>
      </w:r>
      <w:r>
        <w:rPr>
          <w:rFonts w:hint="eastAsia" w:ascii="宋体" w:hAnsi="宋体" w:eastAsia="宋体" w:cs="Times New Roman"/>
          <w:b/>
          <w:bCs/>
          <w:sz w:val="24"/>
          <w:szCs w:val="24"/>
        </w:rPr>
        <w:t>、磋商响应供应商资格的证明文件</w:t>
      </w:r>
      <w:r>
        <w:rPr>
          <w:rFonts w:ascii="宋体" w:hAnsi="宋体" w:eastAsia="宋体" w:cs="Times New Roman"/>
          <w:b/>
          <w:bCs/>
          <w:sz w:val="24"/>
          <w:szCs w:val="24"/>
        </w:rPr>
        <w:tab/>
      </w:r>
    </w:p>
    <w:p w14:paraId="2B99883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15.1</w:t>
      </w:r>
      <w:r>
        <w:rPr>
          <w:rFonts w:hint="eastAsia" w:ascii="宋体" w:hAnsi="宋体" w:eastAsia="宋体" w:cs="Times New Roman"/>
          <w:sz w:val="24"/>
          <w:szCs w:val="24"/>
        </w:rPr>
        <w:t>证明磋商响应供应商是有资格参加</w:t>
      </w:r>
      <w:r>
        <w:rPr>
          <w:rFonts w:hint="eastAsia" w:ascii="宋体" w:hAnsi="宋体" w:eastAsia="宋体" w:cs="Times New Roman"/>
          <w:kern w:val="0"/>
          <w:sz w:val="24"/>
          <w:szCs w:val="24"/>
        </w:rPr>
        <w:t>磋商</w:t>
      </w:r>
      <w:r>
        <w:rPr>
          <w:rFonts w:hint="eastAsia" w:ascii="宋体" w:hAnsi="宋体" w:eastAsia="宋体" w:cs="Times New Roman"/>
          <w:sz w:val="24"/>
          <w:szCs w:val="24"/>
        </w:rPr>
        <w:t>的。</w:t>
      </w:r>
    </w:p>
    <w:p w14:paraId="059B94D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15.2</w:t>
      </w:r>
      <w:r>
        <w:rPr>
          <w:rFonts w:hint="eastAsia" w:ascii="宋体" w:hAnsi="宋体" w:eastAsia="宋体" w:cs="Times New Roman"/>
          <w:sz w:val="24"/>
          <w:szCs w:val="24"/>
        </w:rPr>
        <w:t>证明磋商响应供应商有能力履行竞争性磋商文件中合同条款和技术要求规定的由磋商响应供应商提供的服务等义务。</w:t>
      </w:r>
    </w:p>
    <w:p w14:paraId="3FAE3B9A">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16、磋商响应文件有效期</w:t>
      </w:r>
    </w:p>
    <w:p w14:paraId="54543F2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响应性文件从首次递交竞争性磋商响应文件截止时间之日起开始生效，磋商有效期为</w:t>
      </w:r>
      <w:r>
        <w:rPr>
          <w:rFonts w:ascii="宋体" w:hAnsi="宋体" w:eastAsia="宋体" w:cs="Times New Roman"/>
          <w:sz w:val="24"/>
          <w:szCs w:val="24"/>
        </w:rPr>
        <w:t>60</w:t>
      </w:r>
      <w:r>
        <w:rPr>
          <w:rFonts w:hint="eastAsia" w:ascii="宋体" w:hAnsi="宋体" w:eastAsia="宋体" w:cs="Times New Roman"/>
          <w:sz w:val="24"/>
          <w:szCs w:val="24"/>
        </w:rPr>
        <w:t>日历天，有效期短于此规定的响应文件将被视为无效文件。</w:t>
      </w:r>
    </w:p>
    <w:p w14:paraId="0DBDA6B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.2</w:t>
      </w:r>
      <w:r>
        <w:rPr>
          <w:rFonts w:hint="eastAsia" w:ascii="宋体" w:hAnsi="宋体" w:eastAsia="宋体" w:cs="Times New Roman"/>
          <w:sz w:val="24"/>
          <w:szCs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35DCCEC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7、磋商</w:t>
      </w:r>
    </w:p>
    <w:p w14:paraId="510C670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20F8F62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16AA34B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17.3 电子化磋商响应文件解密异常的处理</w:t>
      </w:r>
    </w:p>
    <w:p w14:paraId="66C8E31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如出现供应商的电子磋商响应文件无法解密等异常情况，供应商应及时致电中介服务机构说明。磋商响应文件异常，按以下步骤进行处理：</w:t>
      </w:r>
    </w:p>
    <w:p w14:paraId="6DA5D4C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（1）首先由技术人员进行问题排查。</w:t>
      </w:r>
    </w:p>
    <w:p w14:paraId="289119D6">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（2）经技术人员排查后，是供应商文件自身问题导致磋商响应文件无法解密的，该磋商响应文件将不予接收、解密和唱标。开标会议继续进行。</w:t>
      </w:r>
    </w:p>
    <w:p w14:paraId="094401D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6811F1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17.4 待所有供应商磋商响应文件解密完成后，由中介服务机构操作，对所有已解密磋商响应文件进行唱标。</w:t>
      </w:r>
    </w:p>
    <w:p w14:paraId="4F8B8B36">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供应商应保证在开标期间电话、电脑、网络能够正常工作，供应商因停电、电脑病毒、网络堵塞等原因，未在规定的解密时间内对磋商响应文件进行解密的，其磋商响应文件不予接收、唱标。</w:t>
      </w:r>
    </w:p>
    <w:p w14:paraId="2719F9BA">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C9A71E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8、磋商小组</w:t>
      </w:r>
    </w:p>
    <w:p w14:paraId="43BA1A8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.1</w:t>
      </w:r>
      <w:r>
        <w:rPr>
          <w:rFonts w:hint="eastAsia" w:ascii="宋体" w:hAnsi="宋体" w:eastAsia="宋体" w:cs="Times New Roman"/>
          <w:sz w:val="24"/>
          <w:szCs w:val="24"/>
        </w:rPr>
        <w:t>磋商小组由</w:t>
      </w:r>
      <w:r>
        <w:rPr>
          <w:rFonts w:ascii="宋体" w:hAnsi="宋体" w:eastAsia="宋体" w:cs="Times New Roman"/>
          <w:sz w:val="24"/>
          <w:szCs w:val="24"/>
        </w:rPr>
        <w:t>3</w:t>
      </w:r>
      <w:r>
        <w:rPr>
          <w:rFonts w:hint="eastAsia" w:ascii="宋体" w:hAnsi="宋体" w:eastAsia="宋体" w:cs="Times New Roman"/>
          <w:sz w:val="24"/>
          <w:szCs w:val="24"/>
        </w:rPr>
        <w:t>人构成：采购人代表</w:t>
      </w:r>
      <w:r>
        <w:rPr>
          <w:rFonts w:ascii="宋体" w:hAnsi="宋体" w:eastAsia="宋体" w:cs="Times New Roman"/>
          <w:sz w:val="24"/>
          <w:szCs w:val="24"/>
        </w:rPr>
        <w:t>1</w:t>
      </w:r>
      <w:r>
        <w:rPr>
          <w:rFonts w:hint="eastAsia" w:ascii="宋体" w:hAnsi="宋体" w:eastAsia="宋体" w:cs="Times New Roman"/>
          <w:sz w:val="24"/>
          <w:szCs w:val="24"/>
        </w:rPr>
        <w:t>人，其他专家</w:t>
      </w:r>
      <w:r>
        <w:rPr>
          <w:rFonts w:ascii="宋体" w:hAnsi="宋体" w:eastAsia="宋体" w:cs="Times New Roman"/>
          <w:sz w:val="24"/>
          <w:szCs w:val="24"/>
        </w:rPr>
        <w:t>2</w:t>
      </w:r>
      <w:r>
        <w:rPr>
          <w:rFonts w:hint="eastAsia" w:ascii="宋体" w:hAnsi="宋体" w:eastAsia="宋体" w:cs="Times New Roman"/>
          <w:sz w:val="24"/>
          <w:szCs w:val="24"/>
        </w:rPr>
        <w:t>人，在磋商会议开始前从三门峡市公共资源交易综合评标专家库陕州区终端中随机抽取。</w:t>
      </w:r>
    </w:p>
    <w:p w14:paraId="7BF84C9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.2</w:t>
      </w:r>
      <w:r>
        <w:rPr>
          <w:rFonts w:hint="eastAsia" w:ascii="宋体" w:hAnsi="宋体" w:eastAsia="宋体" w:cs="Times New Roman"/>
          <w:sz w:val="24"/>
          <w:szCs w:val="24"/>
        </w:rPr>
        <w:t>磋商小组对所有磋商响应供应商的磋商响应文件进行评审，按评审后得分由高到低顺序排列，递交给采购人。</w:t>
      </w:r>
    </w:p>
    <w:p w14:paraId="4BB2E9A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.3</w:t>
      </w:r>
      <w:r>
        <w:rPr>
          <w:rFonts w:hint="eastAsia" w:ascii="宋体" w:hAnsi="宋体" w:eastAsia="宋体" w:cs="Times New Roman"/>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810BB8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.4</w:t>
      </w:r>
      <w:r>
        <w:rPr>
          <w:rFonts w:hint="eastAsia" w:ascii="宋体" w:hAnsi="宋体" w:eastAsia="宋体" w:cs="Times New Roman"/>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2A15CD5C">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19、磋商程序</w:t>
      </w:r>
    </w:p>
    <w:p w14:paraId="368F46A1">
      <w:pPr>
        <w:spacing w:line="360" w:lineRule="auto"/>
        <w:ind w:firstLine="422" w:firstLineChars="176"/>
        <w:rPr>
          <w:rFonts w:ascii="宋体" w:hAnsi="宋体" w:eastAsia="宋体" w:cs="Times New Roman"/>
          <w:b/>
          <w:bCs/>
          <w:sz w:val="24"/>
          <w:szCs w:val="24"/>
        </w:rPr>
      </w:pPr>
      <w:r>
        <w:rPr>
          <w:rFonts w:hint="eastAsia" w:ascii="宋体" w:hAnsi="宋体" w:eastAsia="宋体" w:cs="Times New Roman"/>
          <w:sz w:val="24"/>
          <w:szCs w:val="24"/>
        </w:rPr>
        <w:t>19</w:t>
      </w:r>
      <w:r>
        <w:rPr>
          <w:rFonts w:ascii="宋体" w:hAnsi="宋体" w:eastAsia="宋体" w:cs="Times New Roman"/>
          <w:sz w:val="24"/>
          <w:szCs w:val="24"/>
        </w:rPr>
        <w:t>.1</w:t>
      </w:r>
      <w:r>
        <w:rPr>
          <w:rFonts w:hint="eastAsia" w:ascii="宋体" w:hAnsi="宋体" w:eastAsia="宋体" w:cs="Times New Roman"/>
          <w:sz w:val="24"/>
          <w:szCs w:val="24"/>
        </w:rPr>
        <w:t>磋商小组所有成员集中评审磋商响应文件及集中与磋商响应供应商分别进行磋商。</w:t>
      </w:r>
    </w:p>
    <w:p w14:paraId="72D67C0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磋商小组首先对所有磋商响应文件进行资格性和符合性审查。资格性审查是指：磋商小组按照竞争性磋商文件第二章磋商磋商响应供应商须知前附表第</w:t>
      </w:r>
      <w:r>
        <w:rPr>
          <w:rFonts w:ascii="宋体" w:hAnsi="宋体" w:eastAsia="宋体" w:cs="Times New Roman"/>
          <w:sz w:val="24"/>
          <w:szCs w:val="24"/>
        </w:rPr>
        <w:t>2.</w:t>
      </w:r>
      <w:r>
        <w:rPr>
          <w:rFonts w:hint="eastAsia" w:ascii="宋体" w:hAnsi="宋体" w:eastAsia="宋体" w:cs="Times New Roman"/>
          <w:sz w:val="24"/>
          <w:szCs w:val="24"/>
        </w:rPr>
        <w:t>1项的要求，对磋商响应供应商进行审查，有一项不符合的，视为未通过资格审查，不得进入下一评审过程。符合性审查是指：磋商小组按照竞争性磋商文件本须知19</w:t>
      </w:r>
      <w:r>
        <w:rPr>
          <w:rFonts w:ascii="宋体" w:hAnsi="宋体" w:eastAsia="宋体" w:cs="Times New Roman"/>
          <w:sz w:val="24"/>
          <w:szCs w:val="24"/>
        </w:rPr>
        <w:t>.3</w:t>
      </w:r>
      <w:r>
        <w:rPr>
          <w:rFonts w:hint="eastAsia" w:ascii="宋体" w:hAnsi="宋体" w:eastAsia="宋体" w:cs="Times New Roman"/>
          <w:sz w:val="24"/>
          <w:szCs w:val="24"/>
        </w:rPr>
        <w:t>条的要求，对磋商响应供应商进行审查，有一项不符合的，视为未通过符合性审查。未通过资格性和符合性审查的磋商响应文件按无效响应处理，磋商小组应当告知提交磋商响应文件的磋商响应供应商。</w:t>
      </w:r>
    </w:p>
    <w:p w14:paraId="370ED73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1磋商小组判断磋商响应文件的响应性仅基于磋商响应文件本身内容而不靠外部证据。</w:t>
      </w:r>
    </w:p>
    <w:p w14:paraId="3DC5D4A6">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2实质性未响应磋商文件要求的响应将被拒绝，磋商响应供应商不得通过修正或撤消不符之处而使其响应成为实质性响应。</w:t>
      </w:r>
    </w:p>
    <w:p w14:paraId="2BB9E7C5">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3实质性未响应是指磋商响应文件中提出了超出磋商文件中采购标的、规格型号、招标控制价、采购数量、交货期、技术和服务要求等内容。</w:t>
      </w:r>
    </w:p>
    <w:p w14:paraId="1BE3543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19.3</w:t>
      </w:r>
      <w:r>
        <w:rPr>
          <w:rFonts w:hint="eastAsia" w:ascii="宋体" w:hAnsi="宋体" w:eastAsia="宋体" w:cs="Times New Roman"/>
          <w:sz w:val="24"/>
          <w:szCs w:val="24"/>
        </w:rPr>
        <w:t>有下列情形之一的，其磋商响应文件将会被拒绝：</w:t>
      </w:r>
    </w:p>
    <w:p w14:paraId="599EBB5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（1）磋商响应供应商名称与营业执照不一致；</w:t>
      </w:r>
    </w:p>
    <w:p w14:paraId="5BA3D12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（2）磋商报价超过竞争性磋商文件规定的招标控制价的；</w:t>
      </w:r>
    </w:p>
    <w:p w14:paraId="194E6366">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（3）以他人的名义磋商、串通磋商、以行贿手段谋取成交或者以其他弄虚作假方式磋商的；</w:t>
      </w:r>
    </w:p>
    <w:p w14:paraId="65E9B18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（4）采取不正当手段谋取成交的。</w:t>
      </w:r>
    </w:p>
    <w:p w14:paraId="736F17DE">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0、对磋商响应供应商的评价</w:t>
      </w:r>
    </w:p>
    <w:p w14:paraId="6F5B3E7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.1</w:t>
      </w:r>
      <w:r>
        <w:rPr>
          <w:rFonts w:hint="eastAsia" w:ascii="宋体" w:hAnsi="宋体" w:eastAsia="宋体" w:cs="Times New Roman"/>
          <w:sz w:val="24"/>
          <w:szCs w:val="24"/>
        </w:rPr>
        <w:t>磋商小组只对已判定为实质性响应且通过资格审查的磋商响应文件进行详细评价和比较。</w:t>
      </w:r>
    </w:p>
    <w:p w14:paraId="2F4627E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2磋商小组所有成员应当集中与单一磋商响应供应商分别进行磋商，并给予所有参加磋商的磋商响应供应商平等的磋商机会。磋商完成后，要求其在规定时间内提交最后报价，提交最后报价的供应商不少于三家。</w:t>
      </w:r>
    </w:p>
    <w:p w14:paraId="4D1F49B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3经磋商确定最终采购需求和提交最后报价的磋商响应供应商后，磋商小组采用综合评分法对提交最后报价的磋商响应供应商的磋商响应文件和最后报价进行综合评分。</w:t>
      </w:r>
    </w:p>
    <w:p w14:paraId="5660052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ABE1A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14:paraId="0F9FA404">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1、磋商响应文件的澄清</w:t>
      </w:r>
    </w:p>
    <w:p w14:paraId="094DD2FD">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为了有助于对磋商响应文件进行审查、评估和比较，磋商小组有权向磋商响应供应商质疑。请磋商响应供应商澄清其</w:t>
      </w:r>
      <w:r>
        <w:rPr>
          <w:rFonts w:hint="eastAsia" w:ascii="宋体" w:hAnsi="宋体" w:eastAsia="宋体" w:cs="Times New Roman"/>
          <w:kern w:val="0"/>
          <w:sz w:val="24"/>
          <w:szCs w:val="24"/>
        </w:rPr>
        <w:t>磋商</w:t>
      </w:r>
      <w:r>
        <w:rPr>
          <w:rFonts w:hint="eastAsia" w:ascii="宋体" w:hAnsi="宋体" w:eastAsia="宋体" w:cs="Times New Roman"/>
          <w:sz w:val="24"/>
          <w:szCs w:val="24"/>
        </w:rPr>
        <w:t>内容。磋商响应供应商有责任按照磋商小组通知的时间、地点、方式指派委托代理人进行答疑和澄清。</w:t>
      </w:r>
    </w:p>
    <w:p w14:paraId="7FBC865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重要澄清的答复应是书面的，并由法定代表人或其委托代理人签字。</w:t>
      </w:r>
    </w:p>
    <w:p w14:paraId="385333CC">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磋商响应供应商的澄清文件是磋商响应文件的组成部分，并取代磋商响应文件中被澄清的部分。</w:t>
      </w:r>
    </w:p>
    <w:p w14:paraId="30828939">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磋商响应文件澄清部分不得对磋商内容进行实质性修改。</w:t>
      </w:r>
    </w:p>
    <w:p w14:paraId="5146A805">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2、磋商原则和方法</w:t>
      </w:r>
    </w:p>
    <w:p w14:paraId="35FEAC73">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坚持公开、公平、公正的原则。</w:t>
      </w:r>
    </w:p>
    <w:p w14:paraId="3E7228BB">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磋商在磋商小组应当集中与单一磋商响应供应商分别进行磋商，磋商小组将遵照磋商原则，公正、平等地对待所有磋商响应供应商。</w:t>
      </w:r>
    </w:p>
    <w:p w14:paraId="71AE7EE1">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评审方法</w:t>
      </w:r>
    </w:p>
    <w:p w14:paraId="6A568B4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初步评审（是否响应竞争性磋商文件的要求），确定合格的磋商响应供应商。</w:t>
      </w:r>
    </w:p>
    <w:p w14:paraId="5CF092CC">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rPr>
        <w:t>各磋商响应供应商依据各自情况进行最后报价。</w:t>
      </w:r>
    </w:p>
    <w:p w14:paraId="6ED2F58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rPr>
        <w:t>经磋商确定最终采购需求和提交最后报价的磋商响应供应商，由磋商小组采用综合评分法对提交最后报价的磋商响应供应商的响应文件和最后报价进行综合评分。</w:t>
      </w:r>
    </w:p>
    <w:p w14:paraId="0F4415F8">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3、确定成交供应商</w:t>
      </w:r>
    </w:p>
    <w:p w14:paraId="71FFC914">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r>
        <w:rPr>
          <w:rFonts w:ascii="宋体" w:hAnsi="宋体" w:eastAsia="宋体" w:cs="Times New Roman"/>
          <w:sz w:val="24"/>
          <w:szCs w:val="24"/>
        </w:rPr>
        <w:t>.1</w:t>
      </w:r>
      <w:r>
        <w:rPr>
          <w:rFonts w:hint="eastAsia" w:ascii="宋体" w:hAnsi="宋体" w:eastAsia="宋体" w:cs="Times New Roman"/>
          <w:sz w:val="24"/>
          <w:szCs w:val="24"/>
        </w:rPr>
        <w:t>磋商小组应当根据综合评分情况，按照评审有高到低的顺序推荐成交候选供应商，并向采购人提供书面评审报告。</w:t>
      </w:r>
    </w:p>
    <w:p w14:paraId="0EAFD5B1">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4、保密及其它注意事项</w:t>
      </w:r>
    </w:p>
    <w:p w14:paraId="05DA357D">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评审工作是磋商工作的重要环节，评审工作在磋商小组内独立进行。</w:t>
      </w:r>
    </w:p>
    <w:p w14:paraId="0347E9A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.2</w:t>
      </w:r>
      <w:r>
        <w:rPr>
          <w:rFonts w:hint="eastAsia" w:ascii="宋体" w:hAnsi="宋体" w:eastAsia="宋体" w:cs="Times New Roman"/>
          <w:sz w:val="24"/>
          <w:szCs w:val="24"/>
        </w:rPr>
        <w:t>在评审期间，磋商响应供应商不得向磋商小组成员询问评审情况，不得进行影响评审结果的活动。否则其响应将会被拒绝。</w:t>
      </w:r>
    </w:p>
    <w:p w14:paraId="3ECD26E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为保证评审的公正性，磋商开始后直至授予成交供应商合同，磋商小组成员不得与供应商私下交换意见。</w:t>
      </w:r>
    </w:p>
    <w:p w14:paraId="11159589">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在评审工作结束后，凡与评审情况有接触的任何人不得擅自将评审情况扩散出评审人员之外。</w:t>
      </w:r>
    </w:p>
    <w:p w14:paraId="4885356A">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5、成交通知</w:t>
      </w:r>
      <w:r>
        <w:rPr>
          <w:rFonts w:ascii="宋体" w:hAnsi="宋体" w:eastAsia="宋体" w:cs="Times New Roman"/>
          <w:b/>
          <w:bCs/>
          <w:sz w:val="24"/>
          <w:szCs w:val="24"/>
        </w:rPr>
        <w:tab/>
      </w:r>
    </w:p>
    <w:p w14:paraId="259F252D">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r>
        <w:rPr>
          <w:rFonts w:ascii="宋体" w:hAnsi="宋体" w:eastAsia="宋体" w:cs="Times New Roman"/>
          <w:sz w:val="24"/>
          <w:szCs w:val="24"/>
        </w:rPr>
        <w:t>.1</w:t>
      </w:r>
      <w:r>
        <w:rPr>
          <w:rFonts w:hint="eastAsia" w:ascii="宋体" w:hAnsi="宋体" w:eastAsia="宋体" w:cs="Times New Roman"/>
          <w:sz w:val="24"/>
          <w:szCs w:val="24"/>
        </w:rPr>
        <w:t>成交供应商确定后，采购人向成交供应商签发《成交通知书》，并将成交结果通知所有未成交的磋商响应供应商。</w:t>
      </w:r>
    </w:p>
    <w:p w14:paraId="325546E8">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25</w:t>
      </w:r>
      <w:r>
        <w:rPr>
          <w:rFonts w:ascii="宋体" w:hAnsi="宋体" w:eastAsia="宋体" w:cs="Times New Roman"/>
          <w:sz w:val="24"/>
          <w:szCs w:val="24"/>
        </w:rPr>
        <w:t>.2</w:t>
      </w:r>
      <w:r>
        <w:rPr>
          <w:rFonts w:hint="eastAsia" w:ascii="宋体" w:hAnsi="宋体" w:eastAsia="宋体" w:cs="Times New Roman"/>
          <w:sz w:val="24"/>
          <w:szCs w:val="24"/>
        </w:rPr>
        <w:t>《成交通知书》作为签订合同的依据，对采购人和成交供应商均具有法律效力，成交通知书发出后，采购人改变成交结果或者成交供应商放弃项目，应依法承担法律责任。</w:t>
      </w:r>
    </w:p>
    <w:p w14:paraId="1952E80F">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6、授予合同时变更数量的权力</w:t>
      </w:r>
    </w:p>
    <w:p w14:paraId="3A2FD810">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采购人在授予合同时，保留对货物数量予以适当增减的权利。成交供应商不得在此情况下对磋商响应文件做出修改，如价格、技术参数、服务承诺等。</w:t>
      </w:r>
    </w:p>
    <w:p w14:paraId="73FAA449">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7、签订合同</w:t>
      </w:r>
    </w:p>
    <w:p w14:paraId="081AF718">
      <w:pPr>
        <w:adjustRightInd w:val="0"/>
        <w:spacing w:line="420" w:lineRule="exact"/>
        <w:ind w:firstLine="422" w:firstLineChars="176"/>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.1</w:t>
      </w:r>
      <w:r>
        <w:rPr>
          <w:rFonts w:hint="eastAsia" w:ascii="宋体" w:hAnsi="宋体" w:eastAsia="宋体" w:cs="Times New Roman"/>
          <w:sz w:val="24"/>
          <w:szCs w:val="24"/>
        </w:rPr>
        <w:t>供应商应自中标通知书发出之日起2个工作日内与采购人签订采购合同</w:t>
      </w:r>
      <w:r>
        <w:rPr>
          <w:rFonts w:hint="eastAsia" w:ascii="宋体" w:hAnsi="宋体" w:eastAsia="宋体" w:cs="Times New Roman"/>
          <w:spacing w:val="-20"/>
          <w:sz w:val="24"/>
          <w:szCs w:val="24"/>
        </w:rPr>
        <w:t>。</w:t>
      </w:r>
    </w:p>
    <w:p w14:paraId="5EBF4819">
      <w:pPr>
        <w:adjustRightInd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.2</w:t>
      </w:r>
      <w:r>
        <w:rPr>
          <w:rFonts w:hint="eastAsia" w:ascii="宋体" w:hAnsi="宋体" w:eastAsia="宋体" w:cs="Times New Roman"/>
          <w:sz w:val="24"/>
          <w:szCs w:val="24"/>
        </w:rPr>
        <w:t>采购人签发的成交通知书、竞争性磋商文件、成交供应商的磋商响应文件及其澄清文件等，均为签订合同的依据。</w:t>
      </w:r>
    </w:p>
    <w:p w14:paraId="0E1D3B7C">
      <w:pPr>
        <w:spacing w:line="420" w:lineRule="exact"/>
        <w:ind w:firstLine="424" w:firstLineChars="176"/>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8．特别注意事项：</w:t>
      </w:r>
    </w:p>
    <w:p w14:paraId="725C0BAA">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磋商响应供应商出现下列情形之一的，磋商小组可取消其磋商资格：</w:t>
      </w:r>
    </w:p>
    <w:p w14:paraId="7CEC4C4A">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）未按磋商文件要求和规定提交实质性响应材料的；</w:t>
      </w:r>
    </w:p>
    <w:p w14:paraId="395B0017">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）相互串通磋商的（有下列情形之一的，视为磋商响应供应商相互串通磋商）；</w:t>
      </w:r>
    </w:p>
    <w:p w14:paraId="0B8066DB">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、不同磋商响应供应商的响应文件由同一单位或者个人编制</w:t>
      </w:r>
    </w:p>
    <w:p w14:paraId="41A81027">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B</w:t>
      </w:r>
      <w:r>
        <w:rPr>
          <w:rFonts w:hint="eastAsia" w:ascii="宋体" w:hAnsi="宋体" w:eastAsia="宋体" w:cs="Times New Roman"/>
          <w:sz w:val="24"/>
          <w:szCs w:val="24"/>
        </w:rPr>
        <w:t>、不同磋商响应供应商的响应文件载明的项目管理成员为同一人</w:t>
      </w:r>
    </w:p>
    <w:p w14:paraId="5430B05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C</w:t>
      </w:r>
      <w:r>
        <w:rPr>
          <w:rFonts w:hint="eastAsia" w:ascii="宋体" w:hAnsi="宋体" w:eastAsia="宋体" w:cs="Times New Roman"/>
          <w:sz w:val="24"/>
          <w:szCs w:val="24"/>
        </w:rPr>
        <w:t>、不同磋商响应供应商的响应文件异常一致或者磋商报价呈规律性差异</w:t>
      </w:r>
    </w:p>
    <w:p w14:paraId="0CC7D833">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D</w:t>
      </w:r>
      <w:r>
        <w:rPr>
          <w:rFonts w:hint="eastAsia" w:ascii="宋体" w:hAnsi="宋体" w:eastAsia="宋体" w:cs="Times New Roman"/>
          <w:sz w:val="24"/>
          <w:szCs w:val="24"/>
        </w:rPr>
        <w:t>、不同磋商响应供应商的响应文件相互混放</w:t>
      </w:r>
    </w:p>
    <w:p w14:paraId="69E2A4A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.2 </w:t>
      </w:r>
      <w:r>
        <w:rPr>
          <w:rFonts w:hint="eastAsia" w:ascii="宋体" w:hAnsi="宋体" w:eastAsia="宋体" w:cs="Times New Roman"/>
          <w:sz w:val="24"/>
          <w:szCs w:val="24"/>
        </w:rPr>
        <w:t>磋商响应供应商出现下列情形之一的，将被视为非实质性响应磋商文件要求：</w:t>
      </w:r>
    </w:p>
    <w:p w14:paraId="4679670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 </w:t>
      </w:r>
      <w:r>
        <w:rPr>
          <w:rFonts w:hint="eastAsia" w:ascii="宋体" w:hAnsi="宋体" w:eastAsia="宋体" w:cs="Times New Roman"/>
          <w:sz w:val="24"/>
          <w:szCs w:val="24"/>
        </w:rPr>
        <w:t>交货（完成）期限不确切或不符合磋商文件要求的；</w:t>
      </w:r>
    </w:p>
    <w:p w14:paraId="1E76CCD5">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(2) </w:t>
      </w:r>
      <w:r>
        <w:rPr>
          <w:rFonts w:hint="eastAsia" w:ascii="宋体" w:hAnsi="宋体" w:eastAsia="宋体" w:cs="Times New Roman"/>
          <w:sz w:val="24"/>
          <w:szCs w:val="24"/>
        </w:rPr>
        <w:t>最后报价有选择性的；</w:t>
      </w:r>
    </w:p>
    <w:p w14:paraId="4B987FC3">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(3) </w:t>
      </w:r>
      <w:r>
        <w:rPr>
          <w:rFonts w:hint="eastAsia" w:ascii="宋体" w:hAnsi="宋体" w:eastAsia="宋体" w:cs="Times New Roman"/>
          <w:sz w:val="24"/>
          <w:szCs w:val="24"/>
        </w:rPr>
        <w:t>最后报价超过招标控制价的；</w:t>
      </w:r>
    </w:p>
    <w:p w14:paraId="476014EE">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(4) </w:t>
      </w:r>
      <w:r>
        <w:rPr>
          <w:rFonts w:hint="eastAsia" w:ascii="宋体" w:hAnsi="宋体" w:eastAsia="宋体" w:cs="Times New Roman"/>
          <w:sz w:val="24"/>
          <w:szCs w:val="24"/>
        </w:rPr>
        <w:t>被磋商小组认定存在重大负偏离的；</w:t>
      </w:r>
    </w:p>
    <w:p w14:paraId="6411EF5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注：所谓重大负偏离是指磋商响应供应商对磋商文件的响应在范围、质量、数量和交货（完成）期限、技术规格要求等方面明显不能满足采购需求的。重大负偏离的认定须经磋商小组三分之二以上同意。</w:t>
      </w:r>
    </w:p>
    <w:p w14:paraId="7926427E">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29．询问</w:t>
      </w:r>
    </w:p>
    <w:p w14:paraId="6F4C8534">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29</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磋商响应供应商对采购事项有疑问，可以按照《政府采购法》的相关规定向采购人或采购代理机构提出询问。</w:t>
      </w:r>
    </w:p>
    <w:p w14:paraId="55D90838">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30</w:t>
      </w:r>
      <w:r>
        <w:rPr>
          <w:rFonts w:ascii="宋体" w:hAnsi="宋体" w:eastAsia="宋体" w:cs="Times New Roman"/>
          <w:b/>
          <w:bCs/>
          <w:sz w:val="24"/>
          <w:szCs w:val="24"/>
        </w:rPr>
        <w:t>.</w:t>
      </w:r>
      <w:r>
        <w:rPr>
          <w:rFonts w:hint="eastAsia" w:ascii="宋体" w:hAnsi="宋体" w:eastAsia="宋体" w:cs="Times New Roman"/>
          <w:b/>
          <w:bCs/>
          <w:sz w:val="24"/>
          <w:szCs w:val="24"/>
        </w:rPr>
        <w:t>质疑程序及处理</w:t>
      </w:r>
    </w:p>
    <w:p w14:paraId="7010BFA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30</w:t>
      </w:r>
      <w:r>
        <w:rPr>
          <w:rFonts w:ascii="宋体" w:hAnsi="宋体" w:eastAsia="宋体" w:cs="Times New Roman"/>
          <w:sz w:val="24"/>
          <w:szCs w:val="24"/>
        </w:rPr>
        <w:t xml:space="preserve">.1 </w:t>
      </w:r>
      <w:r>
        <w:rPr>
          <w:rFonts w:hint="eastAsia" w:ascii="宋体" w:hAnsi="宋体" w:eastAsia="宋体" w:cs="Times New Roman"/>
          <w:sz w:val="24"/>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4"/>
          <w:szCs w:val="24"/>
        </w:rPr>
        <w:t xml:space="preserve"> 7 </w:t>
      </w:r>
      <w:r>
        <w:rPr>
          <w:rFonts w:hint="eastAsia" w:ascii="宋体" w:hAnsi="宋体" w:eastAsia="宋体" w:cs="Times New Roman"/>
          <w:sz w:val="24"/>
          <w:szCs w:val="24"/>
        </w:rPr>
        <w:t>个工作日内，将质疑书原件送达采购人或采购代理机构。提出质疑期限的计算，依照下列规定办理：</w:t>
      </w:r>
    </w:p>
    <w:p w14:paraId="169D8905">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（一）对可以质疑的磋商文件提出质疑的，为收到磋商文件之日或者磋商文件公告期限届满之日；</w:t>
      </w:r>
    </w:p>
    <w:p w14:paraId="0DEE9B5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F245993">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7A5F6DD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.2 </w:t>
      </w:r>
      <w:r>
        <w:rPr>
          <w:rFonts w:hint="eastAsia" w:ascii="宋体" w:hAnsi="宋体" w:eastAsia="宋体" w:cs="Times New Roman"/>
          <w:sz w:val="24"/>
          <w:szCs w:val="24"/>
        </w:rPr>
        <w:t>质疑书应当包括下列主要内容，并按照“谁主张、谁举证”的原则，附上相关证明材料。否则，采购人不予受理：</w:t>
      </w:r>
    </w:p>
    <w:p w14:paraId="27AABDE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（一）质疑磋商响应供应商全称、地址、法定代表人、联系人及联系电话、邮政编码等；</w:t>
      </w:r>
    </w:p>
    <w:p w14:paraId="3A88D774">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370FBF0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2FCAE4D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3F61934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5E2EDE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7259F63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20F93E99">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0CAD5E8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.3 </w:t>
      </w:r>
      <w:r>
        <w:rPr>
          <w:rFonts w:hint="eastAsia" w:ascii="宋体" w:hAnsi="宋体" w:eastAsia="宋体" w:cs="Times New Roman"/>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E152BB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.4 </w:t>
      </w:r>
      <w:r>
        <w:rPr>
          <w:rFonts w:hint="eastAsia" w:ascii="宋体" w:hAnsi="宋体" w:eastAsia="宋体" w:cs="Times New Roman"/>
          <w:sz w:val="24"/>
          <w:szCs w:val="24"/>
        </w:rPr>
        <w:t>磋商响应供应商委托代理人办理质疑事宜，应当提交授权委托书，并载明委托代理的具体权限和事项。授权委托书应当由委托人签字并加盖单位公章。</w:t>
      </w:r>
    </w:p>
    <w:p w14:paraId="2BCF592F">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.5 </w:t>
      </w:r>
      <w:r>
        <w:rPr>
          <w:rFonts w:hint="eastAsia" w:ascii="宋体" w:hAnsi="宋体" w:eastAsia="宋体" w:cs="Times New Roman"/>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30B731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.6 </w:t>
      </w:r>
      <w:r>
        <w:rPr>
          <w:rFonts w:hint="eastAsia" w:ascii="宋体" w:hAnsi="宋体" w:eastAsia="宋体" w:cs="Times New Roman"/>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023B8865">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.7 </w:t>
      </w:r>
      <w:r>
        <w:rPr>
          <w:rFonts w:hint="eastAsia" w:ascii="宋体" w:hAnsi="宋体" w:eastAsia="宋体" w:cs="Times New Roman"/>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27A26D31">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.8 </w:t>
      </w:r>
      <w:r>
        <w:rPr>
          <w:rFonts w:hint="eastAsia" w:ascii="宋体" w:hAnsi="宋体" w:eastAsia="宋体" w:cs="Times New Roman"/>
          <w:sz w:val="24"/>
          <w:szCs w:val="24"/>
        </w:rPr>
        <w:t>采购人将在收到符合上述条件的书面质疑后</w:t>
      </w:r>
      <w:r>
        <w:rPr>
          <w:rFonts w:ascii="宋体" w:hAnsi="宋体" w:eastAsia="宋体" w:cs="Times New Roman"/>
          <w:sz w:val="24"/>
          <w:szCs w:val="24"/>
        </w:rPr>
        <w:t xml:space="preserve"> 7 </w:t>
      </w:r>
      <w:r>
        <w:rPr>
          <w:rFonts w:hint="eastAsia" w:ascii="宋体" w:hAnsi="宋体" w:eastAsia="宋体" w:cs="Times New Roman"/>
          <w:sz w:val="24"/>
          <w:szCs w:val="24"/>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4E7D73E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.9 </w:t>
      </w:r>
      <w:r>
        <w:rPr>
          <w:rFonts w:hint="eastAsia" w:ascii="宋体" w:hAnsi="宋体" w:eastAsia="宋体" w:cs="Times New Roman"/>
          <w:sz w:val="24"/>
          <w:szCs w:val="24"/>
        </w:rPr>
        <w:t>质疑供应商对采购人的答复不满意以及采购人未在规定的时间内做出答复的，可以在答复期满后</w:t>
      </w:r>
      <w:r>
        <w:rPr>
          <w:rFonts w:ascii="宋体" w:hAnsi="宋体" w:eastAsia="宋体" w:cs="Times New Roman"/>
          <w:sz w:val="24"/>
          <w:szCs w:val="24"/>
        </w:rPr>
        <w:t>15</w:t>
      </w:r>
      <w:r>
        <w:rPr>
          <w:rFonts w:hint="eastAsia" w:ascii="宋体" w:hAnsi="宋体" w:eastAsia="宋体" w:cs="Times New Roman"/>
          <w:sz w:val="24"/>
          <w:szCs w:val="24"/>
        </w:rPr>
        <w:t>个工作日内向财政部门投诉。</w:t>
      </w:r>
    </w:p>
    <w:p w14:paraId="1681615A">
      <w:pPr>
        <w:spacing w:line="360" w:lineRule="auto"/>
        <w:jc w:val="center"/>
        <w:outlineLvl w:val="0"/>
        <w:rPr>
          <w:rFonts w:ascii="宋体" w:hAnsi="宋体" w:eastAsia="宋体" w:cs="Times New Roman"/>
          <w:b/>
          <w:sz w:val="36"/>
          <w:szCs w:val="36"/>
        </w:rPr>
      </w:pPr>
      <w:r>
        <w:rPr>
          <w:rFonts w:ascii="宋体" w:hAnsi="宋体" w:eastAsia="宋体" w:cs="Times New Roman"/>
          <w:b/>
          <w:sz w:val="36"/>
          <w:szCs w:val="36"/>
        </w:rPr>
        <w:br w:type="page"/>
      </w:r>
      <w:r>
        <w:rPr>
          <w:rFonts w:hint="eastAsia" w:ascii="宋体" w:hAnsi="宋体" w:eastAsia="宋体" w:cs="Times New Roman"/>
          <w:b/>
          <w:sz w:val="36"/>
          <w:szCs w:val="36"/>
        </w:rPr>
        <w:t xml:space="preserve">第三章 采购内容及技术要求 </w:t>
      </w:r>
    </w:p>
    <w:tbl>
      <w:tblPr>
        <w:tblStyle w:val="61"/>
        <w:tblpPr w:vertAnchor="text" w:tblpX="-175"/>
        <w:tblOverlap w:val="never"/>
        <w:tblW w:w="9028" w:type="dxa"/>
        <w:tblInd w:w="0" w:type="dxa"/>
        <w:tblLayout w:type="autofit"/>
        <w:tblCellMar>
          <w:top w:w="93" w:type="dxa"/>
          <w:left w:w="0" w:type="dxa"/>
          <w:bottom w:w="0" w:type="dxa"/>
          <w:right w:w="21" w:type="dxa"/>
        </w:tblCellMar>
      </w:tblPr>
      <w:tblGrid>
        <w:gridCol w:w="683"/>
        <w:gridCol w:w="1654"/>
        <w:gridCol w:w="2977"/>
        <w:gridCol w:w="992"/>
        <w:gridCol w:w="844"/>
        <w:gridCol w:w="809"/>
        <w:gridCol w:w="1069"/>
      </w:tblGrid>
      <w:tr w14:paraId="11832FF2">
        <w:tblPrEx>
          <w:tblCellMar>
            <w:top w:w="93" w:type="dxa"/>
            <w:left w:w="0" w:type="dxa"/>
            <w:bottom w:w="0" w:type="dxa"/>
            <w:right w:w="21" w:type="dxa"/>
          </w:tblCellMar>
        </w:tblPrEx>
        <w:trPr>
          <w:trHeight w:val="722" w:hRule="atLeast"/>
        </w:trPr>
        <w:tc>
          <w:tcPr>
            <w:tcW w:w="9028" w:type="dxa"/>
            <w:gridSpan w:val="7"/>
            <w:tcBorders>
              <w:top w:val="single" w:color="000000" w:sz="2" w:space="0"/>
              <w:left w:val="single" w:color="000000" w:sz="2" w:space="0"/>
              <w:bottom w:val="single" w:color="000000" w:sz="2" w:space="0"/>
              <w:right w:val="single" w:color="000000" w:sz="2" w:space="0"/>
            </w:tcBorders>
            <w:vAlign w:val="center"/>
          </w:tcPr>
          <w:p w14:paraId="2383C758">
            <w:pPr>
              <w:ind w:left="6"/>
              <w:jc w:val="center"/>
              <w:rPr>
                <w:kern w:val="2"/>
                <w:lang w:eastAsia="zh-CN"/>
                <w14:ligatures w14:val="standardContextual"/>
              </w:rPr>
            </w:pPr>
            <w:r>
              <w:rPr>
                <w:rFonts w:hint="eastAsia" w:ascii="微软雅黑" w:hAnsi="微软雅黑" w:eastAsia="微软雅黑" w:cs="微软雅黑"/>
                <w:kern w:val="2"/>
                <w:sz w:val="28"/>
                <w:szCs w:val="21"/>
                <w:lang w:eastAsia="zh-CN"/>
                <w14:ligatures w14:val="standardContextual"/>
              </w:rPr>
              <w:t>三门峡田丰养殖有限公司2024年奶业生产能力提升整县推进项目（二次）</w:t>
            </w:r>
          </w:p>
        </w:tc>
      </w:tr>
      <w:tr w14:paraId="4AA63880">
        <w:tblPrEx>
          <w:tblCellMar>
            <w:top w:w="93" w:type="dxa"/>
            <w:left w:w="0" w:type="dxa"/>
            <w:bottom w:w="0" w:type="dxa"/>
            <w:right w:w="21" w:type="dxa"/>
          </w:tblCellMar>
        </w:tblPrEx>
        <w:trPr>
          <w:trHeight w:val="694"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70D31A7F">
            <w:pPr>
              <w:ind w:left="75"/>
              <w:jc w:val="center"/>
              <w:rPr>
                <w:kern w:val="2"/>
                <w14:ligatures w14:val="standardContextual"/>
              </w:rPr>
            </w:pPr>
            <w:r>
              <w:rPr>
                <w:rFonts w:ascii="微软雅黑" w:hAnsi="微软雅黑" w:eastAsia="微软雅黑" w:cs="微软雅黑"/>
                <w:kern w:val="2"/>
                <w:sz w:val="20"/>
                <w14:ligatures w14:val="standardContextual"/>
              </w:rPr>
              <w:t>序号</w:t>
            </w:r>
          </w:p>
        </w:tc>
        <w:tc>
          <w:tcPr>
            <w:tcW w:w="1654" w:type="dxa"/>
            <w:tcBorders>
              <w:top w:val="single" w:color="000000" w:sz="2" w:space="0"/>
              <w:left w:val="single" w:color="000000" w:sz="2" w:space="0"/>
              <w:bottom w:val="single" w:color="000000" w:sz="2" w:space="0"/>
              <w:right w:val="single" w:color="000000" w:sz="2" w:space="0"/>
            </w:tcBorders>
            <w:vAlign w:val="center"/>
          </w:tcPr>
          <w:p w14:paraId="6DAC7431">
            <w:pPr>
              <w:ind w:left="75"/>
              <w:jc w:val="center"/>
              <w:rPr>
                <w:kern w:val="2"/>
                <w14:ligatures w14:val="standardContextual"/>
              </w:rPr>
            </w:pPr>
            <w:r>
              <w:rPr>
                <w:rFonts w:ascii="微软雅黑" w:hAnsi="微软雅黑" w:eastAsia="微软雅黑" w:cs="微软雅黑"/>
                <w:kern w:val="2"/>
                <w:sz w:val="20"/>
                <w14:ligatures w14:val="standardContextual"/>
              </w:rPr>
              <w:t>名称</w:t>
            </w:r>
          </w:p>
        </w:tc>
        <w:tc>
          <w:tcPr>
            <w:tcW w:w="2977" w:type="dxa"/>
            <w:tcBorders>
              <w:top w:val="single" w:color="000000" w:sz="2" w:space="0"/>
              <w:left w:val="single" w:color="000000" w:sz="2" w:space="0"/>
              <w:bottom w:val="single" w:color="000000" w:sz="2" w:space="0"/>
              <w:right w:val="single" w:color="000000" w:sz="2" w:space="0"/>
            </w:tcBorders>
            <w:vAlign w:val="center"/>
          </w:tcPr>
          <w:p w14:paraId="0BF277F6">
            <w:pPr>
              <w:ind w:left="75"/>
              <w:jc w:val="center"/>
              <w:rPr>
                <w:kern w:val="2"/>
                <w14:ligatures w14:val="standardContextual"/>
              </w:rPr>
            </w:pPr>
            <w:r>
              <w:rPr>
                <w:rFonts w:ascii="微软雅黑" w:hAnsi="微软雅黑" w:eastAsia="微软雅黑" w:cs="微软雅黑"/>
                <w:kern w:val="2"/>
                <w:sz w:val="20"/>
                <w14:ligatures w14:val="standardContextual"/>
              </w:rPr>
              <w:t>规格型号</w:t>
            </w:r>
          </w:p>
        </w:tc>
        <w:tc>
          <w:tcPr>
            <w:tcW w:w="992" w:type="dxa"/>
            <w:tcBorders>
              <w:top w:val="single" w:color="000000" w:sz="2" w:space="0"/>
              <w:left w:val="single" w:color="000000" w:sz="2" w:space="0"/>
              <w:bottom w:val="single" w:color="000000" w:sz="2" w:space="0"/>
              <w:right w:val="single" w:color="000000" w:sz="2" w:space="0"/>
            </w:tcBorders>
            <w:vAlign w:val="center"/>
          </w:tcPr>
          <w:p w14:paraId="6FF0CB17">
            <w:pPr>
              <w:ind w:left="75"/>
              <w:jc w:val="center"/>
              <w:rPr>
                <w:rFonts w:hint="eastAsia" w:ascii="微软雅黑" w:hAnsi="微软雅黑" w:eastAsia="微软雅黑" w:cs="微软雅黑"/>
                <w:kern w:val="2"/>
                <w:sz w:val="20"/>
                <w14:ligatures w14:val="standardContextual"/>
              </w:rPr>
            </w:pPr>
            <w:r>
              <w:rPr>
                <w:rFonts w:ascii="微软雅黑" w:hAnsi="微软雅黑" w:eastAsia="微软雅黑" w:cs="微软雅黑"/>
                <w:kern w:val="2"/>
                <w:sz w:val="20"/>
                <w14:ligatures w14:val="standardContextual"/>
              </w:rPr>
              <w:t>单位</w:t>
            </w:r>
          </w:p>
        </w:tc>
        <w:tc>
          <w:tcPr>
            <w:tcW w:w="844" w:type="dxa"/>
            <w:tcBorders>
              <w:top w:val="single" w:color="000000" w:sz="2" w:space="0"/>
              <w:left w:val="single" w:color="000000" w:sz="2" w:space="0"/>
              <w:bottom w:val="single" w:color="000000" w:sz="2" w:space="0"/>
              <w:right w:val="single" w:color="000000" w:sz="2" w:space="0"/>
            </w:tcBorders>
            <w:vAlign w:val="center"/>
          </w:tcPr>
          <w:p w14:paraId="03AC3070">
            <w:pPr>
              <w:ind w:left="75"/>
              <w:jc w:val="center"/>
              <w:rPr>
                <w:rFonts w:hint="eastAsia" w:ascii="微软雅黑" w:hAnsi="微软雅黑" w:eastAsia="微软雅黑" w:cs="微软雅黑"/>
                <w:kern w:val="2"/>
                <w:sz w:val="20"/>
                <w14:ligatures w14:val="standardContextual"/>
              </w:rPr>
            </w:pPr>
            <w:r>
              <w:rPr>
                <w:rFonts w:ascii="微软雅黑" w:hAnsi="微软雅黑" w:eastAsia="微软雅黑" w:cs="微软雅黑"/>
                <w:kern w:val="2"/>
                <w:sz w:val="20"/>
                <w14:ligatures w14:val="standardContextual"/>
              </w:rPr>
              <w:t>工程量</w:t>
            </w:r>
          </w:p>
        </w:tc>
        <w:tc>
          <w:tcPr>
            <w:tcW w:w="809" w:type="dxa"/>
            <w:tcBorders>
              <w:top w:val="single" w:color="000000" w:sz="2" w:space="0"/>
              <w:left w:val="single" w:color="000000" w:sz="2" w:space="0"/>
              <w:bottom w:val="single" w:color="000000" w:sz="2" w:space="0"/>
              <w:right w:val="single" w:color="000000" w:sz="2" w:space="0"/>
            </w:tcBorders>
            <w:vAlign w:val="center"/>
          </w:tcPr>
          <w:p w14:paraId="7FCAEE8F">
            <w:pPr>
              <w:ind w:left="75"/>
              <w:jc w:val="center"/>
              <w:rPr>
                <w:rFonts w:hint="eastAsia" w:ascii="微软雅黑" w:hAnsi="微软雅黑" w:eastAsia="微软雅黑" w:cs="微软雅黑"/>
                <w:kern w:val="2"/>
                <w:sz w:val="20"/>
                <w14:ligatures w14:val="standardContextual"/>
              </w:rPr>
            </w:pPr>
            <w:r>
              <w:rPr>
                <w:rFonts w:ascii="微软雅黑" w:hAnsi="微软雅黑" w:eastAsia="微软雅黑" w:cs="微软雅黑"/>
                <w:kern w:val="2"/>
                <w:sz w:val="20"/>
                <w14:ligatures w14:val="standardContextual"/>
              </w:rPr>
              <w:t>单价</w:t>
            </w:r>
          </w:p>
        </w:tc>
        <w:tc>
          <w:tcPr>
            <w:tcW w:w="1069" w:type="dxa"/>
            <w:tcBorders>
              <w:top w:val="single" w:color="000000" w:sz="2" w:space="0"/>
              <w:left w:val="single" w:color="000000" w:sz="2" w:space="0"/>
              <w:bottom w:val="single" w:color="000000" w:sz="2" w:space="0"/>
              <w:right w:val="single" w:color="000000" w:sz="2" w:space="0"/>
            </w:tcBorders>
            <w:vAlign w:val="center"/>
          </w:tcPr>
          <w:p w14:paraId="272ED4CB">
            <w:pPr>
              <w:ind w:left="75"/>
              <w:jc w:val="center"/>
              <w:rPr>
                <w:rFonts w:hint="eastAsia" w:ascii="微软雅黑" w:hAnsi="微软雅黑" w:eastAsia="微软雅黑" w:cs="微软雅黑"/>
                <w:kern w:val="2"/>
                <w:sz w:val="20"/>
                <w14:ligatures w14:val="standardContextual"/>
              </w:rPr>
            </w:pPr>
            <w:r>
              <w:rPr>
                <w:rFonts w:ascii="微软雅黑" w:hAnsi="微软雅黑" w:eastAsia="微软雅黑" w:cs="微软雅黑"/>
                <w:kern w:val="2"/>
                <w:sz w:val="20"/>
                <w14:ligatures w14:val="standardContextual"/>
              </w:rPr>
              <w:t>合价</w:t>
            </w:r>
          </w:p>
        </w:tc>
      </w:tr>
      <w:tr w14:paraId="1C6BD8DE">
        <w:tblPrEx>
          <w:tblCellMar>
            <w:top w:w="93" w:type="dxa"/>
            <w:left w:w="0" w:type="dxa"/>
            <w:bottom w:w="0" w:type="dxa"/>
            <w:right w:w="21" w:type="dxa"/>
          </w:tblCellMar>
        </w:tblPrEx>
        <w:trPr>
          <w:trHeight w:val="963"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65D26EA6">
            <w:pPr>
              <w:ind w:left="68"/>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1</w:t>
            </w:r>
          </w:p>
        </w:tc>
        <w:tc>
          <w:tcPr>
            <w:tcW w:w="1654" w:type="dxa"/>
            <w:tcBorders>
              <w:top w:val="single" w:color="000000" w:sz="2" w:space="0"/>
              <w:left w:val="single" w:color="000000" w:sz="2" w:space="0"/>
              <w:bottom w:val="single" w:color="000000" w:sz="2" w:space="0"/>
              <w:right w:val="single" w:color="000000" w:sz="2" w:space="0"/>
            </w:tcBorders>
            <w:vAlign w:val="center"/>
          </w:tcPr>
          <w:p w14:paraId="54EBC293">
            <w:pPr>
              <w:ind w:left="52"/>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卧床耙松机</w:t>
            </w:r>
          </w:p>
        </w:tc>
        <w:tc>
          <w:tcPr>
            <w:tcW w:w="2977" w:type="dxa"/>
            <w:tcBorders>
              <w:top w:val="single" w:color="000000" w:sz="2" w:space="0"/>
              <w:left w:val="single" w:color="000000" w:sz="2" w:space="0"/>
              <w:bottom w:val="single" w:color="000000" w:sz="2" w:space="0"/>
              <w:right w:val="single" w:color="000000" w:sz="2" w:space="0"/>
            </w:tcBorders>
          </w:tcPr>
          <w:p w14:paraId="74394554">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折叠式卧床疏松机</w:t>
            </w:r>
          </w:p>
          <w:p w14:paraId="2031EC08">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3638A647">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kern w:val="2"/>
                <w:lang w:eastAsia="zh-CN"/>
                <w14:ligatures w14:val="standardContextual"/>
              </w:rPr>
              <w:t xml:space="preserve"> </w:t>
            </w:r>
            <w:r>
              <w:rPr>
                <w:rFonts w:ascii="微软雅黑" w:hAnsi="微软雅黑" w:eastAsia="微软雅黑" w:cs="微软雅黑"/>
                <w:kern w:val="2"/>
                <w:sz w:val="18"/>
                <w:lang w:eastAsia="zh-CN"/>
                <w14:ligatures w14:val="standardContextual"/>
              </w:rPr>
              <w:t>35-60</w:t>
            </w:r>
            <w:r>
              <w:rPr>
                <w:rFonts w:hint="eastAsia" w:ascii="微软雅黑" w:hAnsi="微软雅黑" w:eastAsia="微软雅黑" w:cs="微软雅黑"/>
                <w:kern w:val="2"/>
                <w:sz w:val="18"/>
                <w:lang w:eastAsia="zh-CN"/>
                <w14:ligatures w14:val="standardContextual"/>
              </w:rPr>
              <w:t>马力拖拉机</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带后输出</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双离合</w:t>
            </w:r>
            <w:r>
              <w:rPr>
                <w:rFonts w:ascii="微软雅黑" w:hAnsi="微软雅黑" w:eastAsia="微软雅黑" w:cs="微软雅黑"/>
                <w:kern w:val="2"/>
                <w:sz w:val="18"/>
                <w:lang w:eastAsia="zh-CN"/>
                <w14:ligatures w14:val="standardContextual"/>
              </w:rPr>
              <w:t>) 、</w:t>
            </w:r>
            <w:r>
              <w:rPr>
                <w:rFonts w:hint="eastAsia" w:ascii="微软雅黑" w:hAnsi="微软雅黑" w:eastAsia="微软雅黑" w:cs="微软雅黑"/>
                <w:kern w:val="2"/>
                <w:sz w:val="18"/>
                <w:lang w:eastAsia="zh-CN"/>
                <w14:ligatures w14:val="standardContextual"/>
              </w:rPr>
              <w:t>刀片正</w:t>
            </w:r>
            <w:r>
              <w:rPr>
                <w:rFonts w:ascii="微软雅黑" w:hAnsi="微软雅黑" w:eastAsia="微软雅黑" w:cs="微软雅黑"/>
                <w:kern w:val="2"/>
                <w:sz w:val="18"/>
                <w:lang w:eastAsia="zh-CN"/>
                <w14:ligatures w14:val="standardContextual"/>
              </w:rPr>
              <w:t>10</w:t>
            </w:r>
            <w:r>
              <w:rPr>
                <w:rFonts w:hint="eastAsia" w:ascii="微软雅黑" w:hAnsi="微软雅黑" w:eastAsia="微软雅黑" w:cs="微软雅黑"/>
                <w:kern w:val="2"/>
                <w:sz w:val="18"/>
                <w:lang w:eastAsia="zh-CN"/>
                <w14:ligatures w14:val="standardContextual"/>
              </w:rPr>
              <w:t>片，反</w:t>
            </w:r>
            <w:r>
              <w:rPr>
                <w:rFonts w:ascii="微软雅黑" w:hAnsi="微软雅黑" w:eastAsia="微软雅黑" w:cs="微软雅黑"/>
                <w:kern w:val="2"/>
                <w:sz w:val="18"/>
                <w:lang w:eastAsia="zh-CN"/>
                <w14:ligatures w14:val="standardContextual"/>
              </w:rPr>
              <w:t>10</w:t>
            </w:r>
            <w:r>
              <w:rPr>
                <w:rFonts w:hint="eastAsia" w:ascii="微软雅黑" w:hAnsi="微软雅黑" w:eastAsia="微软雅黑" w:cs="微软雅黑"/>
                <w:kern w:val="2"/>
                <w:sz w:val="18"/>
                <w:lang w:eastAsia="zh-CN"/>
                <w14:ligatures w14:val="standardContextual"/>
              </w:rPr>
              <w:t>片</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刀片材质为锰钢</w:t>
            </w:r>
            <w:r>
              <w:rPr>
                <w:rFonts w:ascii="微软雅黑" w:hAnsi="微软雅黑" w:eastAsia="微软雅黑" w:cs="微软雅黑"/>
                <w:kern w:val="2"/>
                <w:sz w:val="18"/>
                <w:lang w:eastAsia="zh-CN"/>
                <w14:ligatures w14:val="standardContextual"/>
              </w:rPr>
              <w:t>65Mn</w:t>
            </w:r>
          </w:p>
        </w:tc>
        <w:tc>
          <w:tcPr>
            <w:tcW w:w="992" w:type="dxa"/>
            <w:tcBorders>
              <w:top w:val="single" w:color="000000" w:sz="2" w:space="0"/>
              <w:left w:val="single" w:color="000000" w:sz="2" w:space="0"/>
              <w:bottom w:val="single" w:color="000000" w:sz="2" w:space="0"/>
              <w:right w:val="single" w:color="000000" w:sz="2" w:space="0"/>
            </w:tcBorders>
            <w:vAlign w:val="center"/>
          </w:tcPr>
          <w:p w14:paraId="364FD48D">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2F99E823">
            <w:pPr>
              <w:ind w:left="42"/>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3E6B420F">
            <w:pPr>
              <w:ind w:left="43"/>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33D20DE5">
            <w:pPr>
              <w:ind w:left="54"/>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0F594C3D">
        <w:tblPrEx>
          <w:tblCellMar>
            <w:top w:w="93" w:type="dxa"/>
            <w:left w:w="0" w:type="dxa"/>
            <w:bottom w:w="0" w:type="dxa"/>
            <w:right w:w="21" w:type="dxa"/>
          </w:tblCellMar>
        </w:tblPrEx>
        <w:trPr>
          <w:trHeight w:val="1848"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706B8BD8">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2</w:t>
            </w:r>
          </w:p>
        </w:tc>
        <w:tc>
          <w:tcPr>
            <w:tcW w:w="1654" w:type="dxa"/>
            <w:tcBorders>
              <w:top w:val="single" w:color="000000" w:sz="2" w:space="0"/>
              <w:left w:val="single" w:color="000000" w:sz="2" w:space="0"/>
              <w:bottom w:val="single" w:color="000000" w:sz="2" w:space="0"/>
              <w:right w:val="single" w:color="000000" w:sz="2" w:space="0"/>
            </w:tcBorders>
            <w:vAlign w:val="center"/>
          </w:tcPr>
          <w:p w14:paraId="68E0DD72">
            <w:pPr>
              <w:ind w:left="52"/>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卧床垫料抛洒车</w:t>
            </w:r>
          </w:p>
        </w:tc>
        <w:tc>
          <w:tcPr>
            <w:tcW w:w="2977" w:type="dxa"/>
            <w:tcBorders>
              <w:top w:val="single" w:color="000000" w:sz="2" w:space="0"/>
              <w:left w:val="single" w:color="000000" w:sz="2" w:space="0"/>
              <w:bottom w:val="single" w:color="000000" w:sz="2" w:space="0"/>
              <w:right w:val="single" w:color="000000" w:sz="2" w:space="0"/>
            </w:tcBorders>
            <w:vAlign w:val="center"/>
          </w:tcPr>
          <w:p w14:paraId="159C418C">
            <w:pPr>
              <w:ind w:left="59"/>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lang w:eastAsia="zh-CN"/>
                <w14:ligatures w14:val="standardContextual"/>
              </w:rPr>
              <w:t>1.名称：</w:t>
            </w:r>
            <w:r>
              <w:rPr>
                <w:rFonts w:hint="eastAsia" w:ascii="微软雅黑" w:hAnsi="微软雅黑" w:eastAsia="微软雅黑" w:cs="微软雅黑"/>
                <w:kern w:val="2"/>
                <w:sz w:val="18"/>
                <w:lang w:eastAsia="zh-CN"/>
                <w14:ligatures w14:val="standardContextual"/>
              </w:rPr>
              <w:t>卧床垫料抛洒车</w:t>
            </w:r>
          </w:p>
          <w:p w14:paraId="268B5740">
            <w:pPr>
              <w:ind w:left="45"/>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lang w:eastAsia="zh-CN"/>
                <w14:ligatures w14:val="standardContextual"/>
              </w:rPr>
              <w:t>2</w:t>
            </w:r>
            <w:r>
              <w:rPr>
                <w:rFonts w:hint="eastAsia" w:ascii="微软雅黑" w:hAnsi="微软雅黑" w:eastAsia="微软雅黑" w:cs="微软雅黑"/>
                <w:kern w:val="2"/>
                <w:sz w:val="18"/>
                <w:lang w:eastAsia="zh-CN"/>
                <w14:ligatures w14:val="standardContextual"/>
              </w:rPr>
              <w:t>.</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50B6F603">
            <w:pPr>
              <w:ind w:left="45"/>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lang w:eastAsia="zh-CN"/>
                <w14:ligatures w14:val="standardContextual"/>
              </w:rPr>
              <w:t>3</w:t>
            </w:r>
            <w:r>
              <w:rPr>
                <w:rFonts w:hint="eastAsia" w:ascii="微软雅黑" w:hAnsi="微软雅黑" w:eastAsia="微软雅黑" w:cs="微软雅黑"/>
                <w:kern w:val="2"/>
                <w:sz w:val="18"/>
                <w:lang w:eastAsia="zh-CN"/>
                <w14:ligatures w14:val="standardContextual"/>
              </w:rPr>
              <w:t>.</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自走</w:t>
            </w:r>
            <w:r>
              <w:rPr>
                <w:rFonts w:ascii="微软雅黑" w:hAnsi="微软雅黑" w:eastAsia="微软雅黑" w:cs="微软雅黑"/>
                <w:kern w:val="2"/>
                <w:sz w:val="18"/>
                <w:lang w:eastAsia="zh-CN"/>
                <w14:ligatures w14:val="standardContextual"/>
              </w:rPr>
              <w:t>式、</w:t>
            </w:r>
            <w:r>
              <w:rPr>
                <w:rFonts w:hint="eastAsia" w:ascii="微软雅黑" w:hAnsi="微软雅黑" w:eastAsia="微软雅黑" w:cs="微软雅黑"/>
                <w:kern w:val="2"/>
                <w:sz w:val="18"/>
                <w:lang w:eastAsia="zh-CN"/>
                <w14:ligatures w14:val="standardContextual"/>
              </w:rPr>
              <w:t>28马力</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莱动发动机</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刮板链条出料</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皮带式抛料</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 xml:space="preserve">抛料速度30-50m/分  </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抛料距离0-2.5米</w:t>
            </w:r>
          </w:p>
        </w:tc>
        <w:tc>
          <w:tcPr>
            <w:tcW w:w="992" w:type="dxa"/>
            <w:tcBorders>
              <w:top w:val="single" w:color="000000" w:sz="2" w:space="0"/>
              <w:left w:val="single" w:color="000000" w:sz="2" w:space="0"/>
              <w:bottom w:val="single" w:color="000000" w:sz="2" w:space="0"/>
              <w:right w:val="single" w:color="000000" w:sz="2" w:space="0"/>
            </w:tcBorders>
          </w:tcPr>
          <w:p w14:paraId="5BEFF431">
            <w:pPr>
              <w:jc w:val="center"/>
              <w:rPr>
                <w:rFonts w:hint="eastAsia" w:ascii="微软雅黑" w:hAnsi="微软雅黑" w:eastAsia="微软雅黑" w:cs="微软雅黑"/>
                <w:kern w:val="2"/>
                <w:sz w:val="18"/>
                <w:lang w:eastAsia="zh-CN"/>
                <w14:ligatures w14:val="standardContextual"/>
              </w:rPr>
            </w:pPr>
          </w:p>
          <w:p w14:paraId="55D58006">
            <w:pPr>
              <w:jc w:val="center"/>
              <w:rPr>
                <w:rFonts w:hint="eastAsia" w:ascii="微软雅黑" w:hAnsi="微软雅黑" w:eastAsia="微软雅黑" w:cs="微软雅黑"/>
                <w:kern w:val="2"/>
                <w:sz w:val="18"/>
                <w:lang w:eastAsia="zh-CN"/>
                <w14:ligatures w14:val="standardContextual"/>
              </w:rPr>
            </w:pPr>
          </w:p>
          <w:p w14:paraId="1608B486">
            <w:pPr>
              <w:jc w:val="center"/>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67022D94">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599B69BF">
            <w:pPr>
              <w:ind w:left="2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3A349C34">
            <w:pPr>
              <w:ind w:left="3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2D94193D">
        <w:tblPrEx>
          <w:tblCellMar>
            <w:top w:w="93" w:type="dxa"/>
            <w:left w:w="0" w:type="dxa"/>
            <w:bottom w:w="0" w:type="dxa"/>
            <w:right w:w="21" w:type="dxa"/>
          </w:tblCellMar>
        </w:tblPrEx>
        <w:trPr>
          <w:trHeight w:val="1485"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6FCE6F5D">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3</w:t>
            </w:r>
          </w:p>
        </w:tc>
        <w:tc>
          <w:tcPr>
            <w:tcW w:w="1654" w:type="dxa"/>
            <w:tcBorders>
              <w:top w:val="single" w:color="000000" w:sz="2" w:space="0"/>
              <w:left w:val="single" w:color="000000" w:sz="2" w:space="0"/>
              <w:bottom w:val="single" w:color="000000" w:sz="2" w:space="0"/>
              <w:right w:val="single" w:color="000000" w:sz="2" w:space="0"/>
            </w:tcBorders>
            <w:vAlign w:val="center"/>
          </w:tcPr>
          <w:p w14:paraId="5D932D42">
            <w:pPr>
              <w:ind w:left="52"/>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电动修蹄机</w:t>
            </w:r>
          </w:p>
        </w:tc>
        <w:tc>
          <w:tcPr>
            <w:tcW w:w="2977" w:type="dxa"/>
            <w:tcBorders>
              <w:top w:val="single" w:color="000000" w:sz="2" w:space="0"/>
              <w:left w:val="single" w:color="000000" w:sz="2" w:space="0"/>
              <w:bottom w:val="single" w:color="000000" w:sz="2" w:space="0"/>
              <w:right w:val="single" w:color="000000" w:sz="2" w:space="0"/>
            </w:tcBorders>
            <w:vAlign w:val="center"/>
          </w:tcPr>
          <w:p w14:paraId="0D7F6493">
            <w:pPr>
              <w:ind w:left="40"/>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立式修蹄机</w:t>
            </w:r>
          </w:p>
          <w:p w14:paraId="06EADA1A">
            <w:pPr>
              <w:ind w:left="40"/>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7ABDC1A0">
            <w:pPr>
              <w:ind w:left="40"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配置：配套动力〈</w:t>
            </w:r>
            <w:r>
              <w:rPr>
                <w:rFonts w:hint="eastAsia"/>
                <w:kern w:val="2"/>
                <w:lang w:eastAsia="zh-CN"/>
                <w14:ligatures w14:val="standardContextual"/>
              </w:rPr>
              <w:t xml:space="preserve"> </w:t>
            </w:r>
            <w:r>
              <w:rPr>
                <w:rFonts w:hint="eastAsia" w:ascii="微软雅黑" w:hAnsi="微软雅黑" w:eastAsia="微软雅黑" w:cs="微软雅黑"/>
                <w:kern w:val="2"/>
                <w:sz w:val="18"/>
                <w:lang w:eastAsia="zh-CN"/>
                <w14:ligatures w14:val="standardContextual"/>
              </w:rPr>
              <w:t>9.32（角蹄固定0.98kwx4+0.2kW＋腹带驱动2. 2kW＋液压3. 0kW</w:t>
            </w:r>
            <w:r>
              <w:rPr>
                <w:rFonts w:ascii="微软雅黑" w:hAnsi="微软雅黑" w:eastAsia="微软雅黑" w:cs="微软雅黑"/>
                <w:kern w:val="2"/>
                <w:sz w:val="18"/>
                <w:lang w:eastAsia="zh-CN"/>
                <w14:ligatures w14:val="standardContextual"/>
              </w:rPr>
              <w:t xml:space="preserve"> 〉</w:t>
            </w:r>
            <w:r>
              <w:rPr>
                <w:rFonts w:hint="eastAsia" w:ascii="微软雅黑" w:hAnsi="微软雅黑" w:eastAsia="微软雅黑" w:cs="微软雅黑"/>
                <w:kern w:val="2"/>
                <w:sz w:val="18"/>
                <w:lang w:eastAsia="zh-CN"/>
                <w14:ligatures w14:val="standardContextual"/>
              </w:rPr>
              <w:t>齿轮泵液压、机械式腹带驱动、机械式角蹄固定、最大承重</w:t>
            </w:r>
            <w:r>
              <w:rPr>
                <w:kern w:val="2"/>
                <w:lang w:eastAsia="zh-CN"/>
                <w14:ligatures w14:val="standardContextual"/>
              </w:rPr>
              <w:t xml:space="preserve"> </w:t>
            </w:r>
            <w:r>
              <w:rPr>
                <w:rFonts w:ascii="微软雅黑" w:hAnsi="微软雅黑" w:eastAsia="微软雅黑" w:cs="微软雅黑"/>
                <w:kern w:val="2"/>
                <w:sz w:val="18"/>
                <w:lang w:eastAsia="zh-CN"/>
                <w14:ligatures w14:val="standardContextual"/>
              </w:rPr>
              <w:t>2000</w:t>
            </w:r>
            <w:r>
              <w:rPr>
                <w:rFonts w:hint="eastAsia" w:ascii="微软雅黑" w:hAnsi="微软雅黑" w:eastAsia="微软雅黑" w:cs="微软雅黑"/>
                <w:kern w:val="2"/>
                <w:sz w:val="18"/>
                <w:lang w:eastAsia="zh-CN"/>
                <w14:ligatures w14:val="standardContextual"/>
              </w:rPr>
              <w:t>kg</w:t>
            </w:r>
          </w:p>
        </w:tc>
        <w:tc>
          <w:tcPr>
            <w:tcW w:w="992" w:type="dxa"/>
            <w:tcBorders>
              <w:top w:val="single" w:color="000000" w:sz="2" w:space="0"/>
              <w:left w:val="single" w:color="000000" w:sz="2" w:space="0"/>
              <w:bottom w:val="single" w:color="000000" w:sz="2" w:space="0"/>
              <w:right w:val="single" w:color="000000" w:sz="2" w:space="0"/>
            </w:tcBorders>
          </w:tcPr>
          <w:p w14:paraId="37EE00A5">
            <w:pPr>
              <w:jc w:val="center"/>
              <w:rPr>
                <w:rFonts w:hint="eastAsia" w:ascii="微软雅黑" w:hAnsi="微软雅黑" w:eastAsia="微软雅黑" w:cs="微软雅黑"/>
                <w:kern w:val="2"/>
                <w:sz w:val="18"/>
                <w:lang w:eastAsia="zh-CN"/>
                <w14:ligatures w14:val="standardContextual"/>
              </w:rPr>
            </w:pPr>
          </w:p>
          <w:p w14:paraId="2995A772">
            <w:pPr>
              <w:jc w:val="center"/>
              <w:rPr>
                <w:rFonts w:hint="eastAsia" w:ascii="微软雅黑" w:hAnsi="微软雅黑" w:eastAsia="微软雅黑" w:cs="微软雅黑"/>
                <w:kern w:val="2"/>
                <w:sz w:val="18"/>
                <w:lang w:eastAsia="zh-CN"/>
                <w14:ligatures w14:val="standardContextual"/>
              </w:rPr>
            </w:pPr>
          </w:p>
          <w:p w14:paraId="1E89CBD6">
            <w:pPr>
              <w:jc w:val="center"/>
              <w:rPr>
                <w:rFonts w:hint="eastAsia" w:ascii="微软雅黑" w:hAnsi="微软雅黑" w:eastAsia="微软雅黑" w:cs="微软雅黑"/>
                <w:kern w:val="2"/>
                <w:sz w:val="18"/>
                <w:lang w:eastAsia="zh-CN"/>
                <w14:ligatures w14:val="standardContextual"/>
              </w:rPr>
            </w:pPr>
          </w:p>
          <w:p w14:paraId="5CBA2171">
            <w:pPr>
              <w:jc w:val="center"/>
              <w:rPr>
                <w:rFonts w:hint="eastAsia" w:ascii="微软雅黑" w:hAnsi="微软雅黑" w:eastAsia="微软雅黑" w:cs="微软雅黑"/>
                <w:kern w:val="2"/>
                <w:sz w:val="18"/>
                <w:lang w:eastAsia="zh-CN"/>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6BA1D1E0">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39FD78CF">
            <w:pPr>
              <w:ind w:left="1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4C106F8C">
            <w:pPr>
              <w:ind w:left="15"/>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24BD223A">
        <w:tblPrEx>
          <w:tblCellMar>
            <w:top w:w="93" w:type="dxa"/>
            <w:left w:w="0" w:type="dxa"/>
            <w:bottom w:w="0" w:type="dxa"/>
            <w:right w:w="21" w:type="dxa"/>
          </w:tblCellMar>
        </w:tblPrEx>
        <w:trPr>
          <w:trHeight w:val="1263"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259908A9">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4</w:t>
            </w:r>
          </w:p>
        </w:tc>
        <w:tc>
          <w:tcPr>
            <w:tcW w:w="1654" w:type="dxa"/>
            <w:tcBorders>
              <w:top w:val="single" w:color="000000" w:sz="2" w:space="0"/>
              <w:left w:val="single" w:color="000000" w:sz="2" w:space="0"/>
              <w:bottom w:val="single" w:color="000000" w:sz="2" w:space="0"/>
              <w:right w:val="single" w:color="000000" w:sz="2" w:space="0"/>
            </w:tcBorders>
            <w:vAlign w:val="center"/>
          </w:tcPr>
          <w:p w14:paraId="7AEE0A84">
            <w:pPr>
              <w:ind w:left="47"/>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青贮收割机</w:t>
            </w:r>
          </w:p>
        </w:tc>
        <w:tc>
          <w:tcPr>
            <w:tcW w:w="2977" w:type="dxa"/>
            <w:tcBorders>
              <w:top w:val="single" w:color="000000" w:sz="2" w:space="0"/>
              <w:left w:val="single" w:color="000000" w:sz="2" w:space="0"/>
              <w:bottom w:val="single" w:color="000000" w:sz="2" w:space="0"/>
              <w:right w:val="single" w:color="000000" w:sz="2" w:space="0"/>
            </w:tcBorders>
            <w:vAlign w:val="center"/>
          </w:tcPr>
          <w:p w14:paraId="191662F7">
            <w:pPr>
              <w:ind w:left="5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自走式青饲料收获机</w:t>
            </w:r>
          </w:p>
          <w:p w14:paraId="0ADF5EB2">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kern w:val="2"/>
                <w:lang w:val="en-US" w:eastAsia="zh-CN"/>
                <w14:ligatures w14:val="standardContextual"/>
              </w:rPr>
              <w:t>/</w:t>
            </w:r>
          </w:p>
          <w:p w14:paraId="364098A6">
            <w:pPr>
              <w:ind w:left="45"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直切割台</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圆盘式割刀</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喂入辊</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滚筒式秸秆切碎、对辊式籽粒破碎、手动变速</w:t>
            </w:r>
          </w:p>
        </w:tc>
        <w:tc>
          <w:tcPr>
            <w:tcW w:w="992" w:type="dxa"/>
            <w:tcBorders>
              <w:top w:val="single" w:color="000000" w:sz="2" w:space="0"/>
              <w:left w:val="single" w:color="000000" w:sz="2" w:space="0"/>
              <w:bottom w:val="single" w:color="000000" w:sz="2" w:space="0"/>
              <w:right w:val="single" w:color="000000" w:sz="2" w:space="0"/>
            </w:tcBorders>
            <w:vAlign w:val="center"/>
          </w:tcPr>
          <w:p w14:paraId="672CE4CE">
            <w:pPr>
              <w:ind w:left="2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40529E22">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3C895C63">
            <w:pPr>
              <w:ind w:left="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7CAA1A3A">
            <w:pPr>
              <w:ind w:right="1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3B6AFD5E">
        <w:tblPrEx>
          <w:tblCellMar>
            <w:top w:w="93" w:type="dxa"/>
            <w:left w:w="0" w:type="dxa"/>
            <w:bottom w:w="0" w:type="dxa"/>
            <w:right w:w="21" w:type="dxa"/>
          </w:tblCellMar>
        </w:tblPrEx>
        <w:trPr>
          <w:trHeight w:val="144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06D6C7FE">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5</w:t>
            </w:r>
          </w:p>
        </w:tc>
        <w:tc>
          <w:tcPr>
            <w:tcW w:w="1654" w:type="dxa"/>
            <w:tcBorders>
              <w:top w:val="single" w:color="000000" w:sz="2" w:space="0"/>
              <w:left w:val="single" w:color="000000" w:sz="2" w:space="0"/>
              <w:bottom w:val="single" w:color="000000" w:sz="2" w:space="0"/>
              <w:right w:val="single" w:color="000000" w:sz="2" w:space="0"/>
            </w:tcBorders>
            <w:vAlign w:val="center"/>
          </w:tcPr>
          <w:p w14:paraId="78C3023C">
            <w:pPr>
              <w:ind w:left="3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6吨制冷罐</w:t>
            </w:r>
          </w:p>
        </w:tc>
        <w:tc>
          <w:tcPr>
            <w:tcW w:w="2977" w:type="dxa"/>
            <w:tcBorders>
              <w:top w:val="single" w:color="000000" w:sz="2" w:space="0"/>
              <w:left w:val="single" w:color="000000" w:sz="2" w:space="0"/>
              <w:bottom w:val="single" w:color="000000" w:sz="2" w:space="0"/>
              <w:right w:val="single" w:color="000000" w:sz="2" w:space="0"/>
            </w:tcBorders>
            <w:vAlign w:val="center"/>
          </w:tcPr>
          <w:p w14:paraId="6C39A304">
            <w:pPr>
              <w:ind w:left="5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鲜奶制冷罐</w:t>
            </w:r>
          </w:p>
          <w:p w14:paraId="7A2FCDF4">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eastAsia="zh-CN"/>
                <w14:ligatures w14:val="standardContextual"/>
              </w:rPr>
              <w:t>6000L鲜奶制冷罐</w:t>
            </w:r>
          </w:p>
          <w:p w14:paraId="16FD1370">
            <w:pPr>
              <w:ind w:left="40"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ZB45涡旋六匹压缩机组2套</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食品级304不锈钢。</w:t>
            </w:r>
          </w:p>
        </w:tc>
        <w:tc>
          <w:tcPr>
            <w:tcW w:w="992" w:type="dxa"/>
            <w:tcBorders>
              <w:top w:val="single" w:color="000000" w:sz="2" w:space="0"/>
              <w:left w:val="single" w:color="000000" w:sz="2" w:space="0"/>
              <w:bottom w:val="single" w:color="000000" w:sz="2" w:space="0"/>
              <w:right w:val="single" w:color="000000" w:sz="2" w:space="0"/>
            </w:tcBorders>
            <w:vAlign w:val="center"/>
          </w:tcPr>
          <w:p w14:paraId="05DF64AA">
            <w:pPr>
              <w:ind w:left="2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套</w:t>
            </w:r>
          </w:p>
        </w:tc>
        <w:tc>
          <w:tcPr>
            <w:tcW w:w="844" w:type="dxa"/>
            <w:tcBorders>
              <w:top w:val="single" w:color="000000" w:sz="2" w:space="0"/>
              <w:left w:val="single" w:color="000000" w:sz="2" w:space="0"/>
              <w:bottom w:val="single" w:color="000000" w:sz="2" w:space="0"/>
              <w:right w:val="single" w:color="000000" w:sz="2" w:space="0"/>
            </w:tcBorders>
            <w:vAlign w:val="center"/>
          </w:tcPr>
          <w:p w14:paraId="66259157">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4A45B0AA">
            <w:pPr>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6E973F79">
            <w:pPr>
              <w:ind w:right="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4D2C10F3">
        <w:tblPrEx>
          <w:tblCellMar>
            <w:top w:w="93" w:type="dxa"/>
            <w:left w:w="0" w:type="dxa"/>
            <w:bottom w:w="0" w:type="dxa"/>
            <w:right w:w="21" w:type="dxa"/>
          </w:tblCellMar>
        </w:tblPrEx>
        <w:trPr>
          <w:trHeight w:val="183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1286D518">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6</w:t>
            </w:r>
          </w:p>
        </w:tc>
        <w:tc>
          <w:tcPr>
            <w:tcW w:w="1654" w:type="dxa"/>
            <w:tcBorders>
              <w:top w:val="single" w:color="000000" w:sz="2" w:space="0"/>
              <w:left w:val="single" w:color="000000" w:sz="2" w:space="0"/>
              <w:bottom w:val="single" w:color="000000" w:sz="2" w:space="0"/>
              <w:right w:val="single" w:color="000000" w:sz="2" w:space="0"/>
            </w:tcBorders>
            <w:vAlign w:val="center"/>
          </w:tcPr>
          <w:p w14:paraId="59A9BA4E">
            <w:pPr>
              <w:ind w:left="28"/>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场区消毒车</w:t>
            </w:r>
          </w:p>
        </w:tc>
        <w:tc>
          <w:tcPr>
            <w:tcW w:w="2977" w:type="dxa"/>
            <w:tcBorders>
              <w:top w:val="single" w:color="000000" w:sz="2" w:space="0"/>
              <w:left w:val="single" w:color="000000" w:sz="2" w:space="0"/>
              <w:bottom w:val="single" w:color="000000" w:sz="2" w:space="0"/>
              <w:right w:val="single" w:color="000000" w:sz="2" w:space="0"/>
            </w:tcBorders>
            <w:vAlign w:val="center"/>
          </w:tcPr>
          <w:p w14:paraId="5F5D3234">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厂区消毒车</w:t>
            </w:r>
          </w:p>
          <w:p w14:paraId="155BD600">
            <w:pPr>
              <w:ind w:left="35"/>
              <w:rPr>
                <w:rFonts w:hint="default" w:ascii="微软雅黑" w:hAnsi="微软雅黑" w:eastAsia="微软雅黑" w:cs="微软雅黑"/>
                <w:kern w:val="2"/>
                <w:sz w:val="18"/>
                <w:lang w:val="en-US"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6E5E97E5">
            <w:pPr>
              <w:spacing w:after="26"/>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kern w:val="2"/>
                <w:lang w:eastAsia="zh-CN"/>
                <w14:ligatures w14:val="standardContextual"/>
              </w:rPr>
              <w:t xml:space="preserve"> </w:t>
            </w:r>
            <w:r>
              <w:rPr>
                <w:rFonts w:hint="eastAsia" w:ascii="微软雅黑" w:hAnsi="微软雅黑" w:eastAsia="微软雅黑" w:cs="微软雅黑"/>
                <w:kern w:val="2"/>
                <w:sz w:val="18"/>
                <w:lang w:eastAsia="zh-CN"/>
                <w14:ligatures w14:val="standardContextual"/>
              </w:rPr>
              <w:t>95马力柴油发动机、油刹车、方向助力、消毒功能</w:t>
            </w:r>
            <w:r>
              <w:rPr>
                <w:rFonts w:ascii="微软雅黑" w:hAnsi="微软雅黑" w:eastAsia="微软雅黑" w:cs="微软雅黑"/>
                <w:kern w:val="2"/>
                <w:sz w:val="18"/>
                <w:lang w:eastAsia="zh-CN"/>
                <w14:ligatures w14:val="standardContextual"/>
              </w:rPr>
              <w:t>〈</w:t>
            </w:r>
            <w:r>
              <w:rPr>
                <w:rFonts w:hint="eastAsia" w:ascii="微软雅黑" w:hAnsi="微软雅黑" w:eastAsia="微软雅黑" w:cs="微软雅黑"/>
                <w:kern w:val="2"/>
                <w:sz w:val="18"/>
                <w:lang w:eastAsia="zh-CN"/>
                <w14:ligatures w14:val="standardContextual"/>
              </w:rPr>
              <w:t>前冲、侧洒、后洒、高炮、雾炮、消防栓接头</w:t>
            </w:r>
            <w:r>
              <w:rPr>
                <w:rFonts w:ascii="微软雅黑" w:hAnsi="微软雅黑" w:eastAsia="微软雅黑" w:cs="微软雅黑"/>
                <w:kern w:val="2"/>
                <w:sz w:val="18"/>
                <w:lang w:eastAsia="zh-CN"/>
                <w14:ligatures w14:val="standardContextual"/>
              </w:rPr>
              <w:t>〉</w:t>
            </w:r>
          </w:p>
        </w:tc>
        <w:tc>
          <w:tcPr>
            <w:tcW w:w="992" w:type="dxa"/>
            <w:tcBorders>
              <w:top w:val="single" w:color="000000" w:sz="2" w:space="0"/>
              <w:left w:val="single" w:color="000000" w:sz="2" w:space="0"/>
              <w:bottom w:val="single" w:color="000000" w:sz="2" w:space="0"/>
              <w:right w:val="single" w:color="000000" w:sz="2" w:space="0"/>
            </w:tcBorders>
            <w:vAlign w:val="center"/>
          </w:tcPr>
          <w:p w14:paraId="3DF60C06">
            <w:pPr>
              <w:ind w:left="33"/>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2338284F">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3C6F2848">
            <w:pPr>
              <w:ind w:left="2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0F6913DF">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3AFD0F32">
        <w:tblPrEx>
          <w:tblCellMar>
            <w:top w:w="93" w:type="dxa"/>
            <w:left w:w="0" w:type="dxa"/>
            <w:bottom w:w="0" w:type="dxa"/>
            <w:right w:w="21" w:type="dxa"/>
          </w:tblCellMar>
        </w:tblPrEx>
        <w:trPr>
          <w:trHeight w:val="1464"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2E932A4C">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7</w:t>
            </w:r>
          </w:p>
        </w:tc>
        <w:tc>
          <w:tcPr>
            <w:tcW w:w="1654" w:type="dxa"/>
            <w:tcBorders>
              <w:top w:val="single" w:color="000000" w:sz="2" w:space="0"/>
              <w:left w:val="single" w:color="000000" w:sz="2" w:space="0"/>
              <w:bottom w:val="single" w:color="000000" w:sz="2" w:space="0"/>
              <w:right w:val="single" w:color="000000" w:sz="2" w:space="0"/>
            </w:tcBorders>
            <w:vAlign w:val="center"/>
          </w:tcPr>
          <w:p w14:paraId="5ECA6E4A">
            <w:pPr>
              <w:ind w:left="23"/>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分体式电磁热水器</w:t>
            </w:r>
          </w:p>
        </w:tc>
        <w:tc>
          <w:tcPr>
            <w:tcW w:w="2977" w:type="dxa"/>
            <w:tcBorders>
              <w:top w:val="single" w:color="000000" w:sz="2" w:space="0"/>
              <w:left w:val="single" w:color="000000" w:sz="2" w:space="0"/>
              <w:bottom w:val="single" w:color="000000" w:sz="2" w:space="0"/>
              <w:right w:val="single" w:color="000000" w:sz="2" w:space="0"/>
            </w:tcBorders>
            <w:vAlign w:val="center"/>
          </w:tcPr>
          <w:p w14:paraId="16F5EE11">
            <w:pPr>
              <w:ind w:left="40"/>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1.智能变频磁电热水系统</w:t>
            </w:r>
          </w:p>
          <w:p w14:paraId="73BACC34">
            <w:pPr>
              <w:ind w:left="21"/>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val="en-US" w:eastAsia="zh-CN"/>
                <w14:ligatures w14:val="standardContextual"/>
              </w:rPr>
              <w:t>/</w:t>
            </w:r>
          </w:p>
          <w:p w14:paraId="6038D269">
            <w:pPr>
              <w:ind w:left="21" w:right="152"/>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：加热功率</w:t>
            </w:r>
            <w:r>
              <w:rPr>
                <w:rFonts w:ascii="微软雅黑" w:hAnsi="微软雅黑" w:eastAsia="微软雅黑" w:cs="微软雅黑"/>
                <w:kern w:val="2"/>
                <w:sz w:val="18"/>
                <w:lang w:eastAsia="zh-CN"/>
                <w14:ligatures w14:val="standardContextual"/>
              </w:rPr>
              <w:t>30KW</w:t>
            </w:r>
          </w:p>
        </w:tc>
        <w:tc>
          <w:tcPr>
            <w:tcW w:w="992" w:type="dxa"/>
            <w:tcBorders>
              <w:top w:val="single" w:color="000000" w:sz="2" w:space="0"/>
              <w:left w:val="single" w:color="000000" w:sz="2" w:space="0"/>
              <w:bottom w:val="single" w:color="000000" w:sz="2" w:space="0"/>
              <w:right w:val="single" w:color="000000" w:sz="2" w:space="0"/>
            </w:tcBorders>
            <w:vAlign w:val="center"/>
          </w:tcPr>
          <w:p w14:paraId="7EECF928">
            <w:pPr>
              <w:ind w:left="33"/>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641F6CC3">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249C7126">
            <w:pPr>
              <w:ind w:left="1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20AD7F65">
            <w:pPr>
              <w:ind w:left="6"/>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1B978D7A">
        <w:tblPrEx>
          <w:tblCellMar>
            <w:top w:w="93" w:type="dxa"/>
            <w:left w:w="0" w:type="dxa"/>
            <w:bottom w:w="0" w:type="dxa"/>
            <w:right w:w="21" w:type="dxa"/>
          </w:tblCellMar>
        </w:tblPrEx>
        <w:trPr>
          <w:trHeight w:val="1273"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193CD246">
            <w:pPr>
              <w:ind w:left="68"/>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8</w:t>
            </w:r>
          </w:p>
        </w:tc>
        <w:tc>
          <w:tcPr>
            <w:tcW w:w="1654" w:type="dxa"/>
            <w:tcBorders>
              <w:top w:val="single" w:color="000000" w:sz="2" w:space="0"/>
              <w:left w:val="single" w:color="000000" w:sz="2" w:space="0"/>
              <w:bottom w:val="single" w:color="000000" w:sz="2" w:space="0"/>
              <w:right w:val="single" w:color="000000" w:sz="2" w:space="0"/>
            </w:tcBorders>
            <w:vAlign w:val="center"/>
          </w:tcPr>
          <w:p w14:paraId="4D5B8A7D">
            <w:pPr>
              <w:ind w:left="19"/>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智能化风扇</w:t>
            </w:r>
          </w:p>
        </w:tc>
        <w:tc>
          <w:tcPr>
            <w:tcW w:w="2977" w:type="dxa"/>
            <w:tcBorders>
              <w:top w:val="single" w:color="000000" w:sz="2" w:space="0"/>
              <w:left w:val="single" w:color="000000" w:sz="2" w:space="0"/>
              <w:bottom w:val="single" w:color="000000" w:sz="2" w:space="0"/>
              <w:right w:val="single" w:color="000000" w:sz="2" w:space="0"/>
            </w:tcBorders>
            <w:vAlign w:val="center"/>
          </w:tcPr>
          <w:p w14:paraId="4BDCCD0E">
            <w:pPr>
              <w:ind w:left="3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大风扇</w:t>
            </w:r>
          </w:p>
          <w:p w14:paraId="70B35E49">
            <w:pPr>
              <w:ind w:left="16"/>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eastAsia="zh-CN"/>
                <w14:ligatures w14:val="standardContextual"/>
              </w:rPr>
              <w:t>6米长大风扇</w:t>
            </w:r>
          </w:p>
          <w:p w14:paraId="6E157A53">
            <w:pPr>
              <w:ind w:left="16"/>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30米覆盖直径、1120㎡左右面积、自动调节风扇转速</w:t>
            </w:r>
            <w:r>
              <w:rPr>
                <w:rFonts w:ascii="微软雅黑" w:hAnsi="微软雅黑" w:eastAsia="微软雅黑" w:cs="微软雅黑"/>
                <w:kern w:val="2"/>
                <w:sz w:val="18"/>
                <w:lang w:eastAsia="zh-CN"/>
                <w14:ligatures w14:val="standardContextual"/>
              </w:rPr>
              <w:t xml:space="preserve"> </w:t>
            </w:r>
          </w:p>
        </w:tc>
        <w:tc>
          <w:tcPr>
            <w:tcW w:w="992" w:type="dxa"/>
            <w:tcBorders>
              <w:top w:val="single" w:color="000000" w:sz="2" w:space="0"/>
              <w:left w:val="single" w:color="000000" w:sz="2" w:space="0"/>
              <w:bottom w:val="single" w:color="000000" w:sz="2" w:space="0"/>
              <w:right w:val="single" w:color="000000" w:sz="2" w:space="0"/>
            </w:tcBorders>
            <w:vAlign w:val="center"/>
          </w:tcPr>
          <w:p w14:paraId="4902A907">
            <w:pPr>
              <w:ind w:left="33"/>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台</w:t>
            </w:r>
          </w:p>
        </w:tc>
        <w:tc>
          <w:tcPr>
            <w:tcW w:w="844" w:type="dxa"/>
            <w:tcBorders>
              <w:top w:val="single" w:color="000000" w:sz="2" w:space="0"/>
              <w:left w:val="single" w:color="000000" w:sz="2" w:space="0"/>
              <w:bottom w:val="single" w:color="000000" w:sz="2" w:space="0"/>
              <w:right w:val="single" w:color="000000" w:sz="2" w:space="0"/>
            </w:tcBorders>
            <w:vAlign w:val="center"/>
          </w:tcPr>
          <w:p w14:paraId="061B5A85">
            <w:pPr>
              <w:ind w:left="42"/>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10</w:t>
            </w:r>
          </w:p>
        </w:tc>
        <w:tc>
          <w:tcPr>
            <w:tcW w:w="809" w:type="dxa"/>
            <w:tcBorders>
              <w:top w:val="single" w:color="000000" w:sz="2" w:space="0"/>
              <w:left w:val="single" w:color="000000" w:sz="2" w:space="0"/>
              <w:bottom w:val="single" w:color="000000" w:sz="2" w:space="0"/>
              <w:right w:val="single" w:color="000000" w:sz="2" w:space="0"/>
            </w:tcBorders>
            <w:vAlign w:val="center"/>
          </w:tcPr>
          <w:p w14:paraId="626C6626">
            <w:pPr>
              <w:ind w:left="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7397A4BB">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7AB4BF83">
        <w:tblPrEx>
          <w:tblCellMar>
            <w:top w:w="93" w:type="dxa"/>
            <w:left w:w="0" w:type="dxa"/>
            <w:bottom w:w="0" w:type="dxa"/>
            <w:right w:w="21" w:type="dxa"/>
          </w:tblCellMar>
        </w:tblPrEx>
        <w:trPr>
          <w:trHeight w:val="144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7AFFABAE">
            <w:pPr>
              <w:ind w:left="6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9</w:t>
            </w:r>
          </w:p>
        </w:tc>
        <w:tc>
          <w:tcPr>
            <w:tcW w:w="1654" w:type="dxa"/>
            <w:tcBorders>
              <w:top w:val="single" w:color="000000" w:sz="2" w:space="0"/>
              <w:left w:val="single" w:color="000000" w:sz="2" w:space="0"/>
              <w:bottom w:val="single" w:color="000000" w:sz="2" w:space="0"/>
              <w:right w:val="single" w:color="000000" w:sz="2" w:space="0"/>
            </w:tcBorders>
            <w:vAlign w:val="center"/>
          </w:tcPr>
          <w:p w14:paraId="3D6A1A23">
            <w:pPr>
              <w:ind w:left="3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14:ligatures w14:val="standardContextual"/>
              </w:rPr>
              <w:t>车辆出入消毒设备</w:t>
            </w:r>
          </w:p>
        </w:tc>
        <w:tc>
          <w:tcPr>
            <w:tcW w:w="2977" w:type="dxa"/>
            <w:tcBorders>
              <w:top w:val="single" w:color="000000" w:sz="2" w:space="0"/>
              <w:left w:val="single" w:color="000000" w:sz="2" w:space="0"/>
              <w:bottom w:val="single" w:color="000000" w:sz="2" w:space="0"/>
              <w:right w:val="single" w:color="000000" w:sz="2" w:space="0"/>
            </w:tcBorders>
            <w:vAlign w:val="center"/>
          </w:tcPr>
          <w:p w14:paraId="2A798828">
            <w:pPr>
              <w:ind w:left="5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 xml:space="preserve">车辆消毒通道 </w:t>
            </w:r>
          </w:p>
          <w:p w14:paraId="13693F66">
            <w:pPr>
              <w:ind w:left="45"/>
              <w:rPr>
                <w:rFonts w:hint="default" w:ascii="微软雅黑" w:hAnsi="微软雅黑" w:eastAsia="微软雅黑" w:cs="微软雅黑"/>
                <w:kern w:val="2"/>
                <w:sz w:val="18"/>
                <w:lang w:val="en-US" w:eastAsia="zh-CN"/>
                <w14:ligatures w14:val="standardContextual"/>
              </w:rPr>
            </w:pPr>
            <w:r>
              <w:rPr>
                <w:rFonts w:hint="eastAsia" w:ascii="微软雅黑" w:hAnsi="微软雅黑" w:eastAsia="微软雅黑" w:cs="微软雅黑"/>
                <w:kern w:val="2"/>
                <w:sz w:val="18"/>
                <w:lang w:eastAsia="zh-CN"/>
                <w14:ligatures w14:val="standardContextual"/>
              </w:rPr>
              <w:t>2.</w:t>
            </w:r>
            <w:r>
              <w:rPr>
                <w:rFonts w:ascii="微软雅黑" w:hAnsi="微软雅黑" w:eastAsia="微软雅黑" w:cs="微软雅黑"/>
                <w:kern w:val="2"/>
                <w:sz w:val="18"/>
                <w:lang w:eastAsia="zh-CN"/>
                <w14:ligatures w14:val="standardContextual"/>
              </w:rPr>
              <w:t>型号：</w:t>
            </w:r>
            <w:r>
              <w:rPr>
                <w:rFonts w:hint="eastAsia" w:ascii="微软雅黑" w:hAnsi="微软雅黑" w:eastAsia="微软雅黑" w:cs="微软雅黑"/>
                <w:kern w:val="2"/>
                <w:sz w:val="18"/>
                <w:lang w:eastAsia="zh-CN"/>
                <w14:ligatures w14:val="standardContextual"/>
              </w:rPr>
              <w:t xml:space="preserve"> </w:t>
            </w:r>
            <w:r>
              <w:rPr>
                <w:rFonts w:hint="eastAsia" w:ascii="微软雅黑" w:hAnsi="微软雅黑" w:eastAsia="微软雅黑" w:cs="微软雅黑"/>
                <w:kern w:val="2"/>
                <w:sz w:val="18"/>
                <w:lang w:val="en-US" w:eastAsia="zh-CN"/>
                <w14:ligatures w14:val="standardContextual"/>
              </w:rPr>
              <w:t>/</w:t>
            </w:r>
          </w:p>
          <w:p w14:paraId="7902DE27">
            <w:pPr>
              <w:ind w:left="40"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3.</w:t>
            </w:r>
            <w:r>
              <w:rPr>
                <w:rFonts w:ascii="微软雅黑" w:hAnsi="微软雅黑" w:eastAsia="微软雅黑" w:cs="微软雅黑"/>
                <w:kern w:val="2"/>
                <w:sz w:val="18"/>
                <w:lang w:eastAsia="zh-CN"/>
                <w14:ligatures w14:val="standardContextual"/>
              </w:rPr>
              <w:t>配置：</w:t>
            </w:r>
            <w:r>
              <w:rPr>
                <w:rFonts w:hint="eastAsia" w:ascii="微软雅黑" w:hAnsi="微软雅黑" w:eastAsia="微软雅黑" w:cs="微软雅黑"/>
                <w:kern w:val="2"/>
                <w:sz w:val="18"/>
                <w:lang w:eastAsia="zh-CN"/>
                <w14:ligatures w14:val="standardContextual"/>
              </w:rPr>
              <w:t xml:space="preserve"> 380V/7.5KW速耐电机40升AR水泵、三缸陶瓷柱塞泵，带压力表、主机自动上水，缺水保护、漏电保护、过载保护保护、手动远程遥控+自动感应探头双控模式，支持无人值守、泄压回水装置，内置调压阀</w:t>
            </w:r>
          </w:p>
          <w:p w14:paraId="47B1EFDD">
            <w:pPr>
              <w:ind w:left="40" w:right="65"/>
              <w:jc w:val="both"/>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、主机自带不锈钢水箱、含耗材配件</w:t>
            </w:r>
          </w:p>
        </w:tc>
        <w:tc>
          <w:tcPr>
            <w:tcW w:w="992" w:type="dxa"/>
            <w:tcBorders>
              <w:top w:val="single" w:color="000000" w:sz="2" w:space="0"/>
              <w:left w:val="single" w:color="000000" w:sz="2" w:space="0"/>
              <w:bottom w:val="single" w:color="000000" w:sz="2" w:space="0"/>
              <w:right w:val="single" w:color="000000" w:sz="2" w:space="0"/>
            </w:tcBorders>
            <w:vAlign w:val="center"/>
          </w:tcPr>
          <w:p w14:paraId="104BD9E3">
            <w:pPr>
              <w:ind w:left="2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套</w:t>
            </w:r>
          </w:p>
        </w:tc>
        <w:tc>
          <w:tcPr>
            <w:tcW w:w="844" w:type="dxa"/>
            <w:tcBorders>
              <w:top w:val="single" w:color="000000" w:sz="2" w:space="0"/>
              <w:left w:val="single" w:color="000000" w:sz="2" w:space="0"/>
              <w:bottom w:val="single" w:color="000000" w:sz="2" w:space="0"/>
              <w:right w:val="single" w:color="000000" w:sz="2" w:space="0"/>
            </w:tcBorders>
            <w:vAlign w:val="center"/>
          </w:tcPr>
          <w:p w14:paraId="48F2A2D2">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1F5D2576">
            <w:pPr>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5372EB2B">
            <w:pPr>
              <w:ind w:right="9"/>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7ED59F52">
        <w:tblPrEx>
          <w:tblCellMar>
            <w:top w:w="93" w:type="dxa"/>
            <w:left w:w="0" w:type="dxa"/>
            <w:bottom w:w="0" w:type="dxa"/>
            <w:right w:w="21" w:type="dxa"/>
          </w:tblCellMar>
        </w:tblPrEx>
        <w:trPr>
          <w:trHeight w:val="183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0323FE34">
            <w:pPr>
              <w:ind w:left="6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10</w:t>
            </w:r>
          </w:p>
        </w:tc>
        <w:tc>
          <w:tcPr>
            <w:tcW w:w="1654" w:type="dxa"/>
            <w:tcBorders>
              <w:top w:val="single" w:color="000000" w:sz="2" w:space="0"/>
              <w:left w:val="single" w:color="000000" w:sz="2" w:space="0"/>
              <w:bottom w:val="single" w:color="000000" w:sz="2" w:space="0"/>
              <w:right w:val="single" w:color="000000" w:sz="2" w:space="0"/>
            </w:tcBorders>
            <w:vAlign w:val="center"/>
          </w:tcPr>
          <w:p w14:paraId="16DBBCE0">
            <w:pPr>
              <w:ind w:left="2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人员出入智能消毒设备</w:t>
            </w:r>
          </w:p>
        </w:tc>
        <w:tc>
          <w:tcPr>
            <w:tcW w:w="2977" w:type="dxa"/>
            <w:tcBorders>
              <w:top w:val="single" w:color="000000" w:sz="2" w:space="0"/>
              <w:left w:val="single" w:color="000000" w:sz="2" w:space="0"/>
              <w:bottom w:val="single" w:color="000000" w:sz="2" w:space="0"/>
              <w:right w:val="single" w:color="000000" w:sz="2" w:space="0"/>
            </w:tcBorders>
            <w:vAlign w:val="center"/>
          </w:tcPr>
          <w:p w14:paraId="720F5890">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人员出入智能消毒设备</w:t>
            </w:r>
          </w:p>
          <w:p w14:paraId="74FEA574">
            <w:pPr>
              <w:ind w:left="3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2.配置：自动配比药液、人员感应、测温、语音播报</w:t>
            </w:r>
          </w:p>
        </w:tc>
        <w:tc>
          <w:tcPr>
            <w:tcW w:w="992" w:type="dxa"/>
            <w:tcBorders>
              <w:top w:val="single" w:color="000000" w:sz="2" w:space="0"/>
              <w:left w:val="single" w:color="000000" w:sz="2" w:space="0"/>
              <w:bottom w:val="single" w:color="000000" w:sz="2" w:space="0"/>
              <w:right w:val="single" w:color="000000" w:sz="2" w:space="0"/>
            </w:tcBorders>
            <w:vAlign w:val="center"/>
          </w:tcPr>
          <w:p w14:paraId="681E4CF9">
            <w:pPr>
              <w:ind w:left="3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套</w:t>
            </w:r>
          </w:p>
        </w:tc>
        <w:tc>
          <w:tcPr>
            <w:tcW w:w="844" w:type="dxa"/>
            <w:tcBorders>
              <w:top w:val="single" w:color="000000" w:sz="2" w:space="0"/>
              <w:left w:val="single" w:color="000000" w:sz="2" w:space="0"/>
              <w:bottom w:val="single" w:color="000000" w:sz="2" w:space="0"/>
              <w:right w:val="single" w:color="000000" w:sz="2" w:space="0"/>
            </w:tcBorders>
            <w:vAlign w:val="center"/>
          </w:tcPr>
          <w:p w14:paraId="6D7BD3C8">
            <w:pPr>
              <w:ind w:left="42"/>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w:t>
            </w:r>
          </w:p>
        </w:tc>
        <w:tc>
          <w:tcPr>
            <w:tcW w:w="809" w:type="dxa"/>
            <w:tcBorders>
              <w:top w:val="single" w:color="000000" w:sz="2" w:space="0"/>
              <w:left w:val="single" w:color="000000" w:sz="2" w:space="0"/>
              <w:bottom w:val="single" w:color="000000" w:sz="2" w:space="0"/>
              <w:right w:val="single" w:color="000000" w:sz="2" w:space="0"/>
            </w:tcBorders>
            <w:vAlign w:val="center"/>
          </w:tcPr>
          <w:p w14:paraId="42788C01">
            <w:pPr>
              <w:ind w:left="2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259FCF04">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7E10FD29">
        <w:tblPrEx>
          <w:tblCellMar>
            <w:top w:w="93" w:type="dxa"/>
            <w:left w:w="0" w:type="dxa"/>
            <w:bottom w:w="0" w:type="dxa"/>
            <w:right w:w="21" w:type="dxa"/>
          </w:tblCellMar>
        </w:tblPrEx>
        <w:trPr>
          <w:trHeight w:val="1830"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6F11CD6A">
            <w:pPr>
              <w:ind w:left="6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11</w:t>
            </w:r>
          </w:p>
        </w:tc>
        <w:tc>
          <w:tcPr>
            <w:tcW w:w="1654" w:type="dxa"/>
            <w:tcBorders>
              <w:top w:val="single" w:color="000000" w:sz="2" w:space="0"/>
              <w:left w:val="single" w:color="000000" w:sz="2" w:space="0"/>
              <w:bottom w:val="single" w:color="000000" w:sz="2" w:space="0"/>
              <w:right w:val="single" w:color="000000" w:sz="2" w:space="0"/>
            </w:tcBorders>
            <w:vAlign w:val="center"/>
          </w:tcPr>
          <w:p w14:paraId="190251F9">
            <w:pPr>
              <w:ind w:left="2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全场感应喷淋系统</w:t>
            </w:r>
          </w:p>
        </w:tc>
        <w:tc>
          <w:tcPr>
            <w:tcW w:w="2977" w:type="dxa"/>
            <w:tcBorders>
              <w:top w:val="single" w:color="000000" w:sz="2" w:space="0"/>
              <w:left w:val="single" w:color="000000" w:sz="2" w:space="0"/>
              <w:bottom w:val="single" w:color="000000" w:sz="2" w:space="0"/>
              <w:right w:val="single" w:color="000000" w:sz="2" w:space="0"/>
            </w:tcBorders>
            <w:vAlign w:val="center"/>
          </w:tcPr>
          <w:p w14:paraId="316F06DC">
            <w:pPr>
              <w:ind w:left="4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w:t>
            </w:r>
            <w:r>
              <w:rPr>
                <w:rFonts w:ascii="微软雅黑" w:hAnsi="微软雅黑" w:eastAsia="微软雅黑" w:cs="微软雅黑"/>
                <w:kern w:val="2"/>
                <w:sz w:val="18"/>
                <w:lang w:eastAsia="zh-CN"/>
                <w14:ligatures w14:val="standardContextual"/>
              </w:rPr>
              <w:t>名称：</w:t>
            </w:r>
            <w:r>
              <w:rPr>
                <w:rFonts w:hint="eastAsia" w:ascii="微软雅黑" w:hAnsi="微软雅黑" w:eastAsia="微软雅黑" w:cs="微软雅黑"/>
                <w:kern w:val="2"/>
                <w:sz w:val="18"/>
                <w:lang w:eastAsia="zh-CN"/>
                <w14:ligatures w14:val="standardContextual"/>
              </w:rPr>
              <w:t>牛舍喷淋降温系统</w:t>
            </w:r>
          </w:p>
          <w:p w14:paraId="0B66E5B0">
            <w:pPr>
              <w:ind w:left="35"/>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2.配置：功率380V/220V  4千瓦/7.5千瓦/11千瓦、三缸陶瓷柱塞泵，带压力表、主机自动上水，缺水保护、漏电保护、过载保护、红外感应、手动+远程遥控+自动循环启停、可自动调压力，内置调压阀、主机自带过滤装置、主机自带不锈钢水箱、含耗材配件</w:t>
            </w:r>
          </w:p>
        </w:tc>
        <w:tc>
          <w:tcPr>
            <w:tcW w:w="992" w:type="dxa"/>
            <w:tcBorders>
              <w:top w:val="single" w:color="000000" w:sz="2" w:space="0"/>
              <w:left w:val="single" w:color="000000" w:sz="2" w:space="0"/>
              <w:bottom w:val="single" w:color="000000" w:sz="2" w:space="0"/>
              <w:right w:val="single" w:color="000000" w:sz="2" w:space="0"/>
            </w:tcBorders>
            <w:vAlign w:val="center"/>
          </w:tcPr>
          <w:p w14:paraId="05865A85">
            <w:pPr>
              <w:ind w:left="33"/>
              <w:jc w:val="center"/>
              <w:rPr>
                <w:rFonts w:hint="eastAsia" w:ascii="微软雅黑" w:hAnsi="微软雅黑" w:eastAsia="微软雅黑" w:cs="微软雅黑"/>
                <w:kern w:val="2"/>
                <w:sz w:val="18"/>
                <w14:ligatures w14:val="standardContextual"/>
              </w:rPr>
            </w:pPr>
            <w:r>
              <w:rPr>
                <w:rFonts w:hint="eastAsia" w:ascii="微软雅黑" w:hAnsi="微软雅黑" w:eastAsia="微软雅黑" w:cs="微软雅黑"/>
                <w:kern w:val="2"/>
                <w:sz w:val="18"/>
                <w:lang w:eastAsia="zh-CN"/>
                <w14:ligatures w14:val="standardContextual"/>
              </w:rPr>
              <w:t>套</w:t>
            </w:r>
          </w:p>
        </w:tc>
        <w:tc>
          <w:tcPr>
            <w:tcW w:w="844" w:type="dxa"/>
            <w:tcBorders>
              <w:top w:val="single" w:color="000000" w:sz="2" w:space="0"/>
              <w:left w:val="single" w:color="000000" w:sz="2" w:space="0"/>
              <w:bottom w:val="single" w:color="000000" w:sz="2" w:space="0"/>
              <w:right w:val="single" w:color="000000" w:sz="2" w:space="0"/>
            </w:tcBorders>
            <w:vAlign w:val="center"/>
          </w:tcPr>
          <w:p w14:paraId="0E4B6208">
            <w:pPr>
              <w:ind w:left="42"/>
              <w:jc w:val="center"/>
              <w:rPr>
                <w:rFonts w:hint="eastAsia" w:ascii="微软雅黑" w:hAnsi="微软雅黑" w:eastAsia="微软雅黑" w:cs="微软雅黑"/>
                <w:kern w:val="2"/>
                <w:sz w:val="18"/>
                <w14:ligatures w14:val="standardContextual"/>
              </w:rPr>
            </w:pPr>
            <w:r>
              <w:rPr>
                <w:rFonts w:ascii="微软雅黑" w:hAnsi="微软雅黑" w:eastAsia="微软雅黑" w:cs="微软雅黑"/>
                <w:kern w:val="2"/>
                <w:sz w:val="18"/>
                <w14:ligatures w14:val="standardContextual"/>
              </w:rPr>
              <w:t>1</w:t>
            </w:r>
          </w:p>
        </w:tc>
        <w:tc>
          <w:tcPr>
            <w:tcW w:w="809" w:type="dxa"/>
            <w:tcBorders>
              <w:top w:val="single" w:color="000000" w:sz="2" w:space="0"/>
              <w:left w:val="single" w:color="000000" w:sz="2" w:space="0"/>
              <w:bottom w:val="single" w:color="000000" w:sz="2" w:space="0"/>
              <w:right w:val="single" w:color="000000" w:sz="2" w:space="0"/>
            </w:tcBorders>
            <w:vAlign w:val="center"/>
          </w:tcPr>
          <w:p w14:paraId="7CFC8BD8">
            <w:pPr>
              <w:ind w:left="2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c>
          <w:tcPr>
            <w:tcW w:w="1069" w:type="dxa"/>
            <w:tcBorders>
              <w:top w:val="single" w:color="000000" w:sz="2" w:space="0"/>
              <w:left w:val="single" w:color="000000" w:sz="2" w:space="0"/>
              <w:bottom w:val="single" w:color="000000" w:sz="2" w:space="0"/>
              <w:right w:val="single" w:color="000000" w:sz="2" w:space="0"/>
            </w:tcBorders>
            <w:vAlign w:val="center"/>
          </w:tcPr>
          <w:p w14:paraId="7F8DCD7C">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r w14:paraId="2ADA19E8">
        <w:tblPrEx>
          <w:tblCellMar>
            <w:top w:w="93" w:type="dxa"/>
            <w:left w:w="0" w:type="dxa"/>
            <w:bottom w:w="0" w:type="dxa"/>
            <w:right w:w="21" w:type="dxa"/>
          </w:tblCellMar>
        </w:tblPrEx>
        <w:trPr>
          <w:trHeight w:val="706" w:hRule="atLeast"/>
        </w:trPr>
        <w:tc>
          <w:tcPr>
            <w:tcW w:w="683" w:type="dxa"/>
            <w:tcBorders>
              <w:top w:val="single" w:color="000000" w:sz="2" w:space="0"/>
              <w:left w:val="single" w:color="000000" w:sz="2" w:space="0"/>
              <w:bottom w:val="single" w:color="000000" w:sz="2" w:space="0"/>
              <w:right w:val="single" w:color="000000" w:sz="2" w:space="0"/>
            </w:tcBorders>
            <w:vAlign w:val="center"/>
          </w:tcPr>
          <w:p w14:paraId="427FB551">
            <w:pPr>
              <w:ind w:left="6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12</w:t>
            </w:r>
          </w:p>
        </w:tc>
        <w:tc>
          <w:tcPr>
            <w:tcW w:w="1654" w:type="dxa"/>
            <w:tcBorders>
              <w:top w:val="single" w:color="000000" w:sz="2" w:space="0"/>
              <w:left w:val="single" w:color="000000" w:sz="2" w:space="0"/>
              <w:bottom w:val="single" w:color="000000" w:sz="2" w:space="0"/>
              <w:right w:val="single" w:color="000000" w:sz="2" w:space="0"/>
            </w:tcBorders>
            <w:vAlign w:val="center"/>
          </w:tcPr>
          <w:p w14:paraId="385BBB6B">
            <w:pPr>
              <w:ind w:left="28"/>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合计</w:t>
            </w:r>
          </w:p>
        </w:tc>
        <w:tc>
          <w:tcPr>
            <w:tcW w:w="5622" w:type="dxa"/>
            <w:gridSpan w:val="4"/>
            <w:tcBorders>
              <w:top w:val="single" w:color="000000" w:sz="2" w:space="0"/>
              <w:left w:val="single" w:color="000000" w:sz="2" w:space="0"/>
              <w:bottom w:val="single" w:color="000000" w:sz="2" w:space="0"/>
              <w:right w:val="single" w:color="000000" w:sz="2" w:space="0"/>
            </w:tcBorders>
            <w:vAlign w:val="center"/>
          </w:tcPr>
          <w:p w14:paraId="410F1B83">
            <w:pPr>
              <w:ind w:left="24"/>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以上价格均已包含运费、税金、安装费、调试费、培训费及耗材配件费</w:t>
            </w:r>
          </w:p>
        </w:tc>
        <w:tc>
          <w:tcPr>
            <w:tcW w:w="1069" w:type="dxa"/>
            <w:tcBorders>
              <w:top w:val="single" w:color="000000" w:sz="2" w:space="0"/>
              <w:left w:val="single" w:color="000000" w:sz="2" w:space="0"/>
              <w:bottom w:val="single" w:color="000000" w:sz="2" w:space="0"/>
              <w:right w:val="single" w:color="000000" w:sz="2" w:space="0"/>
            </w:tcBorders>
            <w:vAlign w:val="center"/>
          </w:tcPr>
          <w:p w14:paraId="7B9F5703">
            <w:pPr>
              <w:ind w:left="1"/>
              <w:jc w:val="center"/>
              <w:rPr>
                <w:rFonts w:hint="eastAsia" w:ascii="微软雅黑" w:hAnsi="微软雅黑" w:eastAsia="微软雅黑" w:cs="微软雅黑"/>
                <w:kern w:val="2"/>
                <w:sz w:val="18"/>
                <w:lang w:eastAsia="zh-CN"/>
                <w14:ligatures w14:val="standardContextual"/>
              </w:rPr>
            </w:pPr>
            <w:r>
              <w:rPr>
                <w:rFonts w:hint="eastAsia" w:ascii="微软雅黑" w:hAnsi="微软雅黑" w:eastAsia="微软雅黑" w:cs="微软雅黑"/>
                <w:kern w:val="2"/>
                <w:sz w:val="18"/>
                <w:lang w:eastAsia="zh-CN"/>
                <w14:ligatures w14:val="standardContextual"/>
              </w:rPr>
              <w:t xml:space="preserve"> </w:t>
            </w:r>
          </w:p>
        </w:tc>
      </w:tr>
    </w:tbl>
    <w:p w14:paraId="732544E2">
      <w:pPr>
        <w:spacing w:before="160" w:after="160" w:line="240" w:lineRule="atLeast"/>
        <w:jc w:val="center"/>
        <w:textAlignment w:val="baseline"/>
        <w:outlineLvl w:val="1"/>
        <w:rPr>
          <w:rFonts w:ascii="宋体" w:hAnsi="宋体" w:eastAsia="宋体" w:cs="Times New Roman"/>
          <w:b/>
          <w:bCs/>
          <w:kern w:val="0"/>
          <w:sz w:val="32"/>
          <w:szCs w:val="32"/>
          <w:shd w:val="clear" w:color="auto" w:fill="FFFFFF"/>
        </w:rPr>
      </w:pPr>
      <w:r>
        <w:rPr>
          <w:rFonts w:ascii="宋体" w:hAnsi="宋体" w:eastAsia="宋体" w:cs="Times New Roman"/>
          <w:b/>
          <w:bCs/>
          <w:kern w:val="0"/>
          <w:sz w:val="32"/>
          <w:szCs w:val="32"/>
          <w:shd w:val="clear" w:color="auto" w:fill="FFFFFF"/>
        </w:rPr>
        <w:br w:type="page"/>
      </w:r>
      <w:r>
        <w:rPr>
          <w:rFonts w:hint="eastAsia" w:ascii="宋体" w:hAnsi="宋体" w:eastAsia="宋体" w:cs="Times New Roman"/>
          <w:b/>
          <w:bCs/>
          <w:kern w:val="0"/>
          <w:sz w:val="32"/>
          <w:szCs w:val="32"/>
          <w:shd w:val="clear" w:color="auto" w:fill="FFFFFF"/>
        </w:rPr>
        <w:t>第四章 评审办法</w:t>
      </w:r>
    </w:p>
    <w:p w14:paraId="35C1B711">
      <w:pPr>
        <w:spacing w:line="460" w:lineRule="exact"/>
        <w:ind w:firstLine="480"/>
        <w:rPr>
          <w:rFonts w:ascii="宋体" w:hAnsi="宋体" w:eastAsia="宋体" w:cs="Times New Roman"/>
          <w:b/>
          <w:bCs/>
          <w:sz w:val="24"/>
          <w:szCs w:val="24"/>
        </w:rPr>
      </w:pPr>
      <w:r>
        <w:rPr>
          <w:rFonts w:ascii="宋体" w:hAnsi="宋体" w:eastAsia="宋体" w:cs="Times New Roman"/>
          <w:b/>
          <w:bCs/>
          <w:kern w:val="0"/>
          <w:sz w:val="24"/>
          <w:szCs w:val="24"/>
        </w:rPr>
        <w:t xml:space="preserve">1. </w:t>
      </w:r>
      <w:r>
        <w:rPr>
          <w:rFonts w:hint="eastAsia" w:ascii="宋体" w:hAnsi="宋体" w:eastAsia="宋体" w:cs="Times New Roman"/>
          <w:b/>
          <w:bCs/>
          <w:kern w:val="0"/>
          <w:sz w:val="24"/>
          <w:szCs w:val="24"/>
        </w:rPr>
        <w:t>电子化</w:t>
      </w:r>
      <w:r>
        <w:rPr>
          <w:rFonts w:hint="eastAsia" w:ascii="宋体" w:hAnsi="宋体" w:eastAsia="宋体" w:cs="Times New Roman"/>
          <w:b/>
          <w:bCs/>
          <w:sz w:val="24"/>
          <w:szCs w:val="24"/>
        </w:rPr>
        <w:t>磋商响应文件的评审、比较和否决</w:t>
      </w:r>
    </w:p>
    <w:p w14:paraId="4A5EDC17">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1.1</w:t>
      </w:r>
      <w:r>
        <w:rPr>
          <w:rFonts w:hint="eastAsia" w:ascii="宋体" w:hAnsi="宋体" w:eastAsia="宋体" w:cs="Times New Roman"/>
          <w:sz w:val="24"/>
          <w:szCs w:val="24"/>
        </w:rPr>
        <w:t>磋商小组将按照竞争性磋商文件的规定，仅对在实质上响应竞争性磋商文件要求的电子化磋商响应文件进行评估和比较。</w:t>
      </w:r>
    </w:p>
    <w:p w14:paraId="633E07AD">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1.2</w:t>
      </w:r>
      <w:r>
        <w:rPr>
          <w:rFonts w:hint="eastAsia" w:ascii="宋体" w:hAnsi="宋体" w:eastAsia="宋体" w:cs="Times New Roman"/>
          <w:sz w:val="24"/>
          <w:szCs w:val="24"/>
        </w:rPr>
        <w:t>根据相关法律法规及有关招磋商响应文件规定，结合本项目具体情况，制定本次磋商评审办法。并按照“公平、公正、科学、择优”的原则进行磋商。采用综合评分法进行评比。</w:t>
      </w:r>
    </w:p>
    <w:p w14:paraId="7B7C4056">
      <w:pPr>
        <w:autoSpaceDE w:val="0"/>
        <w:autoSpaceDN w:val="0"/>
        <w:adjustRightInd w:val="0"/>
        <w:spacing w:line="460" w:lineRule="exact"/>
        <w:ind w:firstLine="482" w:firstLineChars="200"/>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sz w:val="24"/>
          <w:szCs w:val="24"/>
        </w:rPr>
        <w:t>在评审过程中，磋商小组可以以书面形式要求磋商响应供应商就电子化磋商响应文件中含义不明确的内容进行书面说明并提供相关材料；</w:t>
      </w:r>
      <w:r>
        <w:rPr>
          <w:rFonts w:hint="eastAsia" w:ascii="宋体" w:hAnsi="宋体" w:eastAsia="宋体" w:cs="Times New Roman"/>
          <w:spacing w:val="-6"/>
          <w:sz w:val="24"/>
          <w:szCs w:val="24"/>
        </w:rPr>
        <w:t>凡遇到竞争性磋商文件中无界定或界定不清、前后不一致使磋商小组成员</w:t>
      </w:r>
      <w:r>
        <w:rPr>
          <w:rFonts w:hint="eastAsia" w:ascii="宋体" w:hAnsi="宋体" w:eastAsia="宋体" w:cs="Times New Roman"/>
          <w:sz w:val="24"/>
          <w:szCs w:val="24"/>
        </w:rPr>
        <w:t>意见</w:t>
      </w:r>
      <w:r>
        <w:rPr>
          <w:rFonts w:hint="eastAsia" w:ascii="宋体" w:hAnsi="宋体" w:eastAsia="宋体" w:cs="Times New Roman"/>
          <w:spacing w:val="-6"/>
          <w:sz w:val="24"/>
          <w:szCs w:val="24"/>
        </w:rPr>
        <w:t>有分歧且又难于协商一致的问题，均由磋商小组予以表决，获半数以上同意的即为通过，未获半数同意的即为否决</w:t>
      </w:r>
      <w:r>
        <w:rPr>
          <w:rFonts w:hint="eastAsia" w:ascii="宋体" w:hAnsi="宋体" w:eastAsia="宋体" w:cs="Times New Roman"/>
          <w:sz w:val="24"/>
          <w:szCs w:val="24"/>
        </w:rPr>
        <w:t>。</w:t>
      </w:r>
    </w:p>
    <w:p w14:paraId="48005E13">
      <w:pPr>
        <w:spacing w:line="460" w:lineRule="exact"/>
        <w:ind w:firstLine="480"/>
        <w:rPr>
          <w:rFonts w:ascii="宋体" w:hAnsi="宋体" w:eastAsia="宋体" w:cs="Times New Roman"/>
          <w:sz w:val="24"/>
          <w:szCs w:val="24"/>
        </w:rPr>
      </w:pPr>
      <w:r>
        <w:rPr>
          <w:rFonts w:ascii="宋体" w:hAnsi="宋体" w:eastAsia="宋体" w:cs="Times New Roman"/>
          <w:b/>
          <w:bCs/>
          <w:kern w:val="0"/>
          <w:sz w:val="24"/>
          <w:szCs w:val="24"/>
        </w:rPr>
        <w:t>1.4</w:t>
      </w:r>
      <w:r>
        <w:rPr>
          <w:rFonts w:hint="eastAsia" w:ascii="宋体" w:hAnsi="宋体" w:eastAsia="宋体" w:cs="Times New Roman"/>
          <w:kern w:val="0"/>
          <w:sz w:val="24"/>
          <w:szCs w:val="24"/>
        </w:rPr>
        <w:t>磋商时，磋商报价是磋商的重要依据，但不是唯一依据，</w:t>
      </w:r>
      <w:r>
        <w:rPr>
          <w:rFonts w:hint="eastAsia" w:ascii="宋体" w:hAnsi="宋体" w:eastAsia="宋体" w:cs="Times New Roman"/>
          <w:sz w:val="24"/>
          <w:szCs w:val="24"/>
        </w:rPr>
        <w:t>采购人不承诺将合同授予报价最低或最高的磋商响应供应商。</w:t>
      </w:r>
    </w:p>
    <w:p w14:paraId="277AFC61">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1.5</w:t>
      </w:r>
      <w:r>
        <w:rPr>
          <w:rFonts w:hint="eastAsia" w:ascii="宋体" w:hAnsi="宋体" w:eastAsia="宋体" w:cs="Times New Roman"/>
          <w:sz w:val="24"/>
          <w:szCs w:val="24"/>
        </w:rPr>
        <w:t>磋商小组依据本须知规定的评审标准和方法，对电子化磋商响应文件进行评审和比较，向采购人提出书面磋商报告，并推荐合格的成交候选供应商。</w:t>
      </w:r>
    </w:p>
    <w:p w14:paraId="58066D7C">
      <w:pPr>
        <w:spacing w:line="460" w:lineRule="exact"/>
        <w:ind w:firstLine="426" w:firstLineChars="177"/>
        <w:rPr>
          <w:rFonts w:ascii="宋体" w:hAnsi="宋体" w:eastAsia="宋体" w:cs="Times New Roman"/>
          <w:sz w:val="24"/>
          <w:szCs w:val="24"/>
        </w:rPr>
      </w:pPr>
      <w:r>
        <w:rPr>
          <w:rFonts w:hint="eastAsia" w:ascii="宋体" w:hAnsi="宋体" w:eastAsia="宋体" w:cs="Times New Roman"/>
          <w:b/>
          <w:bCs/>
          <w:sz w:val="24"/>
          <w:szCs w:val="24"/>
        </w:rPr>
        <w:t>1.6</w:t>
      </w:r>
      <w:r>
        <w:rPr>
          <w:rFonts w:hint="eastAsia" w:ascii="宋体" w:hAnsi="宋体" w:eastAsia="宋体" w:cs="Times New Roman"/>
          <w:sz w:val="24"/>
          <w:szCs w:val="24"/>
        </w:rPr>
        <w:t>在磋商过程中，竞争性磋商响应文件中核心产品为同一品牌的且通过资格审查、符合性审查的不同磋商响应供应商参加本项目磋商的，按一家供应商计算，评审后得分最高的同品牌供应商获得成交供应商推荐资格，评审得分相同的，首先以报价最低的磋商响应供应商获得成交供应商推荐资格；若报价相同的，以售后服务得分最高的磋商响应供应商获得成交供应商推荐资格。</w:t>
      </w:r>
    </w:p>
    <w:p w14:paraId="413A4BBF">
      <w:pPr>
        <w:spacing w:after="120" w:line="460" w:lineRule="exact"/>
        <w:ind w:firstLine="420"/>
        <w:rPr>
          <w:rFonts w:ascii="宋体" w:hAnsi="宋体" w:eastAsia="宋体" w:cs="Times New Roman"/>
          <w:kern w:val="0"/>
          <w:sz w:val="24"/>
          <w:szCs w:val="24"/>
        </w:rPr>
      </w:pPr>
      <w:r>
        <w:rPr>
          <w:rFonts w:hint="eastAsia" w:ascii="宋体" w:hAnsi="宋体" w:eastAsia="宋体" w:cs="Times New Roman"/>
          <w:b/>
          <w:bCs/>
          <w:kern w:val="0"/>
          <w:sz w:val="24"/>
          <w:szCs w:val="24"/>
        </w:rPr>
        <w:t>1.7</w:t>
      </w:r>
      <w:r>
        <w:rPr>
          <w:rFonts w:hint="eastAsia" w:ascii="宋体" w:hAnsi="宋体" w:eastAsia="宋体" w:cs="Times New Roman"/>
          <w:kern w:val="0"/>
          <w:sz w:val="24"/>
          <w:szCs w:val="24"/>
        </w:rPr>
        <w:t>在磋商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38C7DDF0">
      <w:pPr>
        <w:autoSpaceDE w:val="0"/>
        <w:autoSpaceDN w:val="0"/>
        <w:adjustRightInd w:val="0"/>
        <w:spacing w:line="460" w:lineRule="exact"/>
        <w:ind w:firstLine="480"/>
        <w:jc w:val="left"/>
        <w:rPr>
          <w:rFonts w:ascii="宋体" w:hAnsi="宋体" w:eastAsia="宋体" w:cs="Times New Roman"/>
          <w:sz w:val="24"/>
          <w:szCs w:val="24"/>
        </w:rPr>
      </w:pPr>
      <w:r>
        <w:rPr>
          <w:rFonts w:ascii="宋体" w:hAnsi="宋体" w:eastAsia="宋体" w:cs="Times New Roman"/>
          <w:b/>
          <w:bCs/>
          <w:sz w:val="24"/>
          <w:szCs w:val="24"/>
        </w:rPr>
        <w:t>2</w:t>
      </w:r>
      <w:r>
        <w:rPr>
          <w:rFonts w:hint="eastAsia" w:ascii="宋体" w:hAnsi="宋体" w:eastAsia="宋体" w:cs="Times New Roman"/>
          <w:b/>
          <w:bCs/>
          <w:kern w:val="0"/>
          <w:sz w:val="24"/>
          <w:szCs w:val="24"/>
        </w:rPr>
        <w:t>．评分标准</w:t>
      </w:r>
      <w:r>
        <w:rPr>
          <w:rFonts w:ascii="宋体" w:hAnsi="宋体" w:eastAsia="宋体" w:cs="Times New Roman"/>
          <w:sz w:val="24"/>
          <w:szCs w:val="24"/>
        </w:rPr>
        <w:t>(</w:t>
      </w:r>
      <w:r>
        <w:rPr>
          <w:rFonts w:hint="eastAsia" w:ascii="宋体" w:hAnsi="宋体" w:eastAsia="宋体" w:cs="Times New Roman"/>
          <w:sz w:val="24"/>
          <w:szCs w:val="24"/>
        </w:rPr>
        <w:t>采用综合评分法</w:t>
      </w:r>
      <w:r>
        <w:rPr>
          <w:rFonts w:ascii="宋体" w:hAnsi="宋体" w:eastAsia="宋体" w:cs="Times New Roman"/>
          <w:sz w:val="24"/>
          <w:szCs w:val="24"/>
        </w:rPr>
        <w:t>)</w:t>
      </w:r>
    </w:p>
    <w:p w14:paraId="43168E11">
      <w:pPr>
        <w:autoSpaceDE w:val="0"/>
        <w:autoSpaceDN w:val="0"/>
        <w:adjustRightInd w:val="0"/>
        <w:spacing w:line="460" w:lineRule="exact"/>
        <w:ind w:firstLine="480"/>
        <w:jc w:val="left"/>
        <w:rPr>
          <w:rFonts w:ascii="宋体" w:hAnsi="宋体" w:eastAsia="宋体" w:cs="Times New Roman"/>
          <w:sz w:val="24"/>
          <w:szCs w:val="24"/>
        </w:rPr>
      </w:pPr>
      <w:r>
        <w:rPr>
          <w:rFonts w:hint="eastAsia" w:ascii="宋体" w:hAnsi="宋体" w:eastAsia="宋体" w:cs="Times New Roman"/>
          <w:kern w:val="0"/>
          <w:sz w:val="24"/>
          <w:szCs w:val="24"/>
        </w:rPr>
        <w:t>磋商小组按照《中华人民共和国政府采购法》和</w:t>
      </w:r>
      <w:r>
        <w:rPr>
          <w:rFonts w:hint="eastAsia" w:ascii="宋体" w:hAnsi="宋体" w:eastAsia="宋体" w:cs="Times New Roman"/>
          <w:sz w:val="24"/>
          <w:szCs w:val="24"/>
        </w:rPr>
        <w:t>《政府采购竞争性磋商采购方式管理暂行办法》</w:t>
      </w:r>
      <w:r>
        <w:rPr>
          <w:rFonts w:hint="eastAsia" w:ascii="宋体" w:hAnsi="宋体" w:eastAsia="宋体" w:cs="Times New Roman"/>
          <w:kern w:val="0"/>
          <w:sz w:val="24"/>
          <w:szCs w:val="24"/>
        </w:rPr>
        <w:t>，结合本项目具体情况，按下列标准打分：</w:t>
      </w:r>
      <w:r>
        <w:rPr>
          <w:rFonts w:hint="eastAsia" w:ascii="宋体" w:hAnsi="宋体" w:eastAsia="宋体" w:cs="Times New Roman"/>
          <w:sz w:val="24"/>
          <w:szCs w:val="24"/>
        </w:rPr>
        <w:t>第一部分：磋商报价评审；第二部分：技术部分评审；第三部分：商务部分评审。</w:t>
      </w:r>
    </w:p>
    <w:p w14:paraId="16510953">
      <w:pPr>
        <w:snapToGrid w:val="0"/>
        <w:spacing w:line="460" w:lineRule="exact"/>
        <w:ind w:left="1" w:firstLine="480" w:firstLineChars="200"/>
        <w:rPr>
          <w:rFonts w:ascii="宋体" w:hAnsi="宋体" w:eastAsia="宋体" w:cs="Times New Roman"/>
          <w:sz w:val="24"/>
          <w:szCs w:val="24"/>
        </w:rPr>
      </w:pPr>
      <w:r>
        <w:rPr>
          <w:rFonts w:hint="eastAsia" w:ascii="宋体" w:hAnsi="宋体" w:eastAsia="宋体" w:cs="Times New Roman"/>
          <w:sz w:val="24"/>
          <w:szCs w:val="24"/>
        </w:rPr>
        <w:t>磋商响应供应商最终得分</w:t>
      </w:r>
      <w:r>
        <w:rPr>
          <w:rFonts w:ascii="宋体" w:hAnsi="宋体" w:eastAsia="宋体" w:cs="Times New Roman"/>
          <w:sz w:val="24"/>
          <w:szCs w:val="24"/>
        </w:rPr>
        <w:t>=</w:t>
      </w:r>
      <w:r>
        <w:rPr>
          <w:rFonts w:hint="eastAsia" w:ascii="宋体" w:hAnsi="宋体" w:eastAsia="宋体" w:cs="Times New Roman"/>
          <w:sz w:val="24"/>
          <w:szCs w:val="24"/>
        </w:rPr>
        <w:t>磋商报价得分+技术标评审得分</w:t>
      </w:r>
      <w:r>
        <w:rPr>
          <w:rFonts w:ascii="宋体" w:hAnsi="宋体" w:eastAsia="宋体" w:cs="Times New Roman"/>
          <w:sz w:val="24"/>
          <w:szCs w:val="24"/>
        </w:rPr>
        <w:t>+</w:t>
      </w:r>
      <w:r>
        <w:rPr>
          <w:rFonts w:hint="eastAsia" w:ascii="宋体" w:hAnsi="宋体" w:eastAsia="宋体" w:cs="Times New Roman"/>
          <w:sz w:val="24"/>
          <w:szCs w:val="24"/>
        </w:rPr>
        <w:t>商务标评审得分。</w:t>
      </w:r>
    </w:p>
    <w:p w14:paraId="6F6D4A63">
      <w:pPr>
        <w:snapToGrid w:val="0"/>
        <w:spacing w:line="460" w:lineRule="exact"/>
        <w:ind w:left="1" w:firstLine="482" w:firstLineChars="200"/>
        <w:rPr>
          <w:rFonts w:ascii="宋体" w:hAnsi="宋体" w:eastAsia="宋体" w:cs="Times New Roman"/>
          <w:b/>
          <w:bCs/>
          <w:sz w:val="24"/>
          <w:szCs w:val="24"/>
        </w:rPr>
      </w:pPr>
      <w:r>
        <w:rPr>
          <w:rFonts w:ascii="宋体" w:hAnsi="宋体" w:eastAsia="宋体" w:cs="Times New Roman"/>
          <w:b/>
          <w:bCs/>
          <w:sz w:val="24"/>
          <w:szCs w:val="24"/>
        </w:rPr>
        <w:t xml:space="preserve">3. </w:t>
      </w:r>
      <w:r>
        <w:rPr>
          <w:rFonts w:hint="eastAsia" w:ascii="宋体" w:hAnsi="宋体" w:eastAsia="宋体" w:cs="Times New Roman"/>
          <w:b/>
          <w:bCs/>
          <w:sz w:val="24"/>
          <w:szCs w:val="24"/>
        </w:rPr>
        <w:t>评审程序</w:t>
      </w:r>
    </w:p>
    <w:p w14:paraId="77536691">
      <w:pPr>
        <w:snapToGrid w:val="0"/>
        <w:spacing w:line="460" w:lineRule="exact"/>
        <w:ind w:left="1" w:firstLine="480" w:firstLineChars="200"/>
        <w:rPr>
          <w:rFonts w:ascii="宋体" w:hAnsi="宋体" w:eastAsia="宋体" w:cs="Times New Roman"/>
          <w:b/>
          <w:bCs/>
          <w:sz w:val="24"/>
          <w:szCs w:val="24"/>
        </w:rPr>
      </w:pPr>
      <w:r>
        <w:rPr>
          <w:rFonts w:hint="eastAsia" w:ascii="宋体" w:hAnsi="宋体" w:eastAsia="宋体" w:cs="Times New Roman"/>
          <w:kern w:val="0"/>
          <w:sz w:val="24"/>
          <w:szCs w:val="24"/>
        </w:rPr>
        <w:t>磋商小组</w:t>
      </w:r>
      <w:r>
        <w:rPr>
          <w:rFonts w:hint="eastAsia" w:ascii="宋体" w:hAnsi="宋体" w:eastAsia="宋体" w:cs="Times New Roman"/>
          <w:sz w:val="24"/>
          <w:szCs w:val="24"/>
        </w:rPr>
        <w:t>按照竞争性磋商文件的要求，对磋商响应供应商进行初步审查，有一项不符合的，视为未通过初步审查，不得进入下一磋商过程。</w:t>
      </w:r>
    </w:p>
    <w:p w14:paraId="456FFDCD">
      <w:pPr>
        <w:keepNext/>
        <w:keepLines/>
        <w:spacing w:before="160" w:after="160" w:line="480" w:lineRule="exact"/>
        <w:jc w:val="center"/>
        <w:textAlignment w:val="baseline"/>
        <w:outlineLvl w:val="1"/>
        <w:rPr>
          <w:rFonts w:ascii="宋体" w:hAnsi="宋体" w:eastAsia="宋体" w:cs="宋体"/>
          <w:kern w:val="0"/>
          <w:sz w:val="28"/>
          <w:szCs w:val="28"/>
        </w:rPr>
      </w:pPr>
      <w:bookmarkStart w:id="0" w:name="_Toc78216791"/>
      <w:bookmarkStart w:id="1" w:name="_Toc25143"/>
      <w:r>
        <w:rPr>
          <w:rFonts w:hint="eastAsia" w:ascii="宋体" w:hAnsi="宋体" w:eastAsia="宋体" w:cs="宋体"/>
          <w:kern w:val="0"/>
          <w:sz w:val="28"/>
          <w:szCs w:val="28"/>
        </w:rPr>
        <w:t>评标办法前附表</w:t>
      </w:r>
      <w:bookmarkEnd w:id="0"/>
      <w:bookmarkEnd w:id="1"/>
    </w:p>
    <w:tbl>
      <w:tblPr>
        <w:tblStyle w:val="20"/>
        <w:tblpPr w:leftFromText="180" w:rightFromText="180" w:vertAnchor="text" w:tblpXSpec="center" w:tblpY="1"/>
        <w:tblOverlap w:val="never"/>
        <w:tblW w:w="51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659"/>
        <w:gridCol w:w="2110"/>
        <w:gridCol w:w="5917"/>
      </w:tblGrid>
      <w:tr w14:paraId="458A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9148221">
            <w:pPr>
              <w:autoSpaceDE w:val="0"/>
              <w:autoSpaceDN w:val="0"/>
              <w:adjustRightInd w:val="0"/>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初步审查</w:t>
            </w:r>
          </w:p>
        </w:tc>
      </w:tr>
      <w:tr w14:paraId="4A4B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7" w:type="pct"/>
            <w:tcBorders>
              <w:top w:val="single" w:color="auto" w:sz="4" w:space="0"/>
              <w:left w:val="single" w:color="auto" w:sz="4" w:space="0"/>
              <w:bottom w:val="single" w:color="auto" w:sz="4" w:space="0"/>
              <w:right w:val="single" w:color="auto" w:sz="4" w:space="0"/>
            </w:tcBorders>
            <w:vAlign w:val="center"/>
          </w:tcPr>
          <w:p w14:paraId="2535FFB8">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条款号</w:t>
            </w:r>
          </w:p>
        </w:tc>
        <w:tc>
          <w:tcPr>
            <w:tcW w:w="1429" w:type="pct"/>
            <w:gridSpan w:val="2"/>
            <w:tcBorders>
              <w:top w:val="single" w:color="auto" w:sz="4" w:space="0"/>
              <w:left w:val="single" w:color="auto" w:sz="4" w:space="0"/>
              <w:bottom w:val="single" w:color="auto" w:sz="4" w:space="0"/>
              <w:right w:val="single" w:color="auto" w:sz="4" w:space="0"/>
            </w:tcBorders>
            <w:vAlign w:val="center"/>
          </w:tcPr>
          <w:p w14:paraId="39521204">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评审因素</w:t>
            </w:r>
          </w:p>
        </w:tc>
        <w:tc>
          <w:tcPr>
            <w:tcW w:w="3053" w:type="pct"/>
            <w:tcBorders>
              <w:top w:val="single" w:color="auto" w:sz="4" w:space="0"/>
              <w:left w:val="single" w:color="auto" w:sz="4" w:space="0"/>
              <w:bottom w:val="single" w:color="auto" w:sz="4" w:space="0"/>
              <w:right w:val="single" w:color="auto" w:sz="4" w:space="0"/>
            </w:tcBorders>
            <w:vAlign w:val="center"/>
          </w:tcPr>
          <w:p w14:paraId="1FC8FFF1">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评审标准</w:t>
            </w:r>
          </w:p>
        </w:tc>
      </w:tr>
      <w:tr w14:paraId="1673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517" w:type="pct"/>
            <w:vMerge w:val="restart"/>
            <w:tcBorders>
              <w:top w:val="single" w:color="auto" w:sz="4" w:space="0"/>
              <w:left w:val="single" w:color="auto" w:sz="4" w:space="0"/>
              <w:right w:val="single" w:color="auto" w:sz="4" w:space="0"/>
            </w:tcBorders>
            <w:vAlign w:val="center"/>
          </w:tcPr>
          <w:p w14:paraId="43A20DDF">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2.1.1</w:t>
            </w:r>
          </w:p>
        </w:tc>
        <w:tc>
          <w:tcPr>
            <w:tcW w:w="340" w:type="pct"/>
            <w:vMerge w:val="restart"/>
            <w:tcBorders>
              <w:top w:val="single" w:color="auto" w:sz="4" w:space="0"/>
              <w:left w:val="single" w:color="auto" w:sz="4" w:space="0"/>
              <w:right w:val="single" w:color="auto" w:sz="4" w:space="0"/>
            </w:tcBorders>
            <w:vAlign w:val="center"/>
          </w:tcPr>
          <w:p w14:paraId="330F5E25">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资格审查</w:t>
            </w:r>
          </w:p>
          <w:p w14:paraId="17C1EE74">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标</w:t>
            </w:r>
          </w:p>
          <w:p w14:paraId="1FF60C96">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准</w:t>
            </w:r>
          </w:p>
        </w:tc>
        <w:tc>
          <w:tcPr>
            <w:tcW w:w="1088" w:type="pct"/>
            <w:tcBorders>
              <w:top w:val="single" w:color="auto" w:sz="4" w:space="0"/>
              <w:left w:val="single" w:color="auto" w:sz="4" w:space="0"/>
              <w:bottom w:val="single" w:color="auto" w:sz="4" w:space="0"/>
              <w:right w:val="single" w:color="auto" w:sz="4" w:space="0"/>
            </w:tcBorders>
            <w:vAlign w:val="center"/>
          </w:tcPr>
          <w:p w14:paraId="226D85AD">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《中华人民共和国政府采购法》第二十二条</w:t>
            </w:r>
          </w:p>
        </w:tc>
        <w:tc>
          <w:tcPr>
            <w:tcW w:w="3053" w:type="pct"/>
            <w:tcBorders>
              <w:top w:val="single" w:color="auto" w:sz="4" w:space="0"/>
              <w:left w:val="single" w:color="auto" w:sz="4" w:space="0"/>
              <w:bottom w:val="single" w:color="auto" w:sz="4" w:space="0"/>
              <w:right w:val="single" w:color="auto" w:sz="4" w:space="0"/>
            </w:tcBorders>
            <w:vAlign w:val="center"/>
          </w:tcPr>
          <w:p w14:paraId="66A3BDF4">
            <w:pPr>
              <w:widowControl/>
              <w:spacing w:line="400" w:lineRule="exact"/>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供应商提供承诺书</w:t>
            </w:r>
          </w:p>
        </w:tc>
      </w:tr>
      <w:tr w14:paraId="614C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exact"/>
        </w:trPr>
        <w:tc>
          <w:tcPr>
            <w:tcW w:w="517" w:type="pct"/>
            <w:vMerge w:val="continue"/>
            <w:tcBorders>
              <w:left w:val="single" w:color="auto" w:sz="4" w:space="0"/>
              <w:right w:val="single" w:color="auto" w:sz="4" w:space="0"/>
            </w:tcBorders>
            <w:vAlign w:val="center"/>
          </w:tcPr>
          <w:p w14:paraId="731B645F">
            <w:pPr>
              <w:autoSpaceDE w:val="0"/>
              <w:autoSpaceDN w:val="0"/>
              <w:adjustRightInd w:val="0"/>
              <w:spacing w:line="400" w:lineRule="exact"/>
              <w:rPr>
                <w:rFonts w:hint="eastAsia"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413657F1">
            <w:pPr>
              <w:autoSpaceDE w:val="0"/>
              <w:autoSpaceDN w:val="0"/>
              <w:adjustRightInd w:val="0"/>
              <w:spacing w:line="400" w:lineRule="exact"/>
              <w:jc w:val="center"/>
              <w:rPr>
                <w:rFonts w:hint="eastAsia"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287094DD">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本项目专门面向中小微企业采购项目,执行促进中小企业（监狱企业、残疾人福利性企业）发展等政府采购政策。</w:t>
            </w:r>
          </w:p>
        </w:tc>
        <w:tc>
          <w:tcPr>
            <w:tcW w:w="3053" w:type="pct"/>
            <w:tcBorders>
              <w:top w:val="single" w:color="auto" w:sz="4" w:space="0"/>
              <w:left w:val="single" w:color="auto" w:sz="4" w:space="0"/>
              <w:bottom w:val="single" w:color="auto" w:sz="4" w:space="0"/>
              <w:right w:val="single" w:color="auto" w:sz="4" w:space="0"/>
            </w:tcBorders>
            <w:vAlign w:val="center"/>
          </w:tcPr>
          <w:p w14:paraId="6208132A">
            <w:pPr>
              <w:widowControl/>
              <w:spacing w:line="400" w:lineRule="exact"/>
              <w:rPr>
                <w:rFonts w:hint="eastAsia" w:ascii="宋体" w:hAnsi="宋体" w:eastAsia="宋体" w:cs="宋体"/>
                <w:sz w:val="24"/>
                <w:szCs w:val="24"/>
              </w:rPr>
            </w:pPr>
            <w:r>
              <w:rPr>
                <w:rFonts w:hint="eastAsia" w:ascii="宋体" w:hAnsi="宋体" w:eastAsia="宋体" w:cs="宋体"/>
                <w:sz w:val="24"/>
                <w:szCs w:val="24"/>
              </w:rPr>
              <w:t>本项目专门面向中小微企业采购项目,执行促进中小企业（监狱企业、残疾人福利性企业）发展等政府采购政策。</w:t>
            </w:r>
            <w:r>
              <w:rPr>
                <w:rFonts w:hint="eastAsia" w:ascii="宋体" w:hAnsi="宋体" w:eastAsia="宋体" w:cs="宋体"/>
                <w:sz w:val="24"/>
                <w:szCs w:val="24"/>
                <w:lang w:val="en-US" w:eastAsia="zh-CN"/>
              </w:rPr>
              <w:t>供应商提供中小企业声明函。</w:t>
            </w:r>
          </w:p>
        </w:tc>
      </w:tr>
      <w:tr w14:paraId="2EEA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517" w:type="pct"/>
            <w:vMerge w:val="continue"/>
            <w:tcBorders>
              <w:left w:val="single" w:color="auto" w:sz="4" w:space="0"/>
              <w:right w:val="single" w:color="auto" w:sz="4" w:space="0"/>
            </w:tcBorders>
            <w:vAlign w:val="center"/>
          </w:tcPr>
          <w:p w14:paraId="529DC57B">
            <w:pPr>
              <w:autoSpaceDE w:val="0"/>
              <w:autoSpaceDN w:val="0"/>
              <w:adjustRightInd w:val="0"/>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73FC2615">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F5EE495">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营业执照</w:t>
            </w:r>
          </w:p>
        </w:tc>
        <w:tc>
          <w:tcPr>
            <w:tcW w:w="3053" w:type="pct"/>
            <w:tcBorders>
              <w:top w:val="single" w:color="auto" w:sz="4" w:space="0"/>
              <w:left w:val="single" w:color="auto" w:sz="4" w:space="0"/>
              <w:bottom w:val="single" w:color="auto" w:sz="4" w:space="0"/>
              <w:right w:val="single" w:color="auto" w:sz="4" w:space="0"/>
            </w:tcBorders>
            <w:vAlign w:val="center"/>
          </w:tcPr>
          <w:p w14:paraId="6D17B1CC">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供应商具有合格有效的营业执照；提供具有履行合同所必需的设备和专业技术能力</w:t>
            </w:r>
            <w:r>
              <w:rPr>
                <w:rFonts w:hint="eastAsia" w:ascii="宋体" w:hAnsi="宋体" w:eastAsia="宋体" w:cs="宋体"/>
                <w:sz w:val="24"/>
                <w:szCs w:val="24"/>
                <w:lang w:eastAsia="zh-CN"/>
              </w:rPr>
              <w:t>（自行作出承诺，格式自拟）</w:t>
            </w:r>
          </w:p>
        </w:tc>
      </w:tr>
      <w:tr w14:paraId="3B2A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517" w:type="pct"/>
            <w:vMerge w:val="continue"/>
            <w:tcBorders>
              <w:left w:val="single" w:color="auto" w:sz="4" w:space="0"/>
              <w:right w:val="single" w:color="auto" w:sz="4" w:space="0"/>
            </w:tcBorders>
            <w:vAlign w:val="center"/>
          </w:tcPr>
          <w:p w14:paraId="499A2A3D">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4803478E">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B242E6A">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无行贿记录及无商业贿赂和不正当竞争行为</w:t>
            </w:r>
          </w:p>
        </w:tc>
        <w:tc>
          <w:tcPr>
            <w:tcW w:w="3053" w:type="pct"/>
            <w:tcBorders>
              <w:top w:val="single" w:color="auto" w:sz="4" w:space="0"/>
              <w:left w:val="single" w:color="auto" w:sz="4" w:space="0"/>
              <w:bottom w:val="single" w:color="auto" w:sz="4" w:space="0"/>
              <w:right w:val="single" w:color="auto" w:sz="4" w:space="0"/>
            </w:tcBorders>
            <w:vAlign w:val="center"/>
          </w:tcPr>
          <w:p w14:paraId="04853A5D">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出具无行贿记录在中国裁判文书网自行查询或自行承诺（查询对象：企业、法定代表人）及企业自行承诺无商业贿赂和不正当竞争行为</w:t>
            </w:r>
          </w:p>
        </w:tc>
      </w:tr>
      <w:tr w14:paraId="3CA2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exact"/>
        </w:trPr>
        <w:tc>
          <w:tcPr>
            <w:tcW w:w="517" w:type="pct"/>
            <w:vMerge w:val="continue"/>
            <w:tcBorders>
              <w:left w:val="single" w:color="auto" w:sz="4" w:space="0"/>
              <w:right w:val="single" w:color="auto" w:sz="4" w:space="0"/>
            </w:tcBorders>
            <w:vAlign w:val="center"/>
          </w:tcPr>
          <w:p w14:paraId="1B3BF058">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7EAEF44C">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3C5900F6">
            <w:pPr>
              <w:autoSpaceDE w:val="0"/>
              <w:autoSpaceDN w:val="0"/>
              <w:adjustRightIn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信用查询</w:t>
            </w:r>
          </w:p>
        </w:tc>
        <w:tc>
          <w:tcPr>
            <w:tcW w:w="3053" w:type="pct"/>
            <w:tcBorders>
              <w:top w:val="single" w:color="auto" w:sz="4" w:space="0"/>
              <w:left w:val="single" w:color="auto" w:sz="4" w:space="0"/>
              <w:bottom w:val="single" w:color="auto" w:sz="4" w:space="0"/>
              <w:right w:val="single" w:color="auto" w:sz="4" w:space="0"/>
            </w:tcBorders>
            <w:vAlign w:val="center"/>
          </w:tcPr>
          <w:p w14:paraId="21495B1B">
            <w:pPr>
              <w:widowControl/>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295E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517" w:type="pct"/>
            <w:vMerge w:val="continue"/>
            <w:tcBorders>
              <w:left w:val="single" w:color="auto" w:sz="4" w:space="0"/>
              <w:bottom w:val="single" w:color="auto" w:sz="4" w:space="0"/>
              <w:right w:val="single" w:color="auto" w:sz="4" w:space="0"/>
            </w:tcBorders>
            <w:vAlign w:val="center"/>
          </w:tcPr>
          <w:p w14:paraId="623ADBD7">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bottom w:val="single" w:color="auto" w:sz="4" w:space="0"/>
              <w:right w:val="single" w:color="auto" w:sz="4" w:space="0"/>
            </w:tcBorders>
            <w:vAlign w:val="center"/>
          </w:tcPr>
          <w:p w14:paraId="74E85EEA">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9CA6113">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本项目不接受联合体投标</w:t>
            </w:r>
          </w:p>
        </w:tc>
        <w:tc>
          <w:tcPr>
            <w:tcW w:w="3053" w:type="pct"/>
            <w:tcBorders>
              <w:top w:val="single" w:color="auto" w:sz="4" w:space="0"/>
              <w:left w:val="single" w:color="auto" w:sz="4" w:space="0"/>
              <w:bottom w:val="single" w:color="auto" w:sz="4" w:space="0"/>
              <w:right w:val="single" w:color="auto" w:sz="4" w:space="0"/>
            </w:tcBorders>
            <w:vAlign w:val="top"/>
          </w:tcPr>
          <w:p w14:paraId="05025985">
            <w:pPr>
              <w:widowControl/>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本项目不接受联合体投标，供应商提供承诺书</w:t>
            </w:r>
          </w:p>
        </w:tc>
      </w:tr>
      <w:tr w14:paraId="38C6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17" w:type="pct"/>
            <w:vMerge w:val="restart"/>
            <w:tcBorders>
              <w:top w:val="single" w:color="auto" w:sz="4" w:space="0"/>
              <w:left w:val="single" w:color="auto" w:sz="4" w:space="0"/>
              <w:right w:val="single" w:color="auto" w:sz="4" w:space="0"/>
            </w:tcBorders>
            <w:vAlign w:val="center"/>
          </w:tcPr>
          <w:p w14:paraId="4B566A6C">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2.1.2</w:t>
            </w:r>
          </w:p>
        </w:tc>
        <w:tc>
          <w:tcPr>
            <w:tcW w:w="340" w:type="pct"/>
            <w:vMerge w:val="restart"/>
            <w:tcBorders>
              <w:top w:val="single" w:color="auto" w:sz="4" w:space="0"/>
              <w:left w:val="single" w:color="auto" w:sz="4" w:space="0"/>
              <w:right w:val="single" w:color="auto" w:sz="4" w:space="0"/>
            </w:tcBorders>
            <w:vAlign w:val="center"/>
          </w:tcPr>
          <w:p w14:paraId="05561488">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符 合 性 审查标准</w:t>
            </w:r>
          </w:p>
        </w:tc>
        <w:tc>
          <w:tcPr>
            <w:tcW w:w="1088" w:type="pct"/>
            <w:tcBorders>
              <w:top w:val="single" w:color="auto" w:sz="4" w:space="0"/>
              <w:left w:val="single" w:color="auto" w:sz="4" w:space="0"/>
              <w:bottom w:val="single" w:color="auto" w:sz="4" w:space="0"/>
              <w:right w:val="single" w:color="auto" w:sz="4" w:space="0"/>
            </w:tcBorders>
            <w:vAlign w:val="center"/>
          </w:tcPr>
          <w:p w14:paraId="612F1AE7">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3053" w:type="pct"/>
            <w:tcBorders>
              <w:top w:val="single" w:color="auto" w:sz="4" w:space="0"/>
              <w:left w:val="single" w:color="auto" w:sz="4" w:space="0"/>
              <w:bottom w:val="single" w:color="auto" w:sz="4" w:space="0"/>
              <w:right w:val="single" w:color="auto" w:sz="4" w:space="0"/>
            </w:tcBorders>
            <w:vAlign w:val="center"/>
          </w:tcPr>
          <w:p w14:paraId="0D29FE21">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与营业执照一致</w:t>
            </w:r>
          </w:p>
        </w:tc>
      </w:tr>
      <w:tr w14:paraId="0BE9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7" w:type="pct"/>
            <w:vMerge w:val="continue"/>
            <w:tcBorders>
              <w:left w:val="single" w:color="auto" w:sz="4" w:space="0"/>
              <w:right w:val="single" w:color="auto" w:sz="4" w:space="0"/>
            </w:tcBorders>
            <w:vAlign w:val="center"/>
          </w:tcPr>
          <w:p w14:paraId="0623ACC1">
            <w:pPr>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7ECF40D4">
            <w:pPr>
              <w:spacing w:line="400" w:lineRule="exact"/>
              <w:rPr>
                <w:rFonts w:ascii="宋体" w:hAnsi="宋体" w:eastAsia="宋体" w:cs="宋体"/>
                <w:sz w:val="24"/>
                <w:szCs w:val="24"/>
              </w:rPr>
            </w:pPr>
          </w:p>
        </w:tc>
        <w:tc>
          <w:tcPr>
            <w:tcW w:w="1088" w:type="pct"/>
            <w:tcBorders>
              <w:top w:val="single" w:color="auto" w:sz="4" w:space="0"/>
              <w:left w:val="single" w:color="auto" w:sz="4" w:space="0"/>
              <w:right w:val="single" w:color="auto" w:sz="4" w:space="0"/>
            </w:tcBorders>
            <w:vAlign w:val="center"/>
          </w:tcPr>
          <w:p w14:paraId="1899D733">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lang w:val="en-US" w:eastAsia="zh-CN"/>
              </w:rPr>
              <w:t>磋商函签字盖章</w:t>
            </w:r>
          </w:p>
        </w:tc>
        <w:tc>
          <w:tcPr>
            <w:tcW w:w="3053" w:type="pct"/>
            <w:tcBorders>
              <w:top w:val="single" w:color="auto" w:sz="4" w:space="0"/>
              <w:left w:val="single" w:color="auto" w:sz="4" w:space="0"/>
              <w:bottom w:val="single" w:color="auto" w:sz="4" w:space="0"/>
              <w:right w:val="single" w:color="auto" w:sz="4" w:space="0"/>
            </w:tcBorders>
            <w:vAlign w:val="center"/>
          </w:tcPr>
          <w:p w14:paraId="0166A727">
            <w:pPr>
              <w:autoSpaceDE w:val="0"/>
              <w:autoSpaceDN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有法定代表人或其委托代理人签字或盖章并加盖单位公章</w:t>
            </w:r>
          </w:p>
        </w:tc>
      </w:tr>
      <w:tr w14:paraId="02E7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7" w:type="pct"/>
            <w:vMerge w:val="continue"/>
            <w:tcBorders>
              <w:left w:val="single" w:color="auto" w:sz="4" w:space="0"/>
              <w:right w:val="single" w:color="auto" w:sz="4" w:space="0"/>
            </w:tcBorders>
            <w:vAlign w:val="center"/>
          </w:tcPr>
          <w:p w14:paraId="3DD977E3">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0F094BC7">
            <w:pPr>
              <w:autoSpaceDE w:val="0"/>
              <w:autoSpaceDN w:val="0"/>
              <w:adjustRightInd w:val="0"/>
              <w:spacing w:line="400" w:lineRule="exact"/>
              <w:jc w:val="center"/>
              <w:rPr>
                <w:rFonts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729CE1F">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报价唯一</w:t>
            </w:r>
          </w:p>
        </w:tc>
        <w:tc>
          <w:tcPr>
            <w:tcW w:w="3053" w:type="pct"/>
            <w:tcBorders>
              <w:top w:val="single" w:color="auto" w:sz="4" w:space="0"/>
              <w:left w:val="single" w:color="auto" w:sz="4" w:space="0"/>
              <w:bottom w:val="single" w:color="auto" w:sz="4" w:space="0"/>
              <w:right w:val="single" w:color="auto" w:sz="4" w:space="0"/>
            </w:tcBorders>
            <w:vAlign w:val="center"/>
          </w:tcPr>
          <w:p w14:paraId="1F7DC9E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只能有一个有效报价且不超最高限价</w:t>
            </w:r>
          </w:p>
        </w:tc>
      </w:tr>
      <w:tr w14:paraId="3C6F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restart"/>
            <w:tcBorders>
              <w:left w:val="single" w:color="auto" w:sz="4" w:space="0"/>
              <w:right w:val="single" w:color="auto" w:sz="4" w:space="0"/>
            </w:tcBorders>
            <w:vAlign w:val="center"/>
          </w:tcPr>
          <w:p w14:paraId="4A462EB6">
            <w:pPr>
              <w:autoSpaceDE w:val="0"/>
              <w:autoSpaceDN w:val="0"/>
              <w:adjustRightIn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w:t>
            </w:r>
          </w:p>
        </w:tc>
        <w:tc>
          <w:tcPr>
            <w:tcW w:w="340" w:type="pct"/>
            <w:vMerge w:val="restart"/>
            <w:tcBorders>
              <w:left w:val="single" w:color="auto" w:sz="4" w:space="0"/>
              <w:right w:val="single" w:color="auto" w:sz="4" w:space="0"/>
            </w:tcBorders>
            <w:vAlign w:val="center"/>
          </w:tcPr>
          <w:p w14:paraId="34ABC29B">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响应性评审</w:t>
            </w:r>
          </w:p>
        </w:tc>
        <w:tc>
          <w:tcPr>
            <w:tcW w:w="1088" w:type="pct"/>
            <w:tcBorders>
              <w:top w:val="single" w:color="auto" w:sz="4" w:space="0"/>
              <w:left w:val="single" w:color="auto" w:sz="4" w:space="0"/>
              <w:bottom w:val="single" w:color="auto" w:sz="4" w:space="0"/>
              <w:right w:val="single" w:color="auto" w:sz="4" w:space="0"/>
            </w:tcBorders>
            <w:vAlign w:val="center"/>
          </w:tcPr>
          <w:p w14:paraId="7EF511B5">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3053" w:type="pct"/>
            <w:tcBorders>
              <w:top w:val="single" w:color="auto" w:sz="4" w:space="0"/>
              <w:left w:val="single" w:color="auto" w:sz="4" w:space="0"/>
              <w:bottom w:val="single" w:color="auto" w:sz="4" w:space="0"/>
              <w:right w:val="single" w:color="auto" w:sz="4" w:space="0"/>
            </w:tcBorders>
            <w:vAlign w:val="center"/>
          </w:tcPr>
          <w:p w14:paraId="3CD0A65A">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符合第二章“供应商须知前附表”规定</w:t>
            </w:r>
          </w:p>
        </w:tc>
      </w:tr>
      <w:tr w14:paraId="604A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7" w:type="pct"/>
            <w:vMerge w:val="continue"/>
            <w:tcBorders>
              <w:left w:val="single" w:color="auto" w:sz="4" w:space="0"/>
              <w:right w:val="single" w:color="auto" w:sz="4" w:space="0"/>
            </w:tcBorders>
            <w:vAlign w:val="center"/>
          </w:tcPr>
          <w:p w14:paraId="2D10A5DA">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5B30F35A">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3911C1F">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质量要求</w:t>
            </w:r>
          </w:p>
        </w:tc>
        <w:tc>
          <w:tcPr>
            <w:tcW w:w="3053" w:type="pct"/>
            <w:tcBorders>
              <w:top w:val="single" w:color="auto" w:sz="4" w:space="0"/>
              <w:left w:val="single" w:color="auto" w:sz="4" w:space="0"/>
              <w:bottom w:val="single" w:color="auto" w:sz="4" w:space="0"/>
              <w:right w:val="single" w:color="auto" w:sz="4" w:space="0"/>
            </w:tcBorders>
            <w:vAlign w:val="center"/>
          </w:tcPr>
          <w:p w14:paraId="58506C63">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default" w:ascii="宋体" w:hAnsi="宋体" w:eastAsia="宋体" w:cs="宋体"/>
                <w:kern w:val="0"/>
                <w:sz w:val="24"/>
                <w:szCs w:val="24"/>
              </w:rPr>
              <w:t xml:space="preserve"> </w:t>
            </w:r>
            <w:r>
              <w:rPr>
                <w:rFonts w:hint="eastAsia" w:ascii="宋体" w:hAnsi="宋体" w:eastAsia="宋体" w:cs="宋体"/>
                <w:kern w:val="0"/>
                <w:sz w:val="24"/>
                <w:szCs w:val="24"/>
              </w:rPr>
              <w:t>符合国家及行业相关规范和标准</w:t>
            </w:r>
          </w:p>
        </w:tc>
      </w:tr>
      <w:tr w14:paraId="7A19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17" w:type="pct"/>
            <w:vMerge w:val="continue"/>
            <w:tcBorders>
              <w:left w:val="single" w:color="auto" w:sz="4" w:space="0"/>
              <w:right w:val="single" w:color="auto" w:sz="4" w:space="0"/>
            </w:tcBorders>
            <w:vAlign w:val="center"/>
          </w:tcPr>
          <w:p w14:paraId="115D70C1">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06A61AFD">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16226C6B">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有效期</w:t>
            </w:r>
          </w:p>
        </w:tc>
        <w:tc>
          <w:tcPr>
            <w:tcW w:w="3053" w:type="pct"/>
            <w:tcBorders>
              <w:top w:val="single" w:color="auto" w:sz="4" w:space="0"/>
              <w:left w:val="single" w:color="auto" w:sz="4" w:space="0"/>
              <w:bottom w:val="single" w:color="auto" w:sz="4" w:space="0"/>
              <w:right w:val="single" w:color="auto" w:sz="4" w:space="0"/>
            </w:tcBorders>
            <w:vAlign w:val="center"/>
          </w:tcPr>
          <w:p w14:paraId="58515A74">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响应文件递交截止之日起60日历天</w:t>
            </w:r>
          </w:p>
        </w:tc>
      </w:tr>
      <w:tr w14:paraId="3AAF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7" w:type="pct"/>
            <w:vMerge w:val="continue"/>
            <w:tcBorders>
              <w:left w:val="single" w:color="auto" w:sz="4" w:space="0"/>
              <w:right w:val="single" w:color="auto" w:sz="4" w:space="0"/>
            </w:tcBorders>
            <w:vAlign w:val="center"/>
          </w:tcPr>
          <w:p w14:paraId="7B864AC2">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29C2E756">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32DD3CC8">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报价</w:t>
            </w:r>
          </w:p>
        </w:tc>
        <w:tc>
          <w:tcPr>
            <w:tcW w:w="3053" w:type="pct"/>
            <w:tcBorders>
              <w:top w:val="single" w:color="auto" w:sz="4" w:space="0"/>
              <w:left w:val="single" w:color="auto" w:sz="4" w:space="0"/>
              <w:bottom w:val="single" w:color="auto" w:sz="4" w:space="0"/>
              <w:right w:val="single" w:color="auto" w:sz="4" w:space="0"/>
            </w:tcBorders>
            <w:vAlign w:val="center"/>
          </w:tcPr>
          <w:p w14:paraId="4EBD6B1F">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供应商磋商</w:t>
            </w:r>
            <w:r>
              <w:rPr>
                <w:rFonts w:hint="eastAsia" w:ascii="宋体" w:hAnsi="宋体" w:eastAsia="宋体" w:cs="宋体"/>
                <w:kern w:val="0"/>
                <w:sz w:val="24"/>
                <w:szCs w:val="24"/>
              </w:rPr>
              <w:t>报价不得高于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公布的数额，否则其投标将被否决。</w:t>
            </w:r>
          </w:p>
        </w:tc>
      </w:tr>
      <w:tr w14:paraId="2224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7" w:type="pct"/>
            <w:vMerge w:val="continue"/>
            <w:tcBorders>
              <w:left w:val="single" w:color="auto" w:sz="4" w:space="0"/>
              <w:right w:val="single" w:color="auto" w:sz="4" w:space="0"/>
            </w:tcBorders>
            <w:vAlign w:val="center"/>
          </w:tcPr>
          <w:p w14:paraId="15E70976">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51D3D3A7">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2B0B06DD">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3053" w:type="pct"/>
            <w:tcBorders>
              <w:top w:val="single" w:color="auto" w:sz="4" w:space="0"/>
              <w:left w:val="single" w:color="auto" w:sz="4" w:space="0"/>
              <w:bottom w:val="single" w:color="auto" w:sz="4" w:space="0"/>
              <w:right w:val="single" w:color="auto" w:sz="4" w:space="0"/>
            </w:tcBorders>
            <w:vAlign w:val="center"/>
          </w:tcPr>
          <w:p w14:paraId="619691EC">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磋商文件规定的其他内容</w:t>
            </w:r>
          </w:p>
        </w:tc>
      </w:tr>
    </w:tbl>
    <w:p w14:paraId="23ADDB37">
      <w:pPr>
        <w:snapToGrid w:val="0"/>
        <w:spacing w:line="460" w:lineRule="exact"/>
        <w:ind w:left="1" w:firstLine="482" w:firstLineChars="200"/>
        <w:rPr>
          <w:rFonts w:ascii="宋体" w:hAnsi="宋体" w:eastAsia="宋体" w:cs="Times New Roman"/>
          <w:b/>
          <w:bCs/>
          <w:sz w:val="24"/>
          <w:szCs w:val="24"/>
        </w:rPr>
      </w:pPr>
    </w:p>
    <w:p w14:paraId="40CFF8C9">
      <w:pPr>
        <w:snapToGrid w:val="0"/>
        <w:spacing w:line="460" w:lineRule="exact"/>
        <w:ind w:firstLine="482" w:firstLineChars="200"/>
        <w:outlineLvl w:val="0"/>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、详细评审</w:t>
      </w:r>
    </w:p>
    <w:tbl>
      <w:tblPr>
        <w:tblStyle w:val="20"/>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5276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ign w:val="center"/>
          </w:tcPr>
          <w:p w14:paraId="0623C3D0">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0515FA1E">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因素</w:t>
            </w:r>
          </w:p>
        </w:tc>
        <w:tc>
          <w:tcPr>
            <w:tcW w:w="1275" w:type="dxa"/>
            <w:noWrap/>
            <w:vAlign w:val="center"/>
          </w:tcPr>
          <w:p w14:paraId="73644710">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5A995793">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内容</w:t>
            </w:r>
          </w:p>
        </w:tc>
        <w:tc>
          <w:tcPr>
            <w:tcW w:w="6121" w:type="dxa"/>
            <w:noWrap/>
            <w:vAlign w:val="center"/>
          </w:tcPr>
          <w:p w14:paraId="7C85B492">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评分标准</w:t>
            </w:r>
          </w:p>
        </w:tc>
        <w:tc>
          <w:tcPr>
            <w:tcW w:w="838" w:type="dxa"/>
            <w:noWrap/>
            <w:vAlign w:val="center"/>
          </w:tcPr>
          <w:p w14:paraId="3E123F39">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分值</w:t>
            </w:r>
          </w:p>
        </w:tc>
      </w:tr>
      <w:tr w14:paraId="78BC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ign w:val="center"/>
          </w:tcPr>
          <w:p w14:paraId="4AE16C51">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w:t>
            </w:r>
          </w:p>
          <w:p w14:paraId="14023DD8">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报价</w:t>
            </w:r>
          </w:p>
          <w:p w14:paraId="5D779BA8">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p w14:paraId="324C3115">
            <w:pPr>
              <w:snapToGrid w:val="0"/>
              <w:spacing w:line="440" w:lineRule="exact"/>
              <w:jc w:val="center"/>
              <w:rPr>
                <w:rFonts w:ascii="宋体" w:hAnsi="宋体" w:eastAsia="宋体" w:cs="Times New Roman"/>
                <w:kern w:val="0"/>
                <w:sz w:val="24"/>
                <w:szCs w:val="24"/>
              </w:rPr>
            </w:pPr>
          </w:p>
        </w:tc>
        <w:tc>
          <w:tcPr>
            <w:tcW w:w="1275" w:type="dxa"/>
            <w:noWrap/>
            <w:vAlign w:val="center"/>
          </w:tcPr>
          <w:p w14:paraId="6F0BA74A">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121" w:type="dxa"/>
            <w:noWrap/>
            <w:vAlign w:val="center"/>
          </w:tcPr>
          <w:p w14:paraId="162937EF">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37957F29">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57CF6B68">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417EFC91">
            <w:pPr>
              <w:spacing w:line="440" w:lineRule="exact"/>
              <w:rPr>
                <w:rFonts w:hint="eastAsia" w:ascii="宋体" w:hAnsi="宋体" w:eastAsia="宋体" w:cs="Times New Roman"/>
                <w:sz w:val="24"/>
                <w:szCs w:val="24"/>
                <w:lang w:val="en-US" w:eastAsia="zh-CN"/>
              </w:rPr>
            </w:pPr>
            <w:r>
              <w:rPr>
                <w:rFonts w:hint="eastAsia" w:ascii="宋体" w:hAnsi="宋体" w:cs="宋体"/>
                <w:bCs/>
                <w:sz w:val="24"/>
              </w:rPr>
              <w:t>供应商报价得分=（评标基准价/供应商投标报价）×30</w:t>
            </w:r>
          </w:p>
          <w:p w14:paraId="075FF34D">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4.参与计算的投标报价要考虑小微型企业产品的价格扣除因素。</w:t>
            </w:r>
          </w:p>
          <w:p w14:paraId="4F0B174B">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5.最终得分计算保留小数点后两位。</w:t>
            </w:r>
          </w:p>
          <w:p w14:paraId="47573CF5">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838" w:type="dxa"/>
            <w:noWrap/>
            <w:vAlign w:val="center"/>
          </w:tcPr>
          <w:p w14:paraId="22D69E0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tc>
      </w:tr>
      <w:tr w14:paraId="14C9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restart"/>
            <w:noWrap/>
            <w:vAlign w:val="center"/>
          </w:tcPr>
          <w:p w14:paraId="704A314A">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w:t>
            </w:r>
            <w:r>
              <w:rPr>
                <w:rFonts w:hint="eastAsia" w:ascii="宋体" w:hAnsi="宋体" w:eastAsia="宋体" w:cs="宋体"/>
                <w:sz w:val="24"/>
                <w:szCs w:val="24"/>
              </w:rPr>
              <w:t>标（</w:t>
            </w: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c>
          <w:tcPr>
            <w:tcW w:w="1275" w:type="dxa"/>
            <w:noWrap/>
            <w:vAlign w:val="center"/>
          </w:tcPr>
          <w:p w14:paraId="5FCB975F">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技术指标响应情况</w:t>
            </w:r>
          </w:p>
        </w:tc>
        <w:tc>
          <w:tcPr>
            <w:tcW w:w="6121" w:type="dxa"/>
            <w:noWrap/>
            <w:vAlign w:val="center"/>
          </w:tcPr>
          <w:p w14:paraId="587BD370">
            <w:pPr>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rPr>
              <w:t>供应商所投货物的技术参数、性能指标能够全部满足招标文件要求得35分，如有一项负偏离减3分，扣完为止，不计负分。</w:t>
            </w:r>
          </w:p>
        </w:tc>
        <w:tc>
          <w:tcPr>
            <w:tcW w:w="838" w:type="dxa"/>
            <w:noWrap/>
            <w:vAlign w:val="center"/>
          </w:tcPr>
          <w:p w14:paraId="10638DD2">
            <w:pPr>
              <w:spacing w:before="156"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r>
      <w:tr w14:paraId="3A37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0" w:type="dxa"/>
            <w:vMerge w:val="restart"/>
            <w:noWrap/>
            <w:vAlign w:val="center"/>
          </w:tcPr>
          <w:p w14:paraId="609B414E">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商务标（</w:t>
            </w:r>
            <w:r>
              <w:rPr>
                <w:rFonts w:hint="eastAsia" w:ascii="宋体" w:hAnsi="宋体" w:eastAsia="宋体" w:cs="Times New Roman"/>
                <w:kern w:val="0"/>
                <w:sz w:val="24"/>
                <w:szCs w:val="24"/>
                <w:lang w:val="en-US" w:eastAsia="zh-CN"/>
              </w:rPr>
              <w:t>35</w:t>
            </w:r>
            <w:r>
              <w:rPr>
                <w:rFonts w:hint="eastAsia" w:ascii="宋体" w:hAnsi="宋体" w:eastAsia="宋体" w:cs="Times New Roman"/>
                <w:kern w:val="0"/>
                <w:sz w:val="24"/>
                <w:szCs w:val="24"/>
              </w:rPr>
              <w:t>分）</w:t>
            </w:r>
          </w:p>
        </w:tc>
        <w:tc>
          <w:tcPr>
            <w:tcW w:w="1275" w:type="dxa"/>
            <w:noWrap/>
            <w:vAlign w:val="center"/>
          </w:tcPr>
          <w:p w14:paraId="5C2AC155">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类似业绩</w:t>
            </w:r>
          </w:p>
        </w:tc>
        <w:tc>
          <w:tcPr>
            <w:tcW w:w="6121" w:type="dxa"/>
            <w:noWrap/>
            <w:vAlign w:val="top"/>
          </w:tcPr>
          <w:p w14:paraId="5CBD851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投标人或生产厂家自 2021年 1 月 1 日至投标截止日期，每提供 1 个类似经营业绩计 2分，最多计6分，未提供不计分。</w:t>
            </w:r>
          </w:p>
          <w:p w14:paraId="04F52A0A">
            <w:pPr>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须提供中标通知书或经营业绩的合同扫描件，否则，不计分。</w:t>
            </w:r>
          </w:p>
        </w:tc>
        <w:tc>
          <w:tcPr>
            <w:tcW w:w="838" w:type="dxa"/>
            <w:noWrap/>
            <w:vAlign w:val="center"/>
          </w:tcPr>
          <w:p w14:paraId="1BED08B8">
            <w:pPr>
              <w:spacing w:before="156"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59CD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0" w:type="dxa"/>
            <w:vMerge w:val="continue"/>
            <w:noWrap/>
            <w:vAlign w:val="center"/>
          </w:tcPr>
          <w:p w14:paraId="7AD0F73F">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4CE715ED">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安装培训方案</w:t>
            </w:r>
          </w:p>
        </w:tc>
        <w:tc>
          <w:tcPr>
            <w:tcW w:w="6121" w:type="dxa"/>
            <w:noWrap/>
            <w:vAlign w:val="center"/>
          </w:tcPr>
          <w:p w14:paraId="259FC7FE">
            <w:pPr>
              <w:widowControl/>
              <w:spacing w:line="440" w:lineRule="exact"/>
              <w:rPr>
                <w:rFonts w:hint="eastAsia" w:ascii="宋体" w:hAnsi="Calibri" w:eastAsia="宋体" w:cs="Times New Roman"/>
                <w:spacing w:val="-8"/>
                <w:sz w:val="24"/>
              </w:rPr>
            </w:pPr>
            <w:r>
              <w:rPr>
                <w:rFonts w:hint="eastAsia" w:ascii="宋体" w:hAnsi="Calibri" w:eastAsia="宋体" w:cs="Times New Roman"/>
                <w:spacing w:val="-8"/>
                <w:sz w:val="24"/>
              </w:rPr>
              <w:t>根据采购人实际需求，针对项目实际情况，对安装培训制定合理、可行的计划方案，设备安装调试及培训方案特别详实可行，安装培训部署方案详尽、合理，得10分；</w:t>
            </w:r>
          </w:p>
          <w:p w14:paraId="67968A37">
            <w:pPr>
              <w:widowControl/>
              <w:spacing w:line="440" w:lineRule="exact"/>
              <w:rPr>
                <w:rFonts w:hint="eastAsia" w:ascii="宋体" w:hAnsi="Calibri" w:eastAsia="宋体" w:cs="Times New Roman"/>
                <w:spacing w:val="-8"/>
                <w:sz w:val="24"/>
              </w:rPr>
            </w:pPr>
            <w:r>
              <w:rPr>
                <w:rFonts w:hint="eastAsia" w:ascii="宋体" w:hAnsi="Calibri" w:eastAsia="宋体" w:cs="Times New Roman"/>
                <w:spacing w:val="-8"/>
                <w:sz w:val="24"/>
              </w:rPr>
              <w:t>根据采购人实际需求，针对项目实际情况，对安装培训制定合理、可行的计划方案，设备安装调试及培训方案比较详实可行，安装培训部署方案基本合理，得5分；</w:t>
            </w:r>
          </w:p>
          <w:p w14:paraId="025C40EA">
            <w:pPr>
              <w:widowControl/>
              <w:spacing w:line="440" w:lineRule="exact"/>
              <w:rPr>
                <w:rFonts w:hint="eastAsia" w:ascii="宋体" w:hAnsi="宋体" w:eastAsia="宋体" w:cs="Times New Roman"/>
                <w:kern w:val="2"/>
                <w:sz w:val="24"/>
                <w:szCs w:val="24"/>
                <w:lang w:val="en-US" w:eastAsia="zh-CN" w:bidi="ar-SA"/>
              </w:rPr>
            </w:pPr>
            <w:r>
              <w:rPr>
                <w:rFonts w:hint="eastAsia" w:ascii="宋体" w:hAnsi="Calibri" w:eastAsia="宋体" w:cs="Times New Roman"/>
                <w:spacing w:val="-8"/>
                <w:sz w:val="24"/>
              </w:rPr>
              <w:t>完全不满足不得分。</w:t>
            </w:r>
          </w:p>
        </w:tc>
        <w:tc>
          <w:tcPr>
            <w:tcW w:w="838" w:type="dxa"/>
            <w:noWrap/>
            <w:vAlign w:val="center"/>
          </w:tcPr>
          <w:p w14:paraId="2EC8B7BA">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tc>
      </w:tr>
      <w:tr w14:paraId="28E2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50" w:type="dxa"/>
            <w:vMerge w:val="continue"/>
            <w:noWrap/>
            <w:vAlign w:val="center"/>
          </w:tcPr>
          <w:p w14:paraId="697DB8E2">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19C5284F">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售后服务方案</w:t>
            </w:r>
          </w:p>
        </w:tc>
        <w:tc>
          <w:tcPr>
            <w:tcW w:w="6121" w:type="dxa"/>
            <w:noWrap/>
            <w:vAlign w:val="center"/>
          </w:tcPr>
          <w:p w14:paraId="26B5BB1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投标人根据本项目特点提供售后服务方案，方案内容及措施 (至少应包含但不限于：售后人员配备名单及售后人员相关证书、售后响应时间、售后流程、售后培训计划、售后服务承诺、故障解决流程等) 进行分档计分：</w:t>
            </w:r>
          </w:p>
          <w:p w14:paraId="44CF4616">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第一档：方案思路清晰、合理、措施完善、科学、针对性强的计11分；</w:t>
            </w:r>
          </w:p>
          <w:p w14:paraId="291E589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第二档：方案思路较清晰、较合理、措施较完善、较科学、针对性较 强的计6分；</w:t>
            </w:r>
          </w:p>
          <w:p w14:paraId="27BF75D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第三档：方案思路欠清晰、欠合理、措施欠完善、欠科学、针对性一 般的计3分；</w:t>
            </w:r>
          </w:p>
          <w:p w14:paraId="7E68404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未提供的不计分。</w:t>
            </w:r>
          </w:p>
        </w:tc>
        <w:tc>
          <w:tcPr>
            <w:tcW w:w="838" w:type="dxa"/>
            <w:noWrap/>
            <w:vAlign w:val="center"/>
          </w:tcPr>
          <w:p w14:paraId="7BDB89F7">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11分</w:t>
            </w:r>
          </w:p>
        </w:tc>
      </w:tr>
      <w:tr w14:paraId="1802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50" w:type="dxa"/>
            <w:vMerge w:val="continue"/>
            <w:noWrap/>
            <w:vAlign w:val="center"/>
          </w:tcPr>
          <w:p w14:paraId="77290362">
            <w:pPr>
              <w:snapToGrid w:val="0"/>
              <w:spacing w:line="440" w:lineRule="exact"/>
              <w:rPr>
                <w:rFonts w:ascii="宋体" w:hAnsi="宋体" w:eastAsia="宋体" w:cs="Times New Roman"/>
                <w:kern w:val="0"/>
                <w:sz w:val="24"/>
                <w:szCs w:val="24"/>
              </w:rPr>
            </w:pPr>
          </w:p>
        </w:tc>
        <w:tc>
          <w:tcPr>
            <w:tcW w:w="1275" w:type="dxa"/>
            <w:noWrap/>
            <w:vAlign w:val="center"/>
          </w:tcPr>
          <w:p w14:paraId="120CFD4D">
            <w:pPr>
              <w:spacing w:line="440" w:lineRule="exact"/>
              <w:rPr>
                <w:rFonts w:hint="default" w:ascii="宋体" w:hAnsi="宋体" w:eastAsia="宋体" w:cs="Times New Roman"/>
                <w:sz w:val="24"/>
                <w:szCs w:val="24"/>
                <w:lang w:val="en-US" w:eastAsia="zh-CN"/>
              </w:rPr>
            </w:pPr>
            <w:r>
              <w:rPr>
                <w:rFonts w:hint="eastAsia" w:ascii="宋体" w:hAnsi="宋体" w:eastAsia="宋体" w:cs="Times New Roman"/>
                <w:sz w:val="24"/>
                <w:szCs w:val="24"/>
              </w:rPr>
              <w:t>产品质量保证措施</w:t>
            </w:r>
          </w:p>
        </w:tc>
        <w:tc>
          <w:tcPr>
            <w:tcW w:w="6121" w:type="dxa"/>
            <w:noWrap/>
            <w:vAlign w:val="center"/>
          </w:tcPr>
          <w:p w14:paraId="771F9CA0">
            <w:pPr>
              <w:pStyle w:val="60"/>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供货进度安排及项目实施保证措施：</w:t>
            </w:r>
          </w:p>
          <w:p w14:paraId="221E33B2">
            <w:pPr>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或生产厂家针对本项目的所有产品分别提供供货进度安排及保证措施：①供货安装进度计划；②人员安排；③产品验收方案；④应急情况处理保障等。方案内容完整、合理且符合项目实际情况的得8分，有1 项内容缺失扣2分；有1项内容不合理、不完整、不符合项目实际情况的扣1分。</w:t>
            </w:r>
          </w:p>
        </w:tc>
        <w:tc>
          <w:tcPr>
            <w:tcW w:w="838" w:type="dxa"/>
            <w:noWrap/>
            <w:vAlign w:val="center"/>
          </w:tcPr>
          <w:p w14:paraId="691D2201">
            <w:pPr>
              <w:spacing w:before="156"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8分</w:t>
            </w:r>
          </w:p>
        </w:tc>
      </w:tr>
    </w:tbl>
    <w:p w14:paraId="42811ADD">
      <w:pPr>
        <w:spacing w:line="420" w:lineRule="exact"/>
        <w:rPr>
          <w:rFonts w:ascii="宋体" w:hAnsi="宋体" w:eastAsia="宋体" w:cs="Times New Roman"/>
          <w:b/>
          <w:bCs/>
          <w:sz w:val="24"/>
          <w:szCs w:val="24"/>
        </w:rPr>
      </w:pPr>
    </w:p>
    <w:p w14:paraId="2960F538">
      <w:pPr>
        <w:spacing w:line="420" w:lineRule="exac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计分办法</w:t>
      </w:r>
    </w:p>
    <w:p w14:paraId="469F951B">
      <w:pPr>
        <w:spacing w:line="420" w:lineRule="exact"/>
        <w:rPr>
          <w:rFonts w:ascii="宋体" w:hAnsi="宋体" w:eastAsia="宋体" w:cs="Times New Roman"/>
          <w:sz w:val="24"/>
          <w:szCs w:val="24"/>
        </w:rPr>
      </w:pPr>
      <w:r>
        <w:rPr>
          <w:rFonts w:ascii="宋体" w:hAnsi="宋体" w:eastAsia="宋体" w:cs="Times New Roman"/>
          <w:sz w:val="24"/>
          <w:szCs w:val="24"/>
        </w:rPr>
        <w:t xml:space="preserve">  5.1</w:t>
      </w:r>
      <w:r>
        <w:rPr>
          <w:rFonts w:hint="eastAsia" w:ascii="宋体" w:hAnsi="宋体" w:eastAsia="宋体" w:cs="Times New Roman"/>
          <w:sz w:val="24"/>
          <w:szCs w:val="24"/>
        </w:rPr>
        <w:t>计分过程中按四舍五入的法则，取至小数点后</w:t>
      </w:r>
      <w:r>
        <w:rPr>
          <w:rFonts w:ascii="宋体" w:hAnsi="宋体" w:eastAsia="宋体" w:cs="Times New Roman"/>
          <w:sz w:val="24"/>
          <w:szCs w:val="24"/>
        </w:rPr>
        <w:t>2</w:t>
      </w:r>
      <w:r>
        <w:rPr>
          <w:rFonts w:hint="eastAsia" w:ascii="宋体" w:hAnsi="宋体" w:eastAsia="宋体" w:cs="Times New Roman"/>
          <w:sz w:val="24"/>
          <w:szCs w:val="24"/>
        </w:rPr>
        <w:t>位，磋商响应供应商的最终得分为所有磋商小组打分的算术平均值，最终结果取至小数点后</w:t>
      </w:r>
      <w:r>
        <w:rPr>
          <w:rFonts w:ascii="宋体" w:hAnsi="宋体" w:eastAsia="宋体" w:cs="Times New Roman"/>
          <w:sz w:val="24"/>
          <w:szCs w:val="24"/>
        </w:rPr>
        <w:t>2</w:t>
      </w:r>
      <w:r>
        <w:rPr>
          <w:rFonts w:hint="eastAsia" w:ascii="宋体" w:hAnsi="宋体" w:eastAsia="宋体" w:cs="Times New Roman"/>
          <w:sz w:val="24"/>
          <w:szCs w:val="24"/>
        </w:rPr>
        <w:t>位。磋商小组将按磋商响应供应商得分高低排序向采购人推荐成交候选供应商，并标明顺序。</w:t>
      </w:r>
    </w:p>
    <w:p w14:paraId="7547EA3F">
      <w:pPr>
        <w:spacing w:line="420" w:lineRule="exact"/>
        <w:rPr>
          <w:rFonts w:ascii="宋体" w:hAnsi="宋体" w:eastAsia="宋体" w:cs="Times New Roman"/>
          <w:b/>
          <w:bCs/>
          <w:kern w:val="0"/>
          <w:sz w:val="24"/>
          <w:szCs w:val="24"/>
        </w:rPr>
      </w:pPr>
      <w:r>
        <w:rPr>
          <w:rFonts w:ascii="宋体" w:hAnsi="宋体" w:eastAsia="宋体" w:cs="Times New Roman"/>
          <w:b/>
          <w:bCs/>
          <w:kern w:val="0"/>
          <w:sz w:val="24"/>
          <w:szCs w:val="24"/>
        </w:rPr>
        <w:t xml:space="preserve">  6.</w:t>
      </w:r>
      <w:r>
        <w:rPr>
          <w:rFonts w:hint="eastAsia" w:ascii="宋体" w:hAnsi="宋体" w:eastAsia="宋体" w:cs="Times New Roman"/>
          <w:b/>
          <w:bCs/>
          <w:kern w:val="0"/>
          <w:sz w:val="24"/>
          <w:szCs w:val="24"/>
        </w:rPr>
        <w:t>定标</w:t>
      </w:r>
    </w:p>
    <w:p w14:paraId="7CC63F8F">
      <w:pPr>
        <w:spacing w:line="420" w:lineRule="exact"/>
        <w:ind w:firstLine="240" w:firstLineChars="100"/>
        <w:rPr>
          <w:rFonts w:ascii="宋体" w:hAnsi="宋体" w:eastAsia="宋体" w:cs="宋体"/>
          <w:sz w:val="24"/>
          <w:szCs w:val="24"/>
        </w:rPr>
      </w:pPr>
      <w:r>
        <w:rPr>
          <w:rFonts w:ascii="宋体" w:hAnsi="宋体" w:eastAsia="宋体" w:cs="Times New Roman"/>
          <w:sz w:val="24"/>
          <w:szCs w:val="24"/>
        </w:rPr>
        <w:t>6.1</w:t>
      </w:r>
      <w:r>
        <w:rPr>
          <w:rFonts w:hint="eastAsia" w:ascii="宋体" w:hAnsi="宋体" w:eastAsia="宋体" w:cs="宋体"/>
          <w:sz w:val="24"/>
          <w:szCs w:val="24"/>
        </w:rPr>
        <w:t>根据磋商小组计分结果, 按照评审由高到低的顺序推荐成交候选供应商，并向采购人提供书面评审报告。</w:t>
      </w:r>
    </w:p>
    <w:p w14:paraId="7CF930B0">
      <w:pPr>
        <w:rPr>
          <w:rFonts w:hint="eastAsia" w:ascii="宋体" w:hAnsi="宋体" w:eastAsia="宋体" w:cs="Times New Roman"/>
          <w:b/>
          <w:bCs/>
          <w:kern w:val="44"/>
          <w:sz w:val="32"/>
          <w:szCs w:val="32"/>
        </w:rPr>
      </w:pPr>
      <w:r>
        <w:rPr>
          <w:rFonts w:hint="eastAsia" w:ascii="宋体" w:hAnsi="宋体" w:eastAsia="宋体" w:cs="Times New Roman"/>
          <w:b/>
          <w:bCs/>
          <w:kern w:val="44"/>
          <w:sz w:val="32"/>
          <w:szCs w:val="32"/>
        </w:rPr>
        <w:br w:type="page"/>
      </w:r>
    </w:p>
    <w:p w14:paraId="39823D65">
      <w:pPr>
        <w:spacing w:line="500" w:lineRule="exact"/>
        <w:ind w:firstLine="2570" w:firstLineChars="800"/>
        <w:outlineLvl w:val="0"/>
        <w:rPr>
          <w:rFonts w:ascii="宋体" w:hAnsi="宋体" w:eastAsia="宋体" w:cs="Times New Roman"/>
          <w:b/>
          <w:bCs/>
          <w:kern w:val="44"/>
          <w:sz w:val="44"/>
          <w:szCs w:val="44"/>
        </w:rPr>
      </w:pPr>
      <w:r>
        <w:rPr>
          <w:rFonts w:hint="eastAsia" w:ascii="宋体" w:hAnsi="宋体" w:eastAsia="宋体" w:cs="Times New Roman"/>
          <w:b/>
          <w:bCs/>
          <w:kern w:val="44"/>
          <w:sz w:val="32"/>
          <w:szCs w:val="32"/>
        </w:rPr>
        <w:t>第五章</w:t>
      </w:r>
      <w:bookmarkStart w:id="2" w:name="_Toc269828235"/>
      <w:bookmarkEnd w:id="2"/>
      <w:bookmarkStart w:id="3" w:name="_Toc7902"/>
      <w:bookmarkEnd w:id="3"/>
      <w:bookmarkStart w:id="4" w:name="_Toc331669567"/>
      <w:bookmarkEnd w:id="4"/>
      <w:bookmarkStart w:id="5" w:name="_Toc269828236"/>
      <w:r>
        <w:rPr>
          <w:rFonts w:hint="eastAsia" w:ascii="宋体" w:hAnsi="宋体" w:eastAsia="宋体" w:cs="Times New Roman"/>
          <w:b/>
          <w:bCs/>
          <w:kern w:val="44"/>
          <w:sz w:val="32"/>
          <w:szCs w:val="32"/>
        </w:rPr>
        <w:t>合同主要条款</w:t>
      </w:r>
      <w:bookmarkEnd w:id="5"/>
      <w:r>
        <w:rPr>
          <w:rFonts w:hint="eastAsia" w:ascii="宋体" w:hAnsi="宋体" w:eastAsia="宋体" w:cs="Times New Roman"/>
          <w:b/>
          <w:bCs/>
          <w:kern w:val="44"/>
          <w:sz w:val="32"/>
          <w:szCs w:val="32"/>
        </w:rPr>
        <w:t>及格式</w:t>
      </w:r>
    </w:p>
    <w:p w14:paraId="01DCAAF3">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（此格式仅供参考，以双方最终签订合同为准）</w:t>
      </w:r>
    </w:p>
    <w:p w14:paraId="3484BB7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甲方：</w:t>
      </w:r>
    </w:p>
    <w:p w14:paraId="157D1A76">
      <w:pPr>
        <w:spacing w:line="500" w:lineRule="exact"/>
        <w:ind w:firstLine="638" w:firstLineChars="228"/>
        <w:rPr>
          <w:rFonts w:ascii="仿宋" w:hAnsi="仿宋" w:eastAsia="宋体" w:cs="Times New Roman"/>
          <w:color w:val="000000"/>
          <w:sz w:val="28"/>
          <w:szCs w:val="28"/>
        </w:rPr>
      </w:pPr>
      <w:r>
        <w:rPr>
          <w:rFonts w:hint="eastAsia" w:ascii="仿宋" w:hAnsi="仿宋" w:eastAsia="仿宋" w:cs="Times New Roman"/>
          <w:color w:val="000000"/>
          <w:sz w:val="28"/>
          <w:szCs w:val="28"/>
        </w:rPr>
        <w:t>乙方:</w:t>
      </w:r>
    </w:p>
    <w:p w14:paraId="22705E06">
      <w:pPr>
        <w:spacing w:line="480" w:lineRule="exact"/>
        <w:ind w:firstLine="750" w:firstLineChars="250"/>
        <w:rPr>
          <w:rFonts w:ascii="仿宋" w:hAnsi="仿宋" w:eastAsia="仿宋" w:cs="Times New Roman"/>
          <w:sz w:val="30"/>
          <w:szCs w:val="30"/>
        </w:rPr>
      </w:pPr>
      <w:r>
        <w:rPr>
          <w:rFonts w:hint="eastAsia" w:ascii="仿宋" w:hAnsi="仿宋" w:eastAsia="仿宋" w:cs="Times New Roman"/>
          <w:sz w:val="30"/>
          <w:szCs w:val="30"/>
        </w:rPr>
        <w:t>依据《中华人民共和国民法典》的相关规定，现依照相关法律法规及竞争性磋商文件内容，经双方协商一致，签订本合同。</w:t>
      </w:r>
    </w:p>
    <w:p w14:paraId="7B4A352A">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第一条　1.货物的名称、产地、品牌规格、数量、配置及单价</w:t>
      </w:r>
    </w:p>
    <w:tbl>
      <w:tblPr>
        <w:tblStyle w:val="20"/>
        <w:tblW w:w="5076"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88"/>
        <w:gridCol w:w="2183"/>
        <w:gridCol w:w="2334"/>
        <w:gridCol w:w="2023"/>
      </w:tblGrid>
      <w:tr w14:paraId="4B1A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3" w:type="pct"/>
            <w:noWrap/>
            <w:vAlign w:val="center"/>
          </w:tcPr>
          <w:p w14:paraId="4A0AFDAA">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名  称</w:t>
            </w:r>
          </w:p>
        </w:tc>
        <w:tc>
          <w:tcPr>
            <w:tcW w:w="570" w:type="pct"/>
            <w:noWrap/>
            <w:vAlign w:val="center"/>
          </w:tcPr>
          <w:p w14:paraId="3657C650">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品牌</w:t>
            </w:r>
          </w:p>
        </w:tc>
        <w:tc>
          <w:tcPr>
            <w:tcW w:w="1144" w:type="pct"/>
            <w:noWrap/>
            <w:vAlign w:val="center"/>
          </w:tcPr>
          <w:p w14:paraId="68F81995">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规格型号</w:t>
            </w:r>
          </w:p>
        </w:tc>
        <w:tc>
          <w:tcPr>
            <w:tcW w:w="1223" w:type="pct"/>
            <w:noWrap/>
            <w:vAlign w:val="center"/>
          </w:tcPr>
          <w:p w14:paraId="7D4D509A">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数 量</w:t>
            </w:r>
          </w:p>
        </w:tc>
        <w:tc>
          <w:tcPr>
            <w:tcW w:w="1059" w:type="pct"/>
            <w:noWrap/>
            <w:vAlign w:val="center"/>
          </w:tcPr>
          <w:p w14:paraId="20B810EC">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金额</w:t>
            </w:r>
          </w:p>
        </w:tc>
      </w:tr>
      <w:tr w14:paraId="28BF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3" w:type="pct"/>
            <w:noWrap/>
            <w:vAlign w:val="center"/>
          </w:tcPr>
          <w:p w14:paraId="6F4D7ED6">
            <w:pPr>
              <w:spacing w:line="500" w:lineRule="exact"/>
              <w:jc w:val="center"/>
              <w:rPr>
                <w:rFonts w:ascii="仿宋" w:hAnsi="仿宋" w:eastAsia="仿宋" w:cs="Times New Roman"/>
                <w:color w:val="000000"/>
                <w:sz w:val="24"/>
                <w:szCs w:val="24"/>
              </w:rPr>
            </w:pPr>
          </w:p>
        </w:tc>
        <w:tc>
          <w:tcPr>
            <w:tcW w:w="570" w:type="pct"/>
            <w:noWrap/>
            <w:vAlign w:val="center"/>
          </w:tcPr>
          <w:p w14:paraId="242D363A">
            <w:pPr>
              <w:spacing w:line="500" w:lineRule="exact"/>
              <w:jc w:val="center"/>
              <w:rPr>
                <w:rFonts w:ascii="楷体" w:hAnsi="楷体" w:eastAsia="楷体" w:cs="Times New Roman"/>
                <w:color w:val="000000"/>
                <w:sz w:val="24"/>
                <w:szCs w:val="24"/>
              </w:rPr>
            </w:pPr>
          </w:p>
        </w:tc>
        <w:tc>
          <w:tcPr>
            <w:tcW w:w="1144" w:type="pct"/>
            <w:noWrap/>
            <w:vAlign w:val="center"/>
          </w:tcPr>
          <w:p w14:paraId="34B3B295">
            <w:pPr>
              <w:spacing w:line="500" w:lineRule="exact"/>
              <w:jc w:val="center"/>
              <w:rPr>
                <w:rFonts w:ascii="仿宋" w:hAnsi="仿宋" w:eastAsia="仿宋" w:cs="Times New Roman"/>
                <w:color w:val="000000"/>
                <w:sz w:val="24"/>
                <w:szCs w:val="24"/>
              </w:rPr>
            </w:pPr>
          </w:p>
        </w:tc>
        <w:tc>
          <w:tcPr>
            <w:tcW w:w="1223" w:type="pct"/>
            <w:noWrap/>
            <w:vAlign w:val="center"/>
          </w:tcPr>
          <w:p w14:paraId="1F3E3AEB">
            <w:pPr>
              <w:spacing w:line="500" w:lineRule="exact"/>
              <w:jc w:val="center"/>
              <w:rPr>
                <w:rFonts w:ascii="仿宋" w:hAnsi="仿宋" w:eastAsia="仿宋" w:cs="Times New Roman"/>
                <w:color w:val="000000"/>
                <w:sz w:val="24"/>
                <w:szCs w:val="24"/>
              </w:rPr>
            </w:pPr>
          </w:p>
        </w:tc>
        <w:tc>
          <w:tcPr>
            <w:tcW w:w="1059" w:type="pct"/>
            <w:noWrap/>
            <w:vAlign w:val="center"/>
          </w:tcPr>
          <w:p w14:paraId="16CCE6B7">
            <w:pPr>
              <w:spacing w:line="500" w:lineRule="exact"/>
              <w:jc w:val="center"/>
              <w:rPr>
                <w:rFonts w:ascii="仿宋" w:hAnsi="仿宋" w:eastAsia="仿宋" w:cs="Times New Roman"/>
                <w:color w:val="000000"/>
                <w:sz w:val="24"/>
                <w:szCs w:val="24"/>
              </w:rPr>
            </w:pPr>
          </w:p>
        </w:tc>
      </w:tr>
      <w:tr w14:paraId="513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3" w:type="pct"/>
            <w:noWrap/>
            <w:vAlign w:val="center"/>
          </w:tcPr>
          <w:p w14:paraId="1AC38661">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合计：</w:t>
            </w:r>
          </w:p>
        </w:tc>
        <w:tc>
          <w:tcPr>
            <w:tcW w:w="3997" w:type="pct"/>
            <w:gridSpan w:val="4"/>
            <w:noWrap/>
            <w:vAlign w:val="center"/>
          </w:tcPr>
          <w:p w14:paraId="5DFFAA03">
            <w:pPr>
              <w:widowControl/>
              <w:jc w:val="left"/>
              <w:textAlignment w:val="center"/>
              <w:rPr>
                <w:rFonts w:ascii="宋体" w:hAnsi="宋体" w:eastAsia="宋体" w:cs="宋体"/>
                <w:color w:val="000000"/>
                <w:sz w:val="22"/>
              </w:rPr>
            </w:pPr>
          </w:p>
        </w:tc>
      </w:tr>
    </w:tbl>
    <w:p w14:paraId="12FF577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以上金额包括项目实施所需的人工费、服务费、运输费、安装调试费、设备价款、备品备件费、检验费、包装费、装卸费、税金（含关税、增值税）、施工费、检测验收费、培训费等各项与此项目有关的一切费用。</w:t>
      </w:r>
    </w:p>
    <w:p w14:paraId="5FBCF41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第二条　产品的交货单位、交货时间、包装与运输、到货地点。</w:t>
      </w:r>
    </w:p>
    <w:p w14:paraId="18F24874">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1．产品的交货地点：。 </w:t>
      </w:r>
    </w:p>
    <w:p w14:paraId="61285F57">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2．交货时间：乙方于年月日前完成交货、安装、调试合格并交付甲方使用。</w:t>
      </w:r>
    </w:p>
    <w:p w14:paraId="709A1D9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3．质量保证期：整套设备免费质保年。质保期计算：自设备验收合格第三日计算；保修期内所有故障及维修费用由乙方承担（人为因素除外）。</w:t>
      </w:r>
    </w:p>
    <w:p w14:paraId="3BA3F216">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一个月内出现质量问题可换新货，质保期内出现故障三次且影响正常使用的,应免费为甲方更换同款新设备，质保期相应顺延。</w:t>
      </w:r>
    </w:p>
    <w:p w14:paraId="7F90777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 包装与运输</w:t>
      </w:r>
    </w:p>
    <w:p w14:paraId="39B80821">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4.1  除合同另有规定外，乙方供应的设备，均应按标准保护措施进行包装，须确保货物完好无损抵达指定现场，由于乙方包装不良及在运输过程中所造成的任何损失，由乙方负责。</w:t>
      </w:r>
    </w:p>
    <w:p w14:paraId="3277E6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4.2  每一包装箱内应附一份详细的装箱单和质量合格证书。</w:t>
      </w:r>
    </w:p>
    <w:p w14:paraId="590AAD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4.3  乙方可选择合适的运输方式，并负责设备的发运、保险、装卸以及货到后未验收前的保管工作。</w:t>
      </w:r>
    </w:p>
    <w:p w14:paraId="0672CF4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4.4  交货要求：国产设备生产日期不超过3个月；进口设备生产日期不超过6个月。</w:t>
      </w:r>
    </w:p>
    <w:p w14:paraId="6E4AC8F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第三条　货款结算 </w:t>
      </w:r>
    </w:p>
    <w:p w14:paraId="722696A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双方协商。</w:t>
      </w:r>
    </w:p>
    <w:p w14:paraId="7D6683D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第四条  培训、维修及服务</w:t>
      </w:r>
    </w:p>
    <w:p w14:paraId="4AF782C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1、质保期内：接到甲方电话报故障后，维修响应时间为30分钟内，通过电话不能解决问题的，维修人员到达现场为24小时。</w:t>
      </w:r>
    </w:p>
    <w:p w14:paraId="195D6F2F">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2、外出培训：现场培训：免费为使用科室及维修人员进行培训，直至熟练操作所有设备及常见故障问题能维修。</w:t>
      </w:r>
    </w:p>
    <w:p w14:paraId="53299E3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第五条  违约责任</w:t>
      </w:r>
    </w:p>
    <w:p w14:paraId="454269E0">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１.乙方不能交货的，应向甲方偿付合同总价款5％的违约金；</w:t>
      </w:r>
    </w:p>
    <w:p w14:paraId="28A7F7B7">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2．乙方不能按时交货的，每逾期一天，向甲方偿付合同总价款的5</w:t>
      </w:r>
      <w:r>
        <w:rPr>
          <w:rFonts w:ascii="仿宋" w:hAnsi="仿宋" w:eastAsia="仿宋" w:cs="Times New Roman"/>
          <w:color w:val="000000"/>
          <w:sz w:val="28"/>
          <w:szCs w:val="28"/>
        </w:rPr>
        <w:t>‰</w:t>
      </w:r>
      <w:r>
        <w:rPr>
          <w:rFonts w:hint="eastAsia" w:ascii="仿宋" w:hAnsi="仿宋" w:eastAsia="仿宋" w:cs="Times New Roman"/>
          <w:color w:val="000000"/>
          <w:sz w:val="28"/>
          <w:szCs w:val="28"/>
        </w:rPr>
        <w:t>的违约金；不能按照合同约定时间服务的，每延误一小时赔偿甲方违约金1000元整。</w:t>
      </w:r>
    </w:p>
    <w:p w14:paraId="542F1DF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AF64C7F">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4．乙方应保证甲方和使用单位在使用该器械或其任何一部分时不存在任何权利上的瑕疵，免受第三方提出侵犯其专利权、商标权或工业产权等起诉。</w:t>
      </w:r>
    </w:p>
    <w:p w14:paraId="4271A2B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5.甲方中途无理由退货，应向乙方赔付退货部分货款5％的违约金；</w:t>
      </w:r>
    </w:p>
    <w:p w14:paraId="51D8F061">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6.甲方逾期付款的，应按中国人民银行同业拆借市场利率的规定向乙方赔付逾期付款的违约金。</w:t>
      </w:r>
    </w:p>
    <w:p w14:paraId="27400B3D">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第六条　瑕疵问题</w:t>
      </w:r>
    </w:p>
    <w:p w14:paraId="00BCBC25">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如经国家检验机构确认乙方所供货物存在瑕疵或不符合本合同的约定，甲方有权选择下列方式之一要求乙方进行补救:</w:t>
      </w:r>
    </w:p>
    <w:p w14:paraId="20DAADC7">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1.乙方同意甲方退货，并将全额货款于7个日历日内退还甲方，并承担因退货而发生的一切直接损失和费用。</w:t>
      </w:r>
    </w:p>
    <w:p w14:paraId="1B1FA30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2.按照货物的疵劣程度、损坏的范围和甲方所遭受的损失，将货物贬值。</w:t>
      </w:r>
    </w:p>
    <w:p w14:paraId="7113AAE6">
      <w:pPr>
        <w:spacing w:line="56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3.调换有瑕疵的货物，换货必须全新并符合本合同规定的规格、质量和性能，乙方并负责因此而产生的一切费用和甲方的一切直接损失。</w:t>
      </w:r>
    </w:p>
    <w:p w14:paraId="38E6AE0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第七条 不可抗力 </w:t>
      </w:r>
    </w:p>
    <w:p w14:paraId="15CAB19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甲乙双方的任何一方由于不可抗力的原因（如水灾、旱灾、暴风雪、地震战争、罢工、政府禁令等。）不能履行合同时，应及时向对方通报不能履行或不能完全履行的理由，以减轻可能给对方造成的损失。</w:t>
      </w:r>
    </w:p>
    <w:p w14:paraId="4400EA06">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第八条 乙方投标文件为本合同附加条款，与本合同具有同等法律效力。</w:t>
      </w:r>
    </w:p>
    <w:p w14:paraId="74FAEF3F">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第九条  本合同如发生纠纷，当事人双方应当及时协商解决，协商不成时，任何一方均可请业务主管机关调解或者向仲裁委员会申请仲裁，也可以直接向甲方人民法院起诉。</w:t>
      </w:r>
    </w:p>
    <w:p w14:paraId="390D306E">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第十条  合同如有未尽事宜，须经双方共同协商，作出补充规定，补充规定与合同具有同等法律效力。</w:t>
      </w:r>
    </w:p>
    <w:p w14:paraId="0D435F2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第十一条 本合同一式份，甲方执份，乙方执份。自双方签字盖章之日起生效。</w:t>
      </w:r>
    </w:p>
    <w:p w14:paraId="337B8435">
      <w:pPr>
        <w:spacing w:line="560" w:lineRule="exact"/>
        <w:ind w:left="7280" w:hanging="7280" w:hangingChars="26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甲 方：    乙 方：</w:t>
      </w:r>
    </w:p>
    <w:p w14:paraId="4FB30519">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地  址：      地  址：</w:t>
      </w:r>
    </w:p>
    <w:p w14:paraId="134879A0">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电  话：            电  话：</w:t>
      </w:r>
    </w:p>
    <w:p w14:paraId="7A931A74">
      <w:pPr>
        <w:spacing w:line="560" w:lineRule="exact"/>
        <w:ind w:left="5880" w:hanging="5880" w:hangingChars="21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开户行：                        开户行：</w:t>
      </w:r>
    </w:p>
    <w:p w14:paraId="39832F44">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帐  号：                        帐  号：  </w:t>
      </w:r>
    </w:p>
    <w:p w14:paraId="4CA557F5">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委托人签字：                    委托人签字：</w:t>
      </w:r>
    </w:p>
    <w:p w14:paraId="68FC11A6">
      <w:pPr>
        <w:spacing w:line="560" w:lineRule="exact"/>
        <w:rPr>
          <w:rFonts w:ascii="仿宋" w:hAnsi="仿宋" w:eastAsia="仿宋" w:cs="Times New Roman"/>
          <w:color w:val="000000"/>
          <w:sz w:val="28"/>
          <w:szCs w:val="28"/>
        </w:rPr>
      </w:pPr>
    </w:p>
    <w:p w14:paraId="3780A0A4">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签订时间：     年   月   日</w:t>
      </w:r>
    </w:p>
    <w:p w14:paraId="07DACFD1">
      <w:pPr>
        <w:spacing w:line="560" w:lineRule="exact"/>
        <w:ind w:firstLine="638" w:firstLineChars="228"/>
        <w:rPr>
          <w:rFonts w:ascii="仿宋_GB2312" w:hAnsi="仿宋_GB2312" w:eastAsia="仿宋_GB2312" w:cs="仿宋_GB2312"/>
          <w:sz w:val="28"/>
          <w:szCs w:val="28"/>
        </w:rPr>
      </w:pPr>
    </w:p>
    <w:p w14:paraId="414F201C">
      <w:pPr>
        <w:spacing w:line="560" w:lineRule="exact"/>
        <w:ind w:firstLine="638" w:firstLineChars="228"/>
        <w:rPr>
          <w:rFonts w:ascii="仿宋_GB2312" w:hAnsi="仿宋_GB2312" w:eastAsia="仿宋_GB2312" w:cs="仿宋_GB2312"/>
          <w:sz w:val="28"/>
          <w:szCs w:val="28"/>
        </w:rPr>
      </w:pPr>
    </w:p>
    <w:p w14:paraId="7339B164">
      <w:pPr>
        <w:spacing w:line="560" w:lineRule="exact"/>
        <w:ind w:firstLine="638" w:firstLineChars="228"/>
        <w:rPr>
          <w:rFonts w:ascii="仿宋_GB2312" w:hAnsi="仿宋_GB2312" w:eastAsia="仿宋_GB2312" w:cs="仿宋_GB2312"/>
          <w:sz w:val="28"/>
          <w:szCs w:val="28"/>
        </w:rPr>
      </w:pPr>
    </w:p>
    <w:p w14:paraId="40E3C7DF">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55E0D93C">
      <w:pPr>
        <w:widowControl/>
        <w:shd w:val="clear" w:color="auto" w:fill="FFFFFF"/>
        <w:spacing w:line="360" w:lineRule="auto"/>
        <w:ind w:firstLine="1911" w:firstLineChars="595"/>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第六章  电子化响应文件内容及格式</w:t>
      </w:r>
    </w:p>
    <w:p w14:paraId="393495F7">
      <w:pPr>
        <w:widowControl/>
        <w:shd w:val="clear" w:color="auto" w:fill="FFFFFF"/>
        <w:spacing w:line="360" w:lineRule="auto"/>
        <w:jc w:val="center"/>
        <w:rPr>
          <w:rFonts w:ascii="宋体" w:hAnsi="宋体" w:eastAsia="宋体" w:cs="Times New Roman"/>
          <w:b/>
          <w:bCs/>
          <w:kern w:val="0"/>
          <w:sz w:val="24"/>
          <w:szCs w:val="24"/>
          <w:shd w:val="clear" w:color="auto" w:fill="FFFFFF"/>
        </w:rPr>
      </w:pPr>
    </w:p>
    <w:p w14:paraId="322B5DE0">
      <w:pPr>
        <w:spacing w:line="360" w:lineRule="auto"/>
        <w:jc w:val="center"/>
        <w:rPr>
          <w:rFonts w:ascii="宋体" w:hAnsi="宋体" w:eastAsia="宋体" w:cs="Times New Roman"/>
          <w:sz w:val="44"/>
          <w:szCs w:val="44"/>
        </w:rPr>
      </w:pPr>
    </w:p>
    <w:p w14:paraId="2A8379DB">
      <w:pPr>
        <w:jc w:val="center"/>
        <w:rPr>
          <w:rFonts w:hint="eastAsia" w:ascii="宋体" w:hAnsi="宋体" w:eastAsia="宋体" w:cs="Times New Roman"/>
          <w:b/>
          <w:bCs/>
          <w:sz w:val="40"/>
          <w:szCs w:val="44"/>
          <w:lang w:val="en-US" w:eastAsia="zh-CN"/>
        </w:rPr>
      </w:pPr>
      <w:r>
        <w:rPr>
          <w:rFonts w:hint="eastAsia" w:ascii="宋体" w:hAnsi="宋体" w:eastAsia="宋体" w:cs="Times New Roman"/>
          <w:b/>
          <w:bCs/>
          <w:sz w:val="40"/>
          <w:szCs w:val="44"/>
        </w:rPr>
        <w:t>项目</w:t>
      </w:r>
      <w:r>
        <w:rPr>
          <w:rFonts w:hint="eastAsia" w:ascii="宋体" w:hAnsi="宋体" w:eastAsia="宋体" w:cs="Times New Roman"/>
          <w:b/>
          <w:bCs/>
          <w:sz w:val="40"/>
          <w:szCs w:val="44"/>
          <w:lang w:val="en-US" w:eastAsia="zh-CN"/>
        </w:rPr>
        <w:t>名称</w:t>
      </w:r>
    </w:p>
    <w:p w14:paraId="479C1371">
      <w:pPr>
        <w:spacing w:line="480" w:lineRule="atLeast"/>
        <w:ind w:firstLine="567"/>
        <w:textAlignment w:val="baseline"/>
        <w:rPr>
          <w:rFonts w:ascii="宋体" w:hAnsi="宋体" w:eastAsia="宋体" w:cs="宋体"/>
          <w:sz w:val="28"/>
          <w:szCs w:val="28"/>
        </w:rPr>
      </w:pPr>
    </w:p>
    <w:p w14:paraId="06CCBCB7">
      <w:pPr>
        <w:spacing w:line="480" w:lineRule="atLeast"/>
        <w:ind w:firstLine="567"/>
        <w:textAlignment w:val="baseline"/>
        <w:rPr>
          <w:rFonts w:ascii="宋体" w:hAnsi="宋体" w:eastAsia="宋体" w:cs="宋体"/>
          <w:sz w:val="28"/>
          <w:szCs w:val="28"/>
        </w:rPr>
      </w:pPr>
    </w:p>
    <w:p w14:paraId="70073618">
      <w:pPr>
        <w:spacing w:line="360" w:lineRule="auto"/>
        <w:jc w:val="center"/>
        <w:rPr>
          <w:rFonts w:ascii="宋体" w:hAnsi="宋体" w:eastAsia="宋体" w:cs="Times New Roman"/>
          <w:b/>
          <w:bCs/>
          <w:sz w:val="72"/>
          <w:szCs w:val="72"/>
        </w:rPr>
      </w:pPr>
      <w:r>
        <w:rPr>
          <w:rFonts w:hint="eastAsia" w:ascii="宋体" w:hAnsi="宋体" w:eastAsia="宋体" w:cs="Times New Roman"/>
          <w:b/>
          <w:bCs/>
          <w:sz w:val="72"/>
          <w:szCs w:val="72"/>
        </w:rPr>
        <w:t>竞争性磋商响应文件</w:t>
      </w:r>
    </w:p>
    <w:p w14:paraId="324102C2">
      <w:pPr>
        <w:widowControl/>
        <w:spacing w:line="360" w:lineRule="auto"/>
        <w:rPr>
          <w:rFonts w:ascii="宋体" w:hAnsi="宋体" w:eastAsia="宋体" w:cs="Times New Roman"/>
          <w:b/>
          <w:bCs/>
          <w:kern w:val="0"/>
          <w:sz w:val="30"/>
          <w:szCs w:val="30"/>
        </w:rPr>
      </w:pPr>
    </w:p>
    <w:p w14:paraId="542C9371">
      <w:pPr>
        <w:jc w:val="center"/>
        <w:rPr>
          <w:rFonts w:ascii="宋体" w:hAnsi="宋体" w:eastAsia="宋体" w:cs="Times New Roman"/>
          <w:b/>
          <w:bCs/>
          <w:sz w:val="30"/>
          <w:szCs w:val="30"/>
        </w:rPr>
      </w:pPr>
      <w:r>
        <w:rPr>
          <w:rFonts w:hint="eastAsia" w:ascii="宋体" w:hAnsi="宋体" w:eastAsia="宋体" w:cs="Times New Roman"/>
          <w:b/>
          <w:bCs/>
          <w:kern w:val="0"/>
          <w:sz w:val="32"/>
          <w:szCs w:val="32"/>
        </w:rPr>
        <w:t>项目编号：</w:t>
      </w:r>
    </w:p>
    <w:p w14:paraId="7924DC40">
      <w:pPr>
        <w:widowControl/>
        <w:spacing w:line="360" w:lineRule="auto"/>
        <w:jc w:val="center"/>
        <w:rPr>
          <w:rFonts w:ascii="宋体" w:hAnsi="宋体" w:eastAsia="宋体" w:cs="Times New Roman"/>
          <w:b/>
          <w:bCs/>
          <w:sz w:val="28"/>
          <w:szCs w:val="28"/>
        </w:rPr>
      </w:pPr>
    </w:p>
    <w:p w14:paraId="68590AA4">
      <w:pPr>
        <w:spacing w:line="480" w:lineRule="atLeast"/>
        <w:ind w:firstLine="567"/>
        <w:textAlignment w:val="baseline"/>
        <w:rPr>
          <w:rFonts w:ascii="宋体" w:hAnsi="宋体" w:eastAsia="宋体" w:cs="宋体"/>
          <w:sz w:val="28"/>
          <w:szCs w:val="28"/>
        </w:rPr>
      </w:pPr>
      <w:r>
        <w:rPr>
          <w:rFonts w:ascii="宋体" w:hAnsi="宋体" w:eastAsia="宋体" w:cs="宋体"/>
          <w:sz w:val="28"/>
          <w:szCs w:val="28"/>
        </w:rPr>
        <w:tab/>
      </w:r>
      <w:r>
        <w:rPr>
          <w:rFonts w:ascii="宋体" w:hAnsi="宋体" w:eastAsia="宋体" w:cs="宋体"/>
          <w:sz w:val="28"/>
          <w:szCs w:val="28"/>
        </w:rPr>
        <w:tab/>
      </w:r>
    </w:p>
    <w:p w14:paraId="26AC007C">
      <w:pPr>
        <w:spacing w:line="360" w:lineRule="auto"/>
        <w:jc w:val="center"/>
        <w:rPr>
          <w:rFonts w:ascii="宋体" w:hAnsi="宋体" w:eastAsia="宋体" w:cs="Times New Roman"/>
          <w:sz w:val="32"/>
          <w:szCs w:val="32"/>
        </w:rPr>
      </w:pPr>
    </w:p>
    <w:p w14:paraId="36088236">
      <w:pPr>
        <w:spacing w:after="120" w:line="360" w:lineRule="auto"/>
        <w:rPr>
          <w:rFonts w:ascii="宋体" w:hAnsi="宋体" w:eastAsia="宋体" w:cs="Times New Roman"/>
          <w:kern w:val="0"/>
          <w:sz w:val="28"/>
          <w:szCs w:val="28"/>
        </w:rPr>
      </w:pPr>
    </w:p>
    <w:p w14:paraId="3CC22645">
      <w:pPr>
        <w:spacing w:before="100" w:beforeAutospacing="1" w:after="120" w:line="360" w:lineRule="auto"/>
        <w:ind w:left="420" w:firstLine="420"/>
        <w:rPr>
          <w:rFonts w:ascii="宋体" w:hAnsi="宋体" w:eastAsia="宋体" w:cs="Times New Roman"/>
          <w:kern w:val="0"/>
          <w:sz w:val="20"/>
          <w:szCs w:val="21"/>
        </w:rPr>
      </w:pPr>
    </w:p>
    <w:p w14:paraId="4048F6B3">
      <w:pPr>
        <w:spacing w:before="100" w:beforeAutospacing="1" w:after="120" w:line="360" w:lineRule="auto"/>
        <w:ind w:left="420" w:firstLine="420"/>
        <w:rPr>
          <w:rFonts w:ascii="宋体" w:hAnsi="宋体" w:eastAsia="宋体" w:cs="Times New Roman"/>
          <w:kern w:val="0"/>
          <w:sz w:val="20"/>
          <w:szCs w:val="21"/>
        </w:rPr>
      </w:pPr>
    </w:p>
    <w:p w14:paraId="7FA984A1">
      <w:pPr>
        <w:spacing w:line="360" w:lineRule="auto"/>
        <w:rPr>
          <w:rFonts w:ascii="宋体" w:hAnsi="宋体" w:eastAsia="宋体" w:cs="Times New Roman"/>
          <w:kern w:val="0"/>
          <w:sz w:val="18"/>
          <w:szCs w:val="18"/>
          <w:shd w:val="clear" w:color="auto" w:fill="FFFFFF"/>
        </w:rPr>
      </w:pPr>
    </w:p>
    <w:p w14:paraId="0BF2C4DC">
      <w:pPr>
        <w:spacing w:line="360" w:lineRule="auto"/>
        <w:ind w:firstLine="420"/>
        <w:rPr>
          <w:rFonts w:ascii="宋体" w:hAnsi="宋体" w:eastAsia="宋体" w:cs="宋体"/>
          <w:b/>
          <w:kern w:val="1"/>
          <w:sz w:val="24"/>
          <w:szCs w:val="21"/>
        </w:rPr>
      </w:pPr>
    </w:p>
    <w:p w14:paraId="47B466EC">
      <w:pPr>
        <w:widowControl/>
        <w:shd w:val="clear" w:color="auto" w:fill="FFFFFF"/>
        <w:spacing w:line="360" w:lineRule="auto"/>
        <w:ind w:firstLine="1701" w:firstLineChars="605"/>
        <w:jc w:val="left"/>
        <w:rPr>
          <w:rFonts w:ascii="宋体" w:hAnsi="宋体" w:eastAsia="宋体" w:cs="Times New Roman"/>
          <w:kern w:val="0"/>
          <w:sz w:val="28"/>
          <w:szCs w:val="28"/>
          <w:shd w:val="clear" w:color="auto" w:fill="FFFFFF"/>
        </w:rPr>
      </w:pPr>
      <w:r>
        <w:rPr>
          <w:rFonts w:hint="eastAsia" w:ascii="宋体" w:hAnsi="宋体" w:eastAsia="宋体" w:cs="Times New Roman"/>
          <w:b/>
          <w:bCs/>
          <w:kern w:val="0"/>
          <w:sz w:val="28"/>
          <w:szCs w:val="28"/>
          <w:shd w:val="clear" w:color="auto" w:fill="FFFFFF"/>
        </w:rPr>
        <w:t>磋商响应供应商名称：（盖单位公章）</w:t>
      </w:r>
    </w:p>
    <w:p w14:paraId="3C2C2342">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法定代表人：（签字或盖章）</w:t>
      </w:r>
    </w:p>
    <w:p w14:paraId="10FCC6DF">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日      期：</w:t>
      </w:r>
      <w:bookmarkStart w:id="6" w:name="_Toc169921409"/>
      <w:bookmarkEnd w:id="6"/>
      <w:bookmarkStart w:id="7" w:name="_Toc171073209"/>
      <w:bookmarkEnd w:id="7"/>
      <w:bookmarkStart w:id="8" w:name="_Toc223432389"/>
      <w:bookmarkEnd w:id="8"/>
      <w:bookmarkStart w:id="9" w:name="_Toc171073044"/>
      <w:bookmarkEnd w:id="9"/>
    </w:p>
    <w:p w14:paraId="0D3EC386">
      <w:pPr>
        <w:spacing w:line="480" w:lineRule="atLeast"/>
        <w:ind w:firstLine="567"/>
        <w:textAlignment w:val="baseline"/>
        <w:rPr>
          <w:rFonts w:ascii="宋体" w:hAnsi="宋体" w:eastAsia="宋体" w:cs="宋体"/>
          <w:sz w:val="28"/>
          <w:szCs w:val="28"/>
        </w:rPr>
      </w:pPr>
    </w:p>
    <w:p w14:paraId="348B2701">
      <w:pPr>
        <w:widowControl/>
        <w:spacing w:line="360" w:lineRule="auto"/>
        <w:ind w:firstLine="480"/>
        <w:jc w:val="center"/>
        <w:rPr>
          <w:rFonts w:hint="eastAsia" w:ascii="宋体" w:hAnsi="宋体" w:eastAsia="宋体" w:cs="Times New Roman"/>
          <w:kern w:val="0"/>
          <w:sz w:val="48"/>
          <w:szCs w:val="48"/>
        </w:rPr>
      </w:pPr>
    </w:p>
    <w:p w14:paraId="30428F78">
      <w:pPr>
        <w:widowControl/>
        <w:spacing w:line="360" w:lineRule="auto"/>
        <w:ind w:firstLine="480"/>
        <w:jc w:val="center"/>
        <w:rPr>
          <w:rFonts w:ascii="宋体" w:hAnsi="宋体" w:eastAsia="宋体" w:cs="Times New Roman"/>
          <w:kern w:val="0"/>
          <w:sz w:val="48"/>
          <w:szCs w:val="48"/>
        </w:rPr>
      </w:pPr>
      <w:r>
        <w:rPr>
          <w:rFonts w:hint="eastAsia" w:ascii="宋体" w:hAnsi="宋体" w:eastAsia="宋体" w:cs="Times New Roman"/>
          <w:kern w:val="0"/>
          <w:sz w:val="48"/>
          <w:szCs w:val="48"/>
        </w:rPr>
        <w:t>目录</w:t>
      </w:r>
    </w:p>
    <w:p w14:paraId="5ACE01D4">
      <w:pPr>
        <w:widowControl/>
        <w:spacing w:line="360" w:lineRule="auto"/>
        <w:jc w:val="left"/>
        <w:rPr>
          <w:rFonts w:ascii="宋体" w:hAnsi="宋体" w:eastAsia="宋体" w:cs="Times New Roman"/>
          <w:kern w:val="0"/>
          <w:sz w:val="24"/>
          <w:szCs w:val="24"/>
        </w:rPr>
      </w:pPr>
    </w:p>
    <w:p w14:paraId="1E94859F">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一、综合标</w:t>
      </w:r>
    </w:p>
    <w:p w14:paraId="09F08D3E">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、法定代表人身份证明书</w:t>
      </w:r>
    </w:p>
    <w:p w14:paraId="105E0AC9">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、磋商响应函</w:t>
      </w:r>
    </w:p>
    <w:p w14:paraId="5D0BF59C">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、首次报价一览表</w:t>
      </w:r>
    </w:p>
    <w:p w14:paraId="3CF34566">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4、资格审查资料</w:t>
      </w:r>
    </w:p>
    <w:p w14:paraId="576E2ADE">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5、中小企业声明函</w:t>
      </w:r>
    </w:p>
    <w:p w14:paraId="04F17BF5">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6、残疾人福利性单位声明函</w:t>
      </w:r>
    </w:p>
    <w:p w14:paraId="0CEA512E">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、监狱企业证明文件</w:t>
      </w:r>
    </w:p>
    <w:p w14:paraId="7DD1C7F1">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、人员培训及售后服务承诺</w:t>
      </w:r>
    </w:p>
    <w:p w14:paraId="1AB442F2">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二、技术标</w:t>
      </w:r>
    </w:p>
    <w:p w14:paraId="23CCD212">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、磋商报价表：</w:t>
      </w:r>
    </w:p>
    <w:p w14:paraId="0B687A9B">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1）磋商报价明细表；</w:t>
      </w:r>
    </w:p>
    <w:p w14:paraId="35C6A897">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2）技术参数偏离表；</w:t>
      </w:r>
    </w:p>
    <w:p w14:paraId="63778229">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3）商务响应表；</w:t>
      </w:r>
    </w:p>
    <w:p w14:paraId="377E4CB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、磋商响应供应商可提交的其他磋商资料</w:t>
      </w:r>
    </w:p>
    <w:p w14:paraId="03EFEE2C">
      <w:pPr>
        <w:spacing w:line="360" w:lineRule="auto"/>
        <w:jc w:val="center"/>
        <w:rPr>
          <w:rFonts w:ascii="宋体" w:hAnsi="宋体" w:eastAsia="宋体" w:cs="Times New Roman"/>
          <w:sz w:val="24"/>
          <w:szCs w:val="24"/>
        </w:rPr>
      </w:pPr>
      <w:r>
        <w:rPr>
          <w:rFonts w:ascii="宋体" w:hAnsi="宋体" w:eastAsia="宋体" w:cs="Times New Roman"/>
          <w:b/>
          <w:bCs/>
          <w:sz w:val="32"/>
          <w:szCs w:val="32"/>
        </w:rPr>
        <w:br w:type="page"/>
      </w:r>
      <w:r>
        <w:rPr>
          <w:rFonts w:ascii="宋体" w:hAnsi="宋体" w:eastAsia="宋体" w:cs="Times New Roman"/>
          <w:b/>
          <w:bCs/>
          <w:sz w:val="32"/>
          <w:szCs w:val="32"/>
        </w:rPr>
        <w:t>1</w:t>
      </w:r>
      <w:r>
        <w:rPr>
          <w:rFonts w:hint="eastAsia" w:ascii="宋体" w:hAnsi="宋体" w:eastAsia="宋体" w:cs="Times New Roman"/>
          <w:b/>
          <w:bCs/>
          <w:sz w:val="32"/>
          <w:szCs w:val="32"/>
        </w:rPr>
        <w:t>、法定代表人身份证明书</w:t>
      </w:r>
    </w:p>
    <w:p w14:paraId="33266F8D">
      <w:pPr>
        <w:spacing w:line="440" w:lineRule="exact"/>
        <w:rPr>
          <w:rFonts w:ascii="宋体" w:hAnsi="宋体" w:eastAsia="宋体" w:cs="Times New Roman"/>
          <w:b/>
          <w:bCs/>
          <w:szCs w:val="21"/>
        </w:rPr>
      </w:pPr>
    </w:p>
    <w:p w14:paraId="11E1AD8F">
      <w:pPr>
        <w:spacing w:line="480" w:lineRule="auto"/>
        <w:ind w:firstLine="612"/>
        <w:rPr>
          <w:rFonts w:ascii="宋体" w:hAnsi="宋体" w:eastAsia="宋体" w:cs="Times New Roman"/>
          <w:sz w:val="24"/>
          <w:szCs w:val="24"/>
        </w:rPr>
      </w:pPr>
      <w:r>
        <w:rPr>
          <w:rFonts w:hint="eastAsia" w:ascii="宋体" w:hAnsi="宋体" w:eastAsia="宋体" w:cs="Times New Roman"/>
          <w:sz w:val="24"/>
          <w:szCs w:val="24"/>
        </w:rPr>
        <w:t>单位名称：</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40EAEFFC">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单位性质：</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7743306B">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地址：</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62C64A59">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成立时间：     年    月    日</w:t>
      </w:r>
    </w:p>
    <w:p w14:paraId="3C70EF91">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经营期限：</w:t>
      </w:r>
      <w:r>
        <w:rPr>
          <w:rFonts w:ascii="宋体" w:hAnsi="宋体" w:eastAsia="宋体" w:cs="Times New Roman"/>
          <w:sz w:val="24"/>
          <w:szCs w:val="24"/>
          <w:u w:val="single"/>
        </w:rPr>
        <w:tab/>
      </w:r>
      <w:r>
        <w:rPr>
          <w:rFonts w:ascii="宋体" w:hAnsi="宋体" w:eastAsia="宋体" w:cs="Times New Roman"/>
          <w:sz w:val="24"/>
          <w:szCs w:val="24"/>
          <w:u w:val="single"/>
        </w:rPr>
        <w:tab/>
      </w:r>
    </w:p>
    <w:p w14:paraId="3A21CB7B">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姓名：</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性别：</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年龄：</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职务：</w:t>
      </w:r>
      <w:r>
        <w:rPr>
          <w:rFonts w:ascii="宋体" w:hAnsi="宋体" w:eastAsia="宋体" w:cs="Times New Roman"/>
          <w:sz w:val="24"/>
          <w:szCs w:val="24"/>
          <w:u w:val="single"/>
        </w:rPr>
        <w:tab/>
      </w:r>
      <w:r>
        <w:rPr>
          <w:rFonts w:ascii="宋体" w:hAnsi="宋体" w:eastAsia="宋体" w:cs="Times New Roman"/>
          <w:sz w:val="24"/>
          <w:szCs w:val="24"/>
          <w:u w:val="single"/>
        </w:rPr>
        <w:tab/>
      </w:r>
    </w:p>
    <w:p w14:paraId="32AB0EF7">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（磋商响应供应商单位名称）</w:t>
      </w:r>
      <w:r>
        <w:rPr>
          <w:rFonts w:hint="eastAsia" w:ascii="宋体" w:hAnsi="宋体" w:eastAsia="宋体" w:cs="Times New Roman"/>
          <w:sz w:val="24"/>
          <w:szCs w:val="24"/>
        </w:rPr>
        <w:t>的法定代表人。</w:t>
      </w:r>
    </w:p>
    <w:p w14:paraId="7BC8BCEA">
      <w:pPr>
        <w:spacing w:line="480" w:lineRule="auto"/>
        <w:ind w:firstLine="610"/>
        <w:rPr>
          <w:rFonts w:ascii="宋体" w:hAnsi="宋体" w:eastAsia="宋体" w:cs="Times New Roman"/>
          <w:sz w:val="24"/>
          <w:szCs w:val="24"/>
        </w:rPr>
      </w:pPr>
    </w:p>
    <w:p w14:paraId="256474FA">
      <w:pPr>
        <w:spacing w:line="480" w:lineRule="auto"/>
        <w:ind w:firstLine="1089" w:firstLineChars="454"/>
        <w:rPr>
          <w:rFonts w:ascii="宋体" w:hAnsi="宋体" w:eastAsia="宋体" w:cs="Times New Roman"/>
          <w:sz w:val="24"/>
          <w:szCs w:val="24"/>
        </w:rPr>
      </w:pPr>
      <w:r>
        <w:rPr>
          <w:rFonts w:hint="eastAsia" w:ascii="宋体" w:hAnsi="宋体" w:eastAsia="宋体" w:cs="Times New Roman"/>
          <w:sz w:val="24"/>
          <w:szCs w:val="24"/>
        </w:rPr>
        <w:t>特此证明。</w:t>
      </w:r>
    </w:p>
    <w:p w14:paraId="6D86CFAF">
      <w:pPr>
        <w:spacing w:line="480" w:lineRule="auto"/>
        <w:ind w:firstLine="5040" w:firstLineChars="2100"/>
        <w:rPr>
          <w:rFonts w:ascii="宋体" w:hAnsi="宋体" w:eastAsia="宋体" w:cs="Times New Roman"/>
          <w:sz w:val="24"/>
          <w:szCs w:val="24"/>
        </w:rPr>
      </w:pPr>
    </w:p>
    <w:p w14:paraId="568A7182">
      <w:pPr>
        <w:spacing w:line="480" w:lineRule="auto"/>
        <w:ind w:firstLine="5040" w:firstLineChars="2100"/>
        <w:rPr>
          <w:rFonts w:ascii="宋体" w:hAnsi="宋体" w:eastAsia="宋体" w:cs="Times New Roman"/>
          <w:sz w:val="24"/>
          <w:szCs w:val="24"/>
        </w:rPr>
      </w:pPr>
    </w:p>
    <w:p w14:paraId="048B5BD2">
      <w:pPr>
        <w:spacing w:line="480" w:lineRule="auto"/>
        <w:ind w:firstLine="5040" w:firstLineChars="2100"/>
        <w:rPr>
          <w:rFonts w:ascii="宋体" w:hAnsi="宋体" w:eastAsia="宋体" w:cs="Times New Roman"/>
          <w:sz w:val="24"/>
          <w:szCs w:val="24"/>
        </w:rPr>
      </w:pPr>
    </w:p>
    <w:p w14:paraId="7EC096C8">
      <w:pPr>
        <w:spacing w:line="36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283DCC01">
      <w:pPr>
        <w:spacing w:line="360" w:lineRule="auto"/>
        <w:ind w:firstLine="3967" w:firstLineChars="1653"/>
        <w:jc w:val="left"/>
        <w:rPr>
          <w:rFonts w:ascii="宋体" w:hAnsi="宋体" w:eastAsia="宋体" w:cs="Times New Roman"/>
          <w:sz w:val="24"/>
          <w:szCs w:val="24"/>
        </w:rPr>
      </w:pPr>
    </w:p>
    <w:p w14:paraId="2E7EB925">
      <w:pPr>
        <w:spacing w:line="36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26B54715">
      <w:pPr>
        <w:spacing w:line="480" w:lineRule="auto"/>
        <w:ind w:right="480"/>
        <w:jc w:val="center"/>
        <w:rPr>
          <w:rFonts w:ascii="宋体" w:hAnsi="宋体" w:eastAsia="宋体" w:cs="Times New Roman"/>
          <w:b/>
          <w:bCs/>
          <w:sz w:val="24"/>
          <w:szCs w:val="24"/>
        </w:rPr>
      </w:pPr>
    </w:p>
    <w:p w14:paraId="5B4B62CF">
      <w:pPr>
        <w:spacing w:line="480" w:lineRule="auto"/>
        <w:ind w:right="480"/>
        <w:jc w:val="center"/>
        <w:rPr>
          <w:rFonts w:ascii="宋体" w:hAnsi="宋体" w:eastAsia="宋体" w:cs="Times New Roman"/>
          <w:b/>
          <w:bCs/>
          <w:sz w:val="24"/>
          <w:szCs w:val="24"/>
        </w:rPr>
      </w:pPr>
      <w:r>
        <w:rPr>
          <w:rFonts w:hint="eastAsia" w:ascii="宋体" w:hAnsi="宋体" w:eastAsia="宋体" w:cs="Times New Roman"/>
          <w:b/>
          <w:bCs/>
          <w:sz w:val="24"/>
          <w:szCs w:val="24"/>
        </w:rPr>
        <w:t>（后附法定代表人身份证正反面扫描件）</w:t>
      </w:r>
    </w:p>
    <w:p w14:paraId="6EE9401F">
      <w:pPr>
        <w:jc w:val="center"/>
        <w:rPr>
          <w:rFonts w:ascii="宋体" w:hAnsi="宋体" w:eastAsia="宋体" w:cs="Times New Roman"/>
          <w:b/>
          <w:bCs/>
          <w:sz w:val="32"/>
          <w:szCs w:val="32"/>
        </w:rPr>
      </w:pPr>
      <w:bookmarkStart w:id="10" w:name="_Toc223432391"/>
      <w:bookmarkEnd w:id="10"/>
      <w:bookmarkStart w:id="11" w:name="_Toc171073211"/>
      <w:bookmarkEnd w:id="11"/>
      <w:bookmarkStart w:id="12" w:name="_Toc169921411"/>
      <w:bookmarkEnd w:id="12"/>
      <w:bookmarkStart w:id="13" w:name="_Toc171073046"/>
      <w:bookmarkEnd w:id="13"/>
      <w:r>
        <w:rPr>
          <w:rFonts w:ascii="宋体" w:hAnsi="宋体" w:eastAsia="宋体" w:cs="Times New Roman"/>
          <w:b/>
          <w:bCs/>
          <w:sz w:val="32"/>
          <w:szCs w:val="32"/>
        </w:rPr>
        <w:br w:type="page"/>
      </w:r>
      <w:r>
        <w:rPr>
          <w:rFonts w:ascii="宋体" w:hAnsi="宋体" w:eastAsia="宋体" w:cs="Times New Roman"/>
          <w:b/>
          <w:bCs/>
          <w:sz w:val="32"/>
          <w:szCs w:val="32"/>
        </w:rPr>
        <w:t>2</w:t>
      </w:r>
      <w:r>
        <w:rPr>
          <w:rFonts w:hint="eastAsia" w:ascii="宋体" w:hAnsi="宋体" w:eastAsia="宋体" w:cs="Times New Roman"/>
          <w:b/>
          <w:bCs/>
          <w:sz w:val="32"/>
          <w:szCs w:val="32"/>
        </w:rPr>
        <w:t>、磋商响应函</w:t>
      </w:r>
    </w:p>
    <w:p w14:paraId="7D373DF2">
      <w:pPr>
        <w:spacing w:line="360" w:lineRule="auto"/>
        <w:jc w:val="left"/>
        <w:rPr>
          <w:rFonts w:ascii="宋体" w:hAnsi="宋体" w:eastAsia="宋体" w:cs="Times New Roman"/>
          <w:spacing w:val="24"/>
          <w:sz w:val="24"/>
          <w:szCs w:val="24"/>
        </w:rPr>
      </w:pPr>
      <w:r>
        <w:rPr>
          <w:rFonts w:hint="eastAsia" w:ascii="宋体" w:hAnsi="宋体" w:eastAsia="宋体" w:cs="Times New Roman"/>
          <w:spacing w:val="24"/>
          <w:sz w:val="24"/>
          <w:szCs w:val="24"/>
        </w:rPr>
        <w:t>致</w:t>
      </w:r>
      <w:r>
        <w:rPr>
          <w:rFonts w:hint="eastAsia" w:ascii="宋体" w:hAnsi="宋体" w:eastAsia="宋体" w:cs="Times New Roman"/>
          <w:spacing w:val="24"/>
          <w:sz w:val="24"/>
          <w:szCs w:val="24"/>
          <w:u w:val="single"/>
        </w:rPr>
        <w:t>（采购人）</w:t>
      </w:r>
      <w:r>
        <w:rPr>
          <w:rFonts w:hint="eastAsia" w:ascii="宋体" w:hAnsi="宋体" w:eastAsia="宋体" w:cs="Times New Roman"/>
          <w:spacing w:val="24"/>
          <w:sz w:val="24"/>
          <w:szCs w:val="24"/>
        </w:rPr>
        <w:t>：</w:t>
      </w:r>
    </w:p>
    <w:p w14:paraId="7236BD20">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根据已收到贵方的（项目名称）（项目编号）的竞争性磋商文件，遵照《中华人民共和国政府采购法》等有关规定，我单位经研究上述竞争性磋商文件的磋商须知、合同条款、</w:t>
      </w:r>
      <w:r>
        <w:rPr>
          <w:rFonts w:hint="eastAsia" w:ascii="宋体" w:hAnsi="宋体" w:eastAsia="宋体" w:cs="Times New Roman"/>
          <w:sz w:val="24"/>
          <w:szCs w:val="21"/>
        </w:rPr>
        <w:t>技术参数</w:t>
      </w:r>
      <w:r>
        <w:rPr>
          <w:rFonts w:hint="eastAsia" w:ascii="宋体" w:hAnsi="宋体" w:eastAsia="宋体" w:cs="Times New Roman"/>
          <w:sz w:val="24"/>
          <w:szCs w:val="24"/>
        </w:rPr>
        <w:t>及其它有关文件后，我方愿以人民币（大写）：元（小写：元）的磋商报价，交货期：日历天，</w:t>
      </w:r>
      <w:r>
        <w:rPr>
          <w:rFonts w:hint="eastAsia" w:ascii="宋体" w:hAnsi="宋体" w:eastAsia="宋体" w:cs="Times New Roman"/>
          <w:sz w:val="24"/>
          <w:szCs w:val="21"/>
        </w:rPr>
        <w:t>承包上述项目的</w:t>
      </w:r>
      <w:r>
        <w:rPr>
          <w:rFonts w:hint="eastAsia" w:ascii="宋体" w:hAnsi="宋体" w:eastAsia="宋体" w:cs="宋体"/>
          <w:sz w:val="24"/>
          <w:szCs w:val="21"/>
        </w:rPr>
        <w:t>采购及安装</w:t>
      </w:r>
      <w:r>
        <w:rPr>
          <w:rFonts w:ascii="宋体" w:hAnsi="宋体" w:eastAsia="宋体" w:cs="宋体"/>
          <w:sz w:val="24"/>
          <w:szCs w:val="21"/>
        </w:rPr>
        <w:t>、</w:t>
      </w:r>
      <w:r>
        <w:rPr>
          <w:rFonts w:hint="eastAsia" w:ascii="宋体" w:hAnsi="宋体" w:eastAsia="宋体" w:cs="Times New Roman"/>
          <w:sz w:val="24"/>
          <w:szCs w:val="21"/>
        </w:rPr>
        <w:t>调试、</w:t>
      </w:r>
      <w:r>
        <w:rPr>
          <w:rFonts w:hint="eastAsia" w:ascii="宋体" w:hAnsi="宋体" w:eastAsia="宋体" w:cs="宋体"/>
          <w:sz w:val="24"/>
          <w:szCs w:val="21"/>
        </w:rPr>
        <w:t>验收、质保期服务，与货物有关的运输和保险及其他伴随服务</w:t>
      </w:r>
      <w:r>
        <w:rPr>
          <w:rFonts w:hint="eastAsia" w:ascii="宋体" w:hAnsi="宋体" w:eastAsia="宋体" w:cs="Arial"/>
          <w:sz w:val="24"/>
          <w:szCs w:val="21"/>
          <w:shd w:val="clear" w:color="auto" w:fill="FFFFFF"/>
        </w:rPr>
        <w:t>。</w:t>
      </w:r>
    </w:p>
    <w:p w14:paraId="0F13E382">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771D9193">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1ACEEA6D">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、我方愿在成交后按照竞争性磋商文件规定的时间和金额向采购人交纳履约保证金。</w:t>
      </w:r>
    </w:p>
    <w:p w14:paraId="5250E082">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kern w:val="0"/>
          <w:sz w:val="24"/>
          <w:szCs w:val="24"/>
        </w:rPr>
        <w:t>我方同意自本项目</w:t>
      </w:r>
      <w:r>
        <w:rPr>
          <w:rFonts w:hint="eastAsia" w:ascii="宋体" w:hAnsi="宋体" w:eastAsia="宋体" w:cs="Times New Roman"/>
          <w:sz w:val="24"/>
          <w:szCs w:val="24"/>
        </w:rPr>
        <w:t>竞争性磋商</w:t>
      </w:r>
      <w:r>
        <w:rPr>
          <w:rFonts w:hint="eastAsia" w:ascii="宋体" w:hAnsi="宋体" w:eastAsia="宋体" w:cs="Times New Roman"/>
          <w:kern w:val="0"/>
          <w:sz w:val="24"/>
          <w:szCs w:val="24"/>
        </w:rPr>
        <w:t>文件中规定的磋商有效期内有效，并承诺在磋商有效期内不修改、撤回磋商响应文件。</w:t>
      </w:r>
    </w:p>
    <w:p w14:paraId="0F0D6B56">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宋体" w:hAnsi="宋体" w:eastAsia="宋体" w:cs="Times New Roman"/>
          <w:kern w:val="0"/>
          <w:sz w:val="24"/>
          <w:szCs w:val="24"/>
        </w:rPr>
        <w:t>我方完全理解贵方不一定接受磋商报价最低的供应商为成交供应商的行为。</w:t>
      </w:r>
    </w:p>
    <w:p w14:paraId="6E3EA25B">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hint="eastAsia" w:ascii="宋体" w:hAnsi="宋体" w:eastAsia="宋体" w:cs="Times New Roman"/>
          <w:kern w:val="0"/>
          <w:sz w:val="24"/>
          <w:szCs w:val="24"/>
        </w:rPr>
        <w:t>我方在此声明，所递交的磋商响应文件及有关资料内容完整、真实和准确。</w:t>
      </w:r>
    </w:p>
    <w:p w14:paraId="4B02967F">
      <w:pPr>
        <w:spacing w:line="360" w:lineRule="auto"/>
        <w:ind w:firstLine="240" w:firstLineChars="100"/>
        <w:jc w:val="left"/>
        <w:rPr>
          <w:rFonts w:ascii="宋体" w:hAnsi="宋体" w:eastAsia="宋体" w:cs="Times New Roman"/>
          <w:sz w:val="24"/>
          <w:szCs w:val="24"/>
        </w:rPr>
      </w:pPr>
    </w:p>
    <w:p w14:paraId="5C1FFAA2">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144F682E">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5E984607">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2A36ACB0">
      <w:pPr>
        <w:jc w:val="center"/>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ascii="宋体" w:hAnsi="宋体" w:eastAsia="宋体" w:cs="Times New Roman"/>
          <w:b/>
          <w:bCs/>
          <w:kern w:val="0"/>
          <w:sz w:val="32"/>
          <w:szCs w:val="32"/>
        </w:rPr>
        <w:t>3</w:t>
      </w:r>
      <w:r>
        <w:rPr>
          <w:rFonts w:hint="eastAsia" w:ascii="宋体" w:hAnsi="宋体" w:eastAsia="宋体" w:cs="Times New Roman"/>
          <w:b/>
          <w:bCs/>
          <w:kern w:val="0"/>
          <w:sz w:val="32"/>
          <w:szCs w:val="32"/>
        </w:rPr>
        <w:t>、首次报价一览表</w:t>
      </w:r>
    </w:p>
    <w:p w14:paraId="52D90ACA">
      <w:pPr>
        <w:tabs>
          <w:tab w:val="left" w:pos="5078"/>
        </w:tabs>
        <w:spacing w:line="500" w:lineRule="exact"/>
        <w:jc w:val="left"/>
        <w:rPr>
          <w:rFonts w:ascii="宋体" w:hAnsi="宋体" w:eastAsia="宋体" w:cs="Times New Roman"/>
          <w:b/>
          <w:bCs/>
          <w:kern w:val="0"/>
          <w:sz w:val="32"/>
          <w:szCs w:val="32"/>
        </w:rPr>
      </w:pPr>
      <w:r>
        <w:rPr>
          <w:rFonts w:ascii="宋体" w:hAnsi="宋体" w:eastAsia="宋体" w:cs="Times New Roman"/>
          <w:b/>
          <w:bCs/>
          <w:kern w:val="0"/>
          <w:sz w:val="32"/>
          <w:szCs w:val="32"/>
        </w:rPr>
        <w:tab/>
      </w:r>
    </w:p>
    <w:tbl>
      <w:tblPr>
        <w:tblStyle w:val="20"/>
        <w:tblW w:w="0" w:type="auto"/>
        <w:jc w:val="center"/>
        <w:tblLayout w:type="fixed"/>
        <w:tblCellMar>
          <w:top w:w="0" w:type="dxa"/>
          <w:left w:w="0" w:type="dxa"/>
          <w:bottom w:w="0" w:type="dxa"/>
          <w:right w:w="0" w:type="dxa"/>
        </w:tblCellMar>
      </w:tblPr>
      <w:tblGrid>
        <w:gridCol w:w="2265"/>
        <w:gridCol w:w="6600"/>
      </w:tblGrid>
      <w:tr w14:paraId="3D3B17E6">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1B0AD067">
            <w:pPr>
              <w:autoSpaceDE w:val="0"/>
              <w:autoSpaceDN w:val="0"/>
              <w:spacing w:line="500" w:lineRule="exact"/>
              <w:jc w:val="center"/>
              <w:rPr>
                <w:rFonts w:ascii="宋体" w:hAnsi="宋体" w:eastAsia="宋体" w:cs="Times New Roman"/>
                <w:kern w:val="0"/>
                <w:sz w:val="24"/>
                <w:szCs w:val="24"/>
              </w:rPr>
            </w:pPr>
            <w:bookmarkStart w:id="14" w:name="_Toc365647229"/>
            <w:r>
              <w:rPr>
                <w:rFonts w:hint="eastAsia" w:ascii="宋体" w:hAnsi="宋体" w:eastAsia="宋体" w:cs="Times New Roman"/>
                <w:kern w:val="0"/>
                <w:sz w:val="24"/>
                <w:szCs w:val="24"/>
              </w:rPr>
              <w:t>项目名称</w:t>
            </w:r>
            <w:bookmarkEnd w:id="14"/>
          </w:p>
        </w:tc>
        <w:tc>
          <w:tcPr>
            <w:tcW w:w="6600" w:type="dxa"/>
            <w:tcBorders>
              <w:top w:val="single" w:color="auto" w:sz="4" w:space="0"/>
              <w:left w:val="nil"/>
              <w:bottom w:val="single" w:color="auto" w:sz="4" w:space="0"/>
              <w:right w:val="single" w:color="auto" w:sz="4" w:space="0"/>
            </w:tcBorders>
            <w:noWrap/>
            <w:vAlign w:val="center"/>
          </w:tcPr>
          <w:p w14:paraId="31147D54">
            <w:pPr>
              <w:autoSpaceDE w:val="0"/>
              <w:autoSpaceDN w:val="0"/>
              <w:spacing w:line="500" w:lineRule="exact"/>
              <w:jc w:val="center"/>
              <w:rPr>
                <w:rFonts w:ascii="宋体" w:hAnsi="宋体" w:eastAsia="宋体" w:cs="Times New Roman"/>
                <w:kern w:val="0"/>
                <w:sz w:val="24"/>
                <w:szCs w:val="24"/>
              </w:rPr>
            </w:pPr>
          </w:p>
        </w:tc>
      </w:tr>
      <w:tr w14:paraId="39C82DB8">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03850F5">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磋商响应供应商</w:t>
            </w:r>
          </w:p>
        </w:tc>
        <w:tc>
          <w:tcPr>
            <w:tcW w:w="6600" w:type="dxa"/>
            <w:tcBorders>
              <w:top w:val="single" w:color="auto" w:sz="4" w:space="0"/>
              <w:left w:val="nil"/>
              <w:bottom w:val="single" w:color="auto" w:sz="4" w:space="0"/>
              <w:right w:val="single" w:color="auto" w:sz="4" w:space="0"/>
            </w:tcBorders>
            <w:noWrap/>
            <w:vAlign w:val="center"/>
          </w:tcPr>
          <w:p w14:paraId="1BC26D63">
            <w:pPr>
              <w:autoSpaceDE w:val="0"/>
              <w:autoSpaceDN w:val="0"/>
              <w:spacing w:line="500" w:lineRule="exact"/>
              <w:jc w:val="center"/>
              <w:rPr>
                <w:rFonts w:ascii="宋体" w:hAnsi="宋体" w:eastAsia="宋体" w:cs="Times New Roman"/>
                <w:kern w:val="0"/>
                <w:sz w:val="24"/>
                <w:szCs w:val="24"/>
              </w:rPr>
            </w:pPr>
          </w:p>
        </w:tc>
      </w:tr>
      <w:tr w14:paraId="59BA4CEC">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1FB9DDE0">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600" w:type="dxa"/>
            <w:tcBorders>
              <w:top w:val="single" w:color="auto" w:sz="4" w:space="0"/>
              <w:left w:val="nil"/>
              <w:bottom w:val="single" w:color="auto" w:sz="4" w:space="0"/>
              <w:right w:val="single" w:color="auto" w:sz="4" w:space="0"/>
            </w:tcBorders>
            <w:noWrap/>
            <w:vAlign w:val="center"/>
          </w:tcPr>
          <w:p w14:paraId="45D3D833">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55CFFF5F">
            <w:pPr>
              <w:autoSpaceDE w:val="0"/>
              <w:autoSpaceDN w:val="0"/>
              <w:spacing w:line="500" w:lineRule="exact"/>
              <w:ind w:firstLine="840" w:firstLineChars="350"/>
              <w:rPr>
                <w:rFonts w:ascii="宋体" w:hAnsi="宋体" w:eastAsia="宋体" w:cs="Times New Roman"/>
                <w:kern w:val="0"/>
                <w:sz w:val="24"/>
                <w:szCs w:val="24"/>
              </w:rPr>
            </w:pPr>
            <w:r>
              <w:rPr>
                <w:rFonts w:hint="eastAsia" w:ascii="宋体" w:hAnsi="宋体" w:eastAsia="宋体" w:cs="Times New Roman"/>
                <w:kern w:val="0"/>
                <w:sz w:val="24"/>
                <w:szCs w:val="24"/>
              </w:rPr>
              <w:t>（小写）：￥</w:t>
            </w:r>
          </w:p>
        </w:tc>
      </w:tr>
      <w:tr w14:paraId="66C96CE8">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304507D">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质量要求</w:t>
            </w:r>
          </w:p>
        </w:tc>
        <w:tc>
          <w:tcPr>
            <w:tcW w:w="6600" w:type="dxa"/>
            <w:tcBorders>
              <w:top w:val="single" w:color="auto" w:sz="4" w:space="0"/>
              <w:left w:val="nil"/>
              <w:bottom w:val="single" w:color="auto" w:sz="4" w:space="0"/>
              <w:right w:val="single" w:color="auto" w:sz="4" w:space="0"/>
            </w:tcBorders>
            <w:noWrap/>
            <w:vAlign w:val="center"/>
          </w:tcPr>
          <w:p w14:paraId="1D3AFCFD">
            <w:pPr>
              <w:autoSpaceDE w:val="0"/>
              <w:autoSpaceDN w:val="0"/>
              <w:spacing w:line="500" w:lineRule="exact"/>
              <w:ind w:firstLine="120" w:firstLineChars="50"/>
              <w:rPr>
                <w:rFonts w:ascii="宋体" w:hAnsi="宋体" w:eastAsia="宋体" w:cs="Times New Roman"/>
                <w:kern w:val="0"/>
                <w:sz w:val="24"/>
                <w:szCs w:val="24"/>
              </w:rPr>
            </w:pPr>
          </w:p>
        </w:tc>
      </w:tr>
      <w:tr w14:paraId="54FDECD4">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24584E65">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 货 期</w:t>
            </w:r>
          </w:p>
        </w:tc>
        <w:tc>
          <w:tcPr>
            <w:tcW w:w="6600" w:type="dxa"/>
            <w:tcBorders>
              <w:top w:val="single" w:color="auto" w:sz="4" w:space="0"/>
              <w:left w:val="nil"/>
              <w:bottom w:val="single" w:color="auto" w:sz="4" w:space="0"/>
              <w:right w:val="single" w:color="auto" w:sz="4" w:space="0"/>
            </w:tcBorders>
            <w:noWrap/>
            <w:vAlign w:val="center"/>
          </w:tcPr>
          <w:p w14:paraId="24D3BDDC">
            <w:pPr>
              <w:autoSpaceDE w:val="0"/>
              <w:autoSpaceDN w:val="0"/>
              <w:spacing w:line="500" w:lineRule="exact"/>
              <w:jc w:val="center"/>
              <w:rPr>
                <w:rFonts w:ascii="宋体" w:hAnsi="宋体" w:eastAsia="宋体" w:cs="Times New Roman"/>
                <w:kern w:val="0"/>
                <w:sz w:val="24"/>
                <w:szCs w:val="24"/>
              </w:rPr>
            </w:pPr>
          </w:p>
        </w:tc>
      </w:tr>
      <w:tr w14:paraId="6DF3A171">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AADB919">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磋商有效期</w:t>
            </w:r>
          </w:p>
        </w:tc>
        <w:tc>
          <w:tcPr>
            <w:tcW w:w="6600" w:type="dxa"/>
            <w:tcBorders>
              <w:top w:val="single" w:color="auto" w:sz="4" w:space="0"/>
              <w:left w:val="nil"/>
              <w:bottom w:val="single" w:color="auto" w:sz="4" w:space="0"/>
              <w:right w:val="single" w:color="auto" w:sz="4" w:space="0"/>
            </w:tcBorders>
            <w:noWrap/>
            <w:vAlign w:val="center"/>
          </w:tcPr>
          <w:p w14:paraId="68C8F3B0">
            <w:pPr>
              <w:autoSpaceDE w:val="0"/>
              <w:autoSpaceDN w:val="0"/>
              <w:spacing w:line="500" w:lineRule="exact"/>
              <w:jc w:val="center"/>
              <w:rPr>
                <w:rFonts w:ascii="宋体" w:hAnsi="宋体" w:eastAsia="宋体" w:cs="Times New Roman"/>
                <w:kern w:val="0"/>
                <w:sz w:val="24"/>
                <w:szCs w:val="24"/>
              </w:rPr>
            </w:pPr>
          </w:p>
        </w:tc>
      </w:tr>
      <w:tr w14:paraId="39C37775">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256B70B2">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联系人姓名及电话</w:t>
            </w:r>
          </w:p>
        </w:tc>
        <w:tc>
          <w:tcPr>
            <w:tcW w:w="6600" w:type="dxa"/>
            <w:tcBorders>
              <w:top w:val="single" w:color="auto" w:sz="4" w:space="0"/>
              <w:left w:val="nil"/>
              <w:bottom w:val="single" w:color="auto" w:sz="4" w:space="0"/>
              <w:right w:val="single" w:color="auto" w:sz="4" w:space="0"/>
            </w:tcBorders>
            <w:noWrap/>
            <w:vAlign w:val="center"/>
          </w:tcPr>
          <w:p w14:paraId="06FAEAEB">
            <w:pPr>
              <w:autoSpaceDE w:val="0"/>
              <w:autoSpaceDN w:val="0"/>
              <w:spacing w:line="500" w:lineRule="exact"/>
              <w:jc w:val="center"/>
              <w:rPr>
                <w:rFonts w:ascii="宋体" w:hAnsi="宋体" w:eastAsia="宋体" w:cs="Times New Roman"/>
                <w:kern w:val="0"/>
                <w:sz w:val="24"/>
                <w:szCs w:val="24"/>
              </w:rPr>
            </w:pPr>
          </w:p>
        </w:tc>
      </w:tr>
      <w:tr w14:paraId="02B942D3">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822D07C">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  注</w:t>
            </w:r>
          </w:p>
        </w:tc>
        <w:tc>
          <w:tcPr>
            <w:tcW w:w="6600" w:type="dxa"/>
            <w:tcBorders>
              <w:top w:val="single" w:color="auto" w:sz="4" w:space="0"/>
              <w:left w:val="nil"/>
              <w:bottom w:val="single" w:color="auto" w:sz="4" w:space="0"/>
              <w:right w:val="single" w:color="auto" w:sz="4" w:space="0"/>
            </w:tcBorders>
            <w:noWrap/>
            <w:vAlign w:val="center"/>
          </w:tcPr>
          <w:p w14:paraId="6E1BEE46">
            <w:pPr>
              <w:autoSpaceDE w:val="0"/>
              <w:autoSpaceDN w:val="0"/>
              <w:spacing w:line="500" w:lineRule="exact"/>
              <w:jc w:val="center"/>
              <w:rPr>
                <w:rFonts w:ascii="宋体" w:hAnsi="宋体" w:eastAsia="宋体" w:cs="Times New Roman"/>
                <w:kern w:val="0"/>
                <w:sz w:val="24"/>
                <w:szCs w:val="24"/>
              </w:rPr>
            </w:pPr>
          </w:p>
        </w:tc>
      </w:tr>
    </w:tbl>
    <w:p w14:paraId="37A042A6">
      <w:pPr>
        <w:autoSpaceDE w:val="0"/>
        <w:autoSpaceDN w:val="0"/>
        <w:adjustRightInd w:val="0"/>
        <w:spacing w:line="500" w:lineRule="exact"/>
        <w:rPr>
          <w:rFonts w:ascii="宋体" w:hAnsi="宋体" w:eastAsia="宋体" w:cs="Times New Roman"/>
          <w:kern w:val="0"/>
          <w:sz w:val="24"/>
          <w:szCs w:val="24"/>
        </w:rPr>
      </w:pPr>
    </w:p>
    <w:p w14:paraId="661625DB">
      <w:pPr>
        <w:autoSpaceDE w:val="0"/>
        <w:autoSpaceDN w:val="0"/>
        <w:adjustRightInd w:val="0"/>
        <w:spacing w:line="500" w:lineRule="exact"/>
        <w:rPr>
          <w:rFonts w:ascii="宋体" w:hAnsi="宋体" w:eastAsia="宋体" w:cs="Times New Roman"/>
          <w:kern w:val="0"/>
          <w:sz w:val="24"/>
          <w:szCs w:val="24"/>
        </w:rPr>
      </w:pPr>
    </w:p>
    <w:p w14:paraId="4A4A813F">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738A9345">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07B67035">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47AACC7F">
      <w:pPr>
        <w:keepNext/>
        <w:spacing w:line="500" w:lineRule="exact"/>
        <w:ind w:hanging="284"/>
        <w:jc w:val="center"/>
        <w:textAlignment w:val="baseline"/>
        <w:outlineLvl w:val="1"/>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
          <w:bCs/>
          <w:kern w:val="0"/>
          <w:sz w:val="32"/>
          <w:szCs w:val="32"/>
        </w:rPr>
        <w:t>4、资格审查资料</w:t>
      </w:r>
    </w:p>
    <w:p w14:paraId="5EB45E03">
      <w:pPr>
        <w:snapToGrid w:val="0"/>
        <w:spacing w:line="500" w:lineRule="exact"/>
        <w:ind w:right="44" w:rightChars="21"/>
        <w:rPr>
          <w:rFonts w:ascii="宋体" w:hAnsi="宋体" w:eastAsia="宋体" w:cs="Times New Roman"/>
          <w:b/>
          <w:bCs/>
          <w:sz w:val="24"/>
          <w:szCs w:val="24"/>
        </w:rPr>
      </w:pPr>
    </w:p>
    <w:p w14:paraId="0E31256B">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附件一：</w:t>
      </w:r>
      <w:r>
        <w:rPr>
          <w:rFonts w:hint="eastAsia" w:ascii="Times New Roman" w:hAnsi="Times New Roman" w:eastAsia="宋体" w:cs="Times New Roman"/>
          <w:bCs/>
          <w:szCs w:val="24"/>
        </w:rPr>
        <w:t>满足《中华人民共和国政府采购法》第二十二条规定；</w:t>
      </w:r>
    </w:p>
    <w:p w14:paraId="471A5692">
      <w:pPr>
        <w:snapToGrid w:val="0"/>
        <w:spacing w:line="500" w:lineRule="exact"/>
        <w:ind w:right="-1" w:firstLine="241" w:firstLineChars="100"/>
        <w:rPr>
          <w:rFonts w:ascii="宋体" w:hAnsi="宋体" w:eastAsia="宋体" w:cs="宋体"/>
          <w:b/>
          <w:sz w:val="24"/>
          <w:szCs w:val="24"/>
        </w:rPr>
      </w:pPr>
      <w:r>
        <w:rPr>
          <w:rFonts w:hint="eastAsia" w:ascii="宋体" w:hAnsi="宋体" w:eastAsia="宋体" w:cs="宋体"/>
          <w:b/>
          <w:sz w:val="24"/>
          <w:szCs w:val="24"/>
        </w:rPr>
        <w:t>附件二：</w:t>
      </w:r>
      <w:r>
        <w:rPr>
          <w:rFonts w:hint="eastAsia" w:ascii="Times New Roman" w:hAnsi="Times New Roman" w:eastAsia="宋体" w:cs="Times New Roman"/>
          <w:bCs/>
          <w:szCs w:val="24"/>
        </w:rPr>
        <w:t>供应商具有合格有效的</w:t>
      </w:r>
      <w:r>
        <w:rPr>
          <w:rFonts w:hint="eastAsia" w:ascii="Times New Roman" w:hAnsi="Times New Roman" w:eastAsia="宋体" w:cs="Times New Roman"/>
          <w:bCs/>
          <w:szCs w:val="24"/>
          <w:lang w:eastAsia="zh-CN"/>
        </w:rPr>
        <w:t>营业执照；提供具有履行合同所必需的设备和专业技术能力（自行作出承诺，格式自拟）</w:t>
      </w:r>
      <w:r>
        <w:rPr>
          <w:rFonts w:hint="eastAsia" w:ascii="宋体" w:hAnsi="宋体" w:eastAsia="宋体" w:cs="宋体"/>
          <w:sz w:val="24"/>
          <w:szCs w:val="24"/>
        </w:rPr>
        <w:t>；</w:t>
      </w:r>
    </w:p>
    <w:p w14:paraId="3CCE8E57">
      <w:pPr>
        <w:snapToGrid w:val="0"/>
        <w:spacing w:line="500" w:lineRule="exact"/>
        <w:ind w:right="-1" w:firstLine="241" w:firstLineChars="100"/>
        <w:rPr>
          <w:rFonts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w:t>
      </w:r>
      <w:r>
        <w:rPr>
          <w:rFonts w:hint="eastAsia" w:ascii="Times New Roman" w:hAnsi="Times New Roman" w:eastAsia="宋体" w:cs="Times New Roman"/>
          <w:bCs/>
          <w:szCs w:val="24"/>
          <w:lang w:eastAsia="zh-CN"/>
        </w:rPr>
        <w:t>供应商</w:t>
      </w:r>
      <w:r>
        <w:rPr>
          <w:rFonts w:hint="eastAsia" w:ascii="Times New Roman" w:hAnsi="Times New Roman" w:eastAsia="宋体" w:cs="Times New Roman"/>
          <w:bCs/>
          <w:szCs w:val="24"/>
          <w:lang w:val="en-US" w:eastAsia="zh-CN"/>
        </w:rPr>
        <w:t>出具无行贿记录在中国裁判文书网自行查询或自行承诺（查询对象：企业、法定代表人）及企业自行承诺无商业贿赂和不正当竞争行为</w:t>
      </w:r>
      <w:r>
        <w:rPr>
          <w:rFonts w:hint="eastAsia" w:ascii="Times New Roman" w:hAnsi="Times New Roman" w:eastAsia="宋体" w:cs="Times New Roman"/>
          <w:bCs/>
          <w:szCs w:val="24"/>
        </w:rPr>
        <w:t>；</w:t>
      </w:r>
    </w:p>
    <w:p w14:paraId="2C69BA95">
      <w:pPr>
        <w:snapToGrid w:val="0"/>
        <w:spacing w:line="500" w:lineRule="exact"/>
        <w:ind w:right="-1" w:firstLine="241" w:firstLineChars="100"/>
        <w:rPr>
          <w:rFonts w:hint="eastAsia"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Times New Roman" w:hAnsi="Times New Roman" w:eastAsia="宋体" w:cs="Times New Roman"/>
          <w:bCs/>
          <w:szCs w:val="24"/>
        </w:rPr>
        <w:t>。</w:t>
      </w:r>
    </w:p>
    <w:p w14:paraId="709AD8E0">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本项目不接受联合体投标，供应商提供承诺书；</w:t>
      </w:r>
    </w:p>
    <w:p w14:paraId="185922D6">
      <w:pPr>
        <w:spacing w:line="360" w:lineRule="auto"/>
        <w:ind w:firstLine="210" w:firstLineChars="100"/>
        <w:rPr>
          <w:rFonts w:ascii="Times New Roman" w:hAnsi="Times New Roman" w:eastAsia="宋体" w:cs="Times New Roman"/>
          <w:bCs/>
          <w:szCs w:val="24"/>
        </w:rPr>
      </w:pPr>
    </w:p>
    <w:p w14:paraId="06A233DD">
      <w:pPr>
        <w:snapToGrid w:val="0"/>
        <w:spacing w:line="500" w:lineRule="exact"/>
        <w:ind w:right="-1" w:firstLine="241" w:firstLineChars="100"/>
        <w:rPr>
          <w:rFonts w:ascii="宋体" w:hAnsi="宋体" w:eastAsia="宋体" w:cs="Times New Roman"/>
          <w:b/>
          <w:sz w:val="24"/>
          <w:szCs w:val="24"/>
        </w:rPr>
      </w:pPr>
      <w:r>
        <w:rPr>
          <w:rFonts w:hint="eastAsia" w:ascii="宋体" w:hAnsi="宋体" w:eastAsia="宋体" w:cs="Times New Roman"/>
          <w:b/>
          <w:sz w:val="24"/>
          <w:szCs w:val="24"/>
        </w:rPr>
        <w:t>注：以上为磋商响应供应商资格审查必备资料，需按竞争性磋商文件要求提供。</w:t>
      </w:r>
    </w:p>
    <w:p w14:paraId="193CA234">
      <w:pPr>
        <w:spacing w:line="360" w:lineRule="auto"/>
        <w:jc w:val="center"/>
        <w:rPr>
          <w:rFonts w:ascii="宋体" w:hAnsi="宋体" w:eastAsia="宋体" w:cs="Times New Roman"/>
          <w:b/>
          <w:sz w:val="32"/>
          <w:szCs w:val="32"/>
        </w:rPr>
      </w:pPr>
      <w:r>
        <w:rPr>
          <w:rFonts w:ascii="宋体" w:hAnsi="宋体" w:eastAsia="宋体" w:cs="Times New Roman"/>
          <w:b/>
          <w:bCs/>
          <w:sz w:val="28"/>
          <w:szCs w:val="28"/>
        </w:rPr>
        <w:br w:type="page"/>
      </w:r>
    </w:p>
    <w:p w14:paraId="54CDB596">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5、中小企业声明函</w:t>
      </w:r>
    </w:p>
    <w:p w14:paraId="142D8759">
      <w:pPr>
        <w:jc w:val="center"/>
        <w:rPr>
          <w:rFonts w:ascii="宋体" w:hAnsi="宋体" w:eastAsia="宋体" w:cs="宋体"/>
          <w:b/>
          <w:bCs/>
          <w:iCs/>
          <w:sz w:val="24"/>
          <w:szCs w:val="24"/>
        </w:rPr>
      </w:pPr>
      <w:r>
        <w:rPr>
          <w:rFonts w:hint="eastAsia" w:ascii="宋体" w:hAnsi="宋体" w:eastAsia="宋体" w:cs="宋体"/>
          <w:b/>
          <w:bCs/>
          <w:iCs/>
          <w:sz w:val="24"/>
          <w:szCs w:val="24"/>
        </w:rPr>
        <w:t>（属于中小微企业的填写，不属于的无需填写此项内容）</w:t>
      </w:r>
    </w:p>
    <w:p w14:paraId="07886A6D">
      <w:pPr>
        <w:spacing w:line="360" w:lineRule="auto"/>
        <w:ind w:firstLine="480" w:firstLineChars="200"/>
        <w:rPr>
          <w:rFonts w:ascii="宋体" w:hAnsi="宋体" w:eastAsia="宋体" w:cs="Times New Roman"/>
          <w:sz w:val="24"/>
          <w:szCs w:val="24"/>
        </w:rPr>
      </w:pPr>
    </w:p>
    <w:p w14:paraId="36153A9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（项目名称）</w:t>
      </w:r>
      <w:r>
        <w:rPr>
          <w:rFonts w:ascii="宋体" w:hAnsi="宋体" w:eastAsia="宋体" w:cs="Times New Roman"/>
          <w:sz w:val="24"/>
          <w:szCs w:val="24"/>
        </w:rPr>
        <w:t xml:space="preserve"> 采购活动，</w:t>
      </w:r>
      <w:r>
        <w:rPr>
          <w:rFonts w:hint="eastAsia" w:ascii="宋体" w:hAnsi="宋体" w:eastAsia="宋体" w:cs="Times New Roman"/>
          <w:sz w:val="24"/>
          <w:szCs w:val="24"/>
        </w:rPr>
        <w:t>提供的货物全部由符合政策要求的中小企业制造，</w:t>
      </w:r>
      <w:r>
        <w:rPr>
          <w:rFonts w:ascii="宋体" w:hAnsi="宋体" w:eastAsia="宋体" w:cs="Times New Roman"/>
          <w:sz w:val="24"/>
          <w:szCs w:val="24"/>
        </w:rPr>
        <w:t>具体情况如下：</w:t>
      </w:r>
    </w:p>
    <w:p w14:paraId="0B5EE076">
      <w:pPr>
        <w:spacing w:line="360" w:lineRule="auto"/>
        <w:ind w:firstLine="480" w:firstLineChars="200"/>
        <w:rPr>
          <w:rFonts w:ascii="宋体" w:hAnsi="宋体" w:eastAsia="宋体" w:cs="Times New Roman"/>
          <w:sz w:val="24"/>
          <w:szCs w:val="24"/>
          <w:u w:val="single"/>
        </w:rPr>
      </w:pP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w:t>
      </w:r>
      <w:r>
        <w:rPr>
          <w:rFonts w:hint="eastAsia" w:ascii="宋体" w:hAnsi="宋体" w:eastAsia="宋体" w:cs="Times New Roman"/>
          <w:sz w:val="24"/>
          <w:szCs w:val="24"/>
        </w:rPr>
        <w:t>制造商</w:t>
      </w:r>
      <w:r>
        <w:rPr>
          <w:rFonts w:ascii="宋体" w:hAnsi="宋体" w:eastAsia="宋体" w:cs="Times New Roman"/>
          <w:sz w:val="24"/>
          <w:szCs w:val="24"/>
        </w:rPr>
        <w:t>为</w:t>
      </w:r>
      <w:r>
        <w:rPr>
          <w:rFonts w:ascii="宋体" w:hAnsi="宋体" w:eastAsia="宋体" w:cs="Times New Roman"/>
          <w:sz w:val="24"/>
          <w:szCs w:val="24"/>
          <w:u w:val="single"/>
        </w:rPr>
        <w:t>（ 企业名称）</w:t>
      </w:r>
      <w:r>
        <w:rPr>
          <w:rFonts w:ascii="宋体" w:hAnsi="宋体" w:eastAsia="宋体" w:cs="Times New Roman"/>
          <w:sz w:val="24"/>
          <w:szCs w:val="24"/>
        </w:rPr>
        <w:t>， 从业人员人， 营业收入为万元， 资产总额为万元， 属于</w:t>
      </w:r>
      <w:r>
        <w:rPr>
          <w:rFonts w:ascii="宋体" w:hAnsi="宋体" w:eastAsia="宋体" w:cs="Times New Roman"/>
          <w:sz w:val="24"/>
          <w:szCs w:val="24"/>
          <w:u w:val="single"/>
        </w:rPr>
        <w:t>（中型企业、 小型企业、 微型企业）</w:t>
      </w:r>
      <w:r>
        <w:rPr>
          <w:rFonts w:ascii="宋体" w:hAnsi="宋体" w:eastAsia="宋体" w:cs="Times New Roman"/>
          <w:sz w:val="24"/>
          <w:szCs w:val="24"/>
        </w:rPr>
        <w:t>；</w:t>
      </w:r>
    </w:p>
    <w:p w14:paraId="645338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w:t>
      </w:r>
      <w:r>
        <w:rPr>
          <w:rFonts w:ascii="宋体" w:hAnsi="宋体" w:eastAsia="宋体" w:cs="Times New Roman"/>
          <w:sz w:val="24"/>
          <w:szCs w:val="24"/>
        </w:rPr>
        <w:t>企业不属于大企业的分支机构， 不存在控股股东为大企业的情形， 也不存在与大企业的负责人为同一人的情形。</w:t>
      </w:r>
    </w:p>
    <w:p w14:paraId="3B4FC5F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49D4C19E">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2A763C9E">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71D3286B">
      <w:pPr>
        <w:spacing w:line="360" w:lineRule="auto"/>
        <w:ind w:firstLine="480" w:firstLineChars="200"/>
        <w:rPr>
          <w:rFonts w:ascii="宋体" w:hAnsi="宋体" w:eastAsia="宋体" w:cs="宋体"/>
          <w:iCs/>
          <w:sz w:val="24"/>
          <w:szCs w:val="24"/>
        </w:rPr>
      </w:pPr>
      <w:r>
        <w:rPr>
          <w:rFonts w:hint="eastAsia" w:ascii="宋体" w:hAnsi="宋体" w:eastAsia="宋体" w:cs="Times New Roman"/>
          <w:sz w:val="24"/>
          <w:szCs w:val="24"/>
        </w:rPr>
        <w:t>注：</w:t>
      </w:r>
      <w:r>
        <w:rPr>
          <w:rFonts w:ascii="宋体" w:hAnsi="宋体" w:eastAsia="宋体" w:cs="Times New Roman"/>
          <w:sz w:val="24"/>
          <w:szCs w:val="24"/>
        </w:rPr>
        <w:t>从业人员、 营业收入、 资产总额填报上一年度数据， 无上一年度数据的新成立企业可不填报。</w:t>
      </w:r>
    </w:p>
    <w:p w14:paraId="3BFC294E">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w:br w:type="page"/>
      </w:r>
    </w:p>
    <w:p w14:paraId="7C4D419D">
      <w:pPr>
        <w:spacing w:line="360" w:lineRule="auto"/>
        <w:jc w:val="center"/>
        <w:rPr>
          <w:rFonts w:ascii="宋体" w:hAnsi="宋体" w:eastAsia="宋体" w:cs="宋体"/>
          <w:b/>
          <w:bCs/>
          <w:sz w:val="32"/>
          <w:szCs w:val="32"/>
        </w:rPr>
      </w:pPr>
      <w:r>
        <w:rPr>
          <w:rFonts w:hint="eastAsia" w:ascii="宋体" w:hAnsi="宋体" w:eastAsia="宋体" w:cs="Times New Roman"/>
          <w:b/>
          <w:bCs/>
          <w:sz w:val="32"/>
          <w:szCs w:val="32"/>
        </w:rPr>
        <w:t>6、</w:t>
      </w:r>
      <w:r>
        <w:rPr>
          <w:rFonts w:ascii="宋体" w:hAnsi="宋体" w:eastAsia="宋体" w:cs="宋体"/>
          <w:b/>
          <w:bCs/>
          <w:sz w:val="32"/>
          <w:szCs w:val="32"/>
        </w:rPr>
        <w:t>残疾人福利性单位声明函</w:t>
      </w:r>
    </w:p>
    <w:p w14:paraId="2950E697">
      <w:pPr>
        <w:jc w:val="center"/>
        <w:rPr>
          <w:rFonts w:ascii="宋体" w:hAnsi="宋体" w:eastAsia="宋体" w:cs="宋体"/>
          <w:b/>
          <w:bCs/>
          <w:iCs/>
          <w:sz w:val="24"/>
          <w:szCs w:val="24"/>
        </w:rPr>
      </w:pPr>
      <w:r>
        <w:rPr>
          <w:rFonts w:hint="eastAsia" w:ascii="宋体" w:hAnsi="宋体" w:eastAsia="宋体" w:cs="宋体"/>
          <w:b/>
          <w:bCs/>
          <w:iCs/>
          <w:sz w:val="24"/>
          <w:szCs w:val="24"/>
        </w:rPr>
        <w:t>（属于残疾人福利性单位的填写，不属于的无需填写此项内容）</w:t>
      </w:r>
    </w:p>
    <w:p w14:paraId="623BC731">
      <w:pPr>
        <w:spacing w:line="360" w:lineRule="auto"/>
        <w:jc w:val="center"/>
        <w:rPr>
          <w:rFonts w:ascii="宋体" w:hAnsi="宋体" w:eastAsia="宋体" w:cs="宋体"/>
          <w:b/>
          <w:bCs/>
          <w:sz w:val="32"/>
          <w:szCs w:val="32"/>
        </w:rPr>
      </w:pPr>
    </w:p>
    <w:p w14:paraId="424FF720">
      <w:pPr>
        <w:snapToGrid w:val="0"/>
        <w:spacing w:line="520" w:lineRule="exact"/>
        <w:ind w:left="1177" w:leftChars="-72" w:right="84" w:rightChars="40" w:hanging="1328" w:hangingChars="415"/>
        <w:jc w:val="center"/>
        <w:rPr>
          <w:rFonts w:ascii="宋体" w:hAnsi="宋体" w:eastAsia="宋体" w:cs="宋体"/>
          <w:sz w:val="32"/>
          <w:szCs w:val="32"/>
        </w:rPr>
      </w:pPr>
    </w:p>
    <w:p w14:paraId="1AA5AB36">
      <w:pPr>
        <w:spacing w:line="360" w:lineRule="auto"/>
        <w:ind w:firstLine="480" w:firstLineChars="200"/>
        <w:rPr>
          <w:rFonts w:ascii="Calibri" w:hAnsi="Calibri" w:eastAsia="宋体" w:cs="宋体"/>
          <w:sz w:val="24"/>
          <w:szCs w:val="24"/>
        </w:rPr>
      </w:pPr>
      <w:r>
        <w:rPr>
          <w:rFonts w:ascii="Calibri" w:hAnsi="Calibri"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eastAsia="宋体" w:cs="宋体"/>
          <w:sz w:val="24"/>
          <w:szCs w:val="24"/>
        </w:rPr>
        <w:t>提供本</w:t>
      </w:r>
      <w:r>
        <w:rPr>
          <w:rFonts w:ascii="Calibri" w:hAnsi="Calibri" w:eastAsia="宋体" w:cs="宋体"/>
          <w:sz w:val="24"/>
          <w:szCs w:val="24"/>
        </w:rPr>
        <w:t>单位制造的货物</w:t>
      </w:r>
      <w:r>
        <w:rPr>
          <w:rFonts w:hint="eastAsia" w:ascii="Calibri" w:hAnsi="Calibri" w:eastAsia="宋体" w:cs="宋体"/>
          <w:sz w:val="24"/>
          <w:szCs w:val="24"/>
        </w:rPr>
        <w:t>，</w:t>
      </w:r>
      <w:r>
        <w:rPr>
          <w:rFonts w:ascii="Calibri" w:hAnsi="Calibri" w:eastAsia="宋体" w:cs="宋体"/>
          <w:sz w:val="24"/>
          <w:szCs w:val="24"/>
        </w:rPr>
        <w:t>或者提供其他残疾人福利性单位制造的货物（</w:t>
      </w:r>
      <w:r>
        <w:rPr>
          <w:rFonts w:hint="eastAsia" w:ascii="Calibri" w:hAnsi="Calibri" w:eastAsia="宋体" w:cs="宋体"/>
          <w:sz w:val="24"/>
          <w:szCs w:val="24"/>
        </w:rPr>
        <w:t>不</w:t>
      </w:r>
      <w:r>
        <w:rPr>
          <w:rFonts w:ascii="Calibri" w:hAnsi="Calibri" w:eastAsia="宋体" w:cs="宋体"/>
          <w:sz w:val="24"/>
          <w:szCs w:val="24"/>
        </w:rPr>
        <w:t>包括使用非残疾人福利性单位注册商标的货物）。</w:t>
      </w:r>
    </w:p>
    <w:p w14:paraId="4FE566AE">
      <w:pPr>
        <w:spacing w:line="360" w:lineRule="auto"/>
        <w:ind w:firstLine="480" w:firstLineChars="200"/>
        <w:rPr>
          <w:rFonts w:ascii="宋体" w:hAnsi="宋体" w:eastAsia="宋体" w:cs="宋体"/>
          <w:b/>
          <w:bCs/>
          <w:sz w:val="32"/>
          <w:szCs w:val="32"/>
        </w:rPr>
      </w:pPr>
      <w:r>
        <w:rPr>
          <w:rFonts w:ascii="Calibri" w:hAnsi="Calibri" w:eastAsia="宋体" w:cs="宋体"/>
          <w:sz w:val="24"/>
          <w:szCs w:val="24"/>
        </w:rPr>
        <w:t>本单位对上述声明的真实性负责。如有虚假，将依法承担相应责任。</w:t>
      </w:r>
    </w:p>
    <w:p w14:paraId="07CCC56C">
      <w:pPr>
        <w:spacing w:line="360" w:lineRule="auto"/>
        <w:jc w:val="center"/>
        <w:rPr>
          <w:rFonts w:ascii="宋体" w:hAnsi="宋体" w:eastAsia="宋体" w:cs="宋体"/>
          <w:b/>
          <w:bCs/>
          <w:sz w:val="32"/>
          <w:szCs w:val="32"/>
        </w:rPr>
      </w:pPr>
    </w:p>
    <w:p w14:paraId="63F7392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0B77C77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73FF4BF">
      <w:pPr>
        <w:spacing w:line="360" w:lineRule="auto"/>
        <w:jc w:val="center"/>
        <w:rPr>
          <w:rFonts w:ascii="宋体" w:hAnsi="宋体" w:eastAsia="宋体" w:cs="宋体"/>
          <w:b/>
          <w:bCs/>
          <w:sz w:val="32"/>
          <w:szCs w:val="32"/>
        </w:rPr>
      </w:pPr>
    </w:p>
    <w:p w14:paraId="57094824">
      <w:pPr>
        <w:spacing w:line="360" w:lineRule="auto"/>
        <w:rPr>
          <w:rFonts w:ascii="宋体" w:hAnsi="宋体" w:eastAsia="宋体" w:cs="宋体"/>
          <w:b/>
          <w:bCs/>
          <w:sz w:val="32"/>
          <w:szCs w:val="32"/>
        </w:rPr>
      </w:pPr>
      <w:r>
        <w:rPr>
          <w:rFonts w:ascii="宋体" w:hAnsi="宋体" w:eastAsia="宋体" w:cs="宋体"/>
          <w:b/>
          <w:bCs/>
          <w:sz w:val="32"/>
          <w:szCs w:val="32"/>
        </w:rPr>
        <w:br w:type="page"/>
      </w:r>
    </w:p>
    <w:p w14:paraId="0C02A85C">
      <w:pPr>
        <w:spacing w:line="360" w:lineRule="auto"/>
        <w:jc w:val="center"/>
        <w:rPr>
          <w:rFonts w:ascii="宋体" w:hAnsi="宋体" w:eastAsia="宋体" w:cs="宋体"/>
          <w:b/>
          <w:bCs/>
          <w:sz w:val="32"/>
          <w:szCs w:val="32"/>
        </w:rPr>
      </w:pPr>
      <w:r>
        <w:rPr>
          <w:rFonts w:ascii="宋体" w:hAnsi="宋体" w:eastAsia="宋体" w:cs="宋体"/>
          <w:b/>
          <w:bCs/>
          <w:sz w:val="32"/>
          <w:szCs w:val="32"/>
        </w:rPr>
        <w:t>7</w:t>
      </w:r>
      <w:r>
        <w:rPr>
          <w:rFonts w:hint="eastAsia" w:ascii="宋体" w:hAnsi="宋体" w:eastAsia="宋体" w:cs="宋体"/>
          <w:b/>
          <w:bCs/>
          <w:sz w:val="32"/>
          <w:szCs w:val="32"/>
        </w:rPr>
        <w:t>、</w:t>
      </w:r>
      <w:r>
        <w:rPr>
          <w:rFonts w:ascii="宋体" w:hAnsi="宋体" w:eastAsia="宋体" w:cs="宋体"/>
          <w:b/>
          <w:bCs/>
          <w:sz w:val="32"/>
          <w:szCs w:val="32"/>
        </w:rPr>
        <w:t>监狱企业证明文件</w:t>
      </w:r>
    </w:p>
    <w:p w14:paraId="3F86C2A1">
      <w:pPr>
        <w:jc w:val="center"/>
        <w:rPr>
          <w:rFonts w:ascii="宋体" w:hAnsi="宋体" w:eastAsia="宋体" w:cs="宋体"/>
          <w:b/>
          <w:bCs/>
          <w:iCs/>
          <w:sz w:val="24"/>
          <w:szCs w:val="24"/>
        </w:rPr>
      </w:pPr>
      <w:r>
        <w:rPr>
          <w:rFonts w:hint="eastAsia" w:ascii="宋体" w:hAnsi="宋体" w:eastAsia="宋体" w:cs="宋体"/>
          <w:b/>
          <w:bCs/>
          <w:iCs/>
          <w:sz w:val="24"/>
          <w:szCs w:val="24"/>
        </w:rPr>
        <w:t>（属于监狱企业的提供，不属于的无需提供此项内容）</w:t>
      </w:r>
    </w:p>
    <w:p w14:paraId="108C5DF3">
      <w:pPr>
        <w:spacing w:line="360" w:lineRule="auto"/>
        <w:rPr>
          <w:rFonts w:ascii="宋体" w:hAnsi="宋体" w:eastAsia="宋体" w:cs="宋体"/>
          <w:b/>
          <w:bCs/>
          <w:sz w:val="32"/>
          <w:szCs w:val="32"/>
        </w:rPr>
      </w:pPr>
    </w:p>
    <w:p w14:paraId="52FB8C74">
      <w:pPr>
        <w:spacing w:line="360" w:lineRule="auto"/>
        <w:ind w:firstLine="480" w:firstLineChars="200"/>
        <w:jc w:val="left"/>
        <w:rPr>
          <w:rFonts w:ascii="宋体" w:hAnsi="宋体" w:eastAsia="宋体" w:cs="宋体"/>
          <w:bCs/>
          <w:sz w:val="24"/>
          <w:szCs w:val="24"/>
        </w:rPr>
      </w:pPr>
      <w:r>
        <w:rPr>
          <w:rFonts w:ascii="宋体" w:hAnsi="宋体" w:eastAsia="宋体" w:cs="宋体"/>
          <w:bCs/>
          <w:sz w:val="24"/>
          <w:szCs w:val="24"/>
        </w:rPr>
        <w:t>（监狱企业参加政府采购活动时，应当提供由省级以上监狱管理局、戒毒管理局(含新疆生产建设兵团)出具的属于监狱企业的证明文件。</w:t>
      </w:r>
    </w:p>
    <w:p w14:paraId="62F0C81B">
      <w:pPr>
        <w:spacing w:line="360" w:lineRule="auto"/>
        <w:ind w:firstLine="720" w:firstLineChars="300"/>
        <w:jc w:val="left"/>
        <w:rPr>
          <w:rFonts w:ascii="宋体" w:hAnsi="宋体" w:eastAsia="宋体" w:cs="宋体"/>
          <w:bCs/>
          <w:sz w:val="24"/>
          <w:szCs w:val="24"/>
        </w:rPr>
      </w:pPr>
    </w:p>
    <w:p w14:paraId="55C86D7D">
      <w:pPr>
        <w:spacing w:line="360" w:lineRule="auto"/>
        <w:ind w:firstLine="720" w:firstLineChars="300"/>
        <w:jc w:val="left"/>
        <w:rPr>
          <w:rFonts w:ascii="宋体" w:hAnsi="宋体" w:eastAsia="宋体" w:cs="宋体"/>
          <w:bCs/>
          <w:sz w:val="24"/>
          <w:szCs w:val="24"/>
        </w:rPr>
      </w:pPr>
      <w:r>
        <w:rPr>
          <w:rFonts w:ascii="宋体" w:hAnsi="宋体" w:eastAsia="宋体" w:cs="宋体"/>
          <w:bCs/>
          <w:sz w:val="24"/>
          <w:szCs w:val="24"/>
        </w:rPr>
        <w:t>注：在</w:t>
      </w:r>
      <w:r>
        <w:rPr>
          <w:rFonts w:hint="eastAsia" w:ascii="宋体" w:hAnsi="宋体" w:eastAsia="宋体" w:cs="宋体"/>
          <w:bCs/>
          <w:sz w:val="24"/>
          <w:szCs w:val="24"/>
        </w:rPr>
        <w:t>磋商响应</w:t>
      </w:r>
      <w:r>
        <w:rPr>
          <w:rFonts w:ascii="宋体" w:hAnsi="宋体" w:eastAsia="宋体" w:cs="宋体"/>
          <w:bCs/>
          <w:sz w:val="24"/>
          <w:szCs w:val="24"/>
        </w:rPr>
        <w:t>文件中附扫描件</w:t>
      </w:r>
      <w:r>
        <w:rPr>
          <w:rFonts w:hint="eastAsia" w:ascii="宋体" w:hAnsi="宋体" w:eastAsia="宋体" w:cs="宋体"/>
          <w:bCs/>
          <w:sz w:val="24"/>
          <w:szCs w:val="24"/>
        </w:rPr>
        <w:t>。</w:t>
      </w:r>
    </w:p>
    <w:p w14:paraId="2B986185">
      <w:pPr>
        <w:spacing w:line="360" w:lineRule="auto"/>
        <w:jc w:val="center"/>
        <w:rPr>
          <w:rFonts w:ascii="宋体" w:hAnsi="宋体" w:eastAsia="宋体" w:cs="Times New Roman"/>
          <w:b/>
          <w:sz w:val="32"/>
          <w:szCs w:val="32"/>
        </w:rPr>
      </w:pPr>
      <w:r>
        <w:rPr>
          <w:rFonts w:ascii="宋体" w:hAnsi="宋体" w:eastAsia="宋体" w:cs="Times New Roman"/>
          <w:b/>
          <w:sz w:val="32"/>
          <w:szCs w:val="32"/>
        </w:rPr>
        <w:br w:type="page"/>
      </w:r>
    </w:p>
    <w:p w14:paraId="7A26F258">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8、人员培训及售后服务承诺</w:t>
      </w:r>
    </w:p>
    <w:p w14:paraId="26B9E1C8">
      <w:pPr>
        <w:snapToGrid w:val="0"/>
        <w:spacing w:line="520" w:lineRule="exact"/>
        <w:ind w:left="48" w:leftChars="-72" w:right="-817" w:rightChars="-389" w:hanging="199" w:hangingChars="62"/>
        <w:rPr>
          <w:rFonts w:ascii="宋体" w:hAnsi="宋体" w:eastAsia="宋体" w:cs="Times New Roman"/>
          <w:b/>
          <w:sz w:val="32"/>
          <w:szCs w:val="32"/>
        </w:rPr>
      </w:pPr>
    </w:p>
    <w:p w14:paraId="64BADADE">
      <w:pPr>
        <w:snapToGrid w:val="0"/>
        <w:spacing w:line="520" w:lineRule="exact"/>
        <w:ind w:left="48" w:leftChars="-72" w:right="-817" w:rightChars="-389" w:hanging="199" w:hangingChars="62"/>
        <w:rPr>
          <w:rFonts w:ascii="宋体" w:hAnsi="宋体" w:eastAsia="宋体" w:cs="Times New Roman"/>
          <w:b/>
          <w:sz w:val="32"/>
          <w:szCs w:val="32"/>
        </w:rPr>
      </w:pPr>
    </w:p>
    <w:p w14:paraId="68FEB38D">
      <w:pPr>
        <w:snapToGrid w:val="0"/>
        <w:spacing w:line="520" w:lineRule="exact"/>
        <w:ind w:left="-2" w:leftChars="-72" w:right="-817" w:rightChars="-389" w:hanging="149" w:hangingChars="62"/>
        <w:jc w:val="center"/>
        <w:rPr>
          <w:rFonts w:ascii="宋体" w:hAnsi="宋体" w:eastAsia="宋体" w:cs="Times New Roman"/>
          <w:b/>
          <w:sz w:val="24"/>
          <w:szCs w:val="24"/>
        </w:rPr>
      </w:pPr>
      <w:r>
        <w:rPr>
          <w:rFonts w:hint="eastAsia" w:ascii="宋体" w:hAnsi="宋体" w:eastAsia="宋体" w:cs="Times New Roman"/>
          <w:b/>
          <w:sz w:val="24"/>
          <w:szCs w:val="24"/>
        </w:rPr>
        <w:t>（根据项目需要设定。格式自拟，</w:t>
      </w:r>
      <w:r>
        <w:rPr>
          <w:rFonts w:hint="eastAsia" w:ascii="宋体" w:hAnsi="宋体" w:eastAsia="宋体" w:cs="Times New Roman"/>
          <w:b/>
          <w:sz w:val="24"/>
          <w:szCs w:val="21"/>
        </w:rPr>
        <w:t>落款处需供应商盖章或法定代表人签字或盖章</w:t>
      </w:r>
      <w:r>
        <w:rPr>
          <w:rFonts w:hint="eastAsia" w:ascii="宋体" w:hAnsi="宋体" w:eastAsia="宋体" w:cs="Times New Roman"/>
          <w:b/>
          <w:sz w:val="24"/>
          <w:szCs w:val="24"/>
        </w:rPr>
        <w:t>）</w:t>
      </w:r>
    </w:p>
    <w:p w14:paraId="47921554">
      <w:pPr>
        <w:spacing w:line="360" w:lineRule="auto"/>
        <w:jc w:val="left"/>
        <w:rPr>
          <w:rFonts w:ascii="微软雅黑" w:hAnsi="微软雅黑" w:eastAsia="微软雅黑" w:cs="微软雅黑"/>
          <w:b/>
          <w:sz w:val="24"/>
          <w:szCs w:val="24"/>
          <w:u w:color="000000"/>
        </w:rPr>
      </w:pPr>
      <w:r>
        <w:rPr>
          <w:rFonts w:ascii="宋体" w:hAnsi="宋体" w:eastAsia="宋体" w:cs="Times New Roman"/>
          <w:b/>
          <w:bCs/>
          <w:sz w:val="32"/>
          <w:szCs w:val="32"/>
        </w:rPr>
        <w:br w:type="page"/>
      </w:r>
    </w:p>
    <w:p w14:paraId="54DF89CC">
      <w:pPr>
        <w:spacing w:line="360" w:lineRule="auto"/>
        <w:ind w:firstLine="420"/>
        <w:jc w:val="center"/>
        <w:rPr>
          <w:rFonts w:ascii="宋体" w:hAnsi="宋体" w:eastAsia="宋体" w:cs="Times New Roman"/>
          <w:sz w:val="32"/>
          <w:szCs w:val="32"/>
        </w:rPr>
      </w:pPr>
      <w:r>
        <w:rPr>
          <w:rFonts w:hint="eastAsia" w:ascii="宋体" w:hAnsi="宋体" w:eastAsia="宋体" w:cs="Times New Roman"/>
          <w:b/>
          <w:bCs/>
          <w:sz w:val="32"/>
          <w:szCs w:val="32"/>
          <w:lang w:val="en-US" w:eastAsia="zh-CN"/>
        </w:rPr>
        <w:t>9</w:t>
      </w:r>
      <w:r>
        <w:rPr>
          <w:rFonts w:hint="eastAsia" w:ascii="宋体" w:hAnsi="宋体" w:eastAsia="宋体" w:cs="Times New Roman"/>
          <w:b/>
          <w:bCs/>
          <w:sz w:val="32"/>
          <w:szCs w:val="32"/>
        </w:rPr>
        <w:t>、磋商</w:t>
      </w:r>
      <w:r>
        <w:rPr>
          <w:rFonts w:hint="eastAsia" w:ascii="宋体" w:hAnsi="宋体" w:eastAsia="宋体" w:cs="Lucida Sans Unicode"/>
          <w:b/>
          <w:sz w:val="32"/>
          <w:szCs w:val="32"/>
        </w:rPr>
        <w:t>报价表</w:t>
      </w:r>
    </w:p>
    <w:p w14:paraId="3CFC4038">
      <w:pPr>
        <w:snapToGrid w:val="0"/>
        <w:spacing w:line="520" w:lineRule="exact"/>
        <w:ind w:left="-20" w:leftChars="-72" w:right="-817" w:rightChars="-389" w:hanging="131" w:hangingChars="62"/>
        <w:rPr>
          <w:rFonts w:ascii="宋体" w:hAnsi="宋体" w:eastAsia="宋体" w:cs="Times New Roman"/>
          <w:b/>
          <w:szCs w:val="21"/>
        </w:rPr>
      </w:pPr>
      <w:r>
        <w:rPr>
          <w:rFonts w:hint="eastAsia" w:ascii="宋体" w:hAnsi="宋体" w:eastAsia="宋体" w:cs="Times New Roman"/>
          <w:b/>
          <w:szCs w:val="21"/>
        </w:rPr>
        <w:t xml:space="preserve">附件1：                </w:t>
      </w:r>
    </w:p>
    <w:p w14:paraId="319D5D55">
      <w:pPr>
        <w:snapToGrid w:val="0"/>
        <w:spacing w:line="520" w:lineRule="exact"/>
        <w:ind w:left="-2" w:leftChars="-72" w:right="-817" w:rightChars="-389" w:hanging="149" w:hangingChars="62"/>
        <w:jc w:val="center"/>
        <w:rPr>
          <w:rFonts w:ascii="宋体" w:hAnsi="宋体" w:eastAsia="宋体" w:cs="Times New Roman"/>
          <w:sz w:val="24"/>
          <w:szCs w:val="21"/>
        </w:rPr>
      </w:pPr>
      <w:r>
        <w:rPr>
          <w:rFonts w:hint="eastAsia" w:ascii="宋体" w:hAnsi="宋体" w:eastAsia="宋体" w:cs="Times New Roman"/>
          <w:b/>
          <w:sz w:val="24"/>
          <w:szCs w:val="21"/>
        </w:rPr>
        <w:t>磋商报价明细表</w:t>
      </w:r>
      <w:r>
        <w:rPr>
          <w:rFonts w:hint="eastAsia" w:ascii="宋体" w:hAnsi="宋体" w:eastAsia="宋体" w:cs="Times New Roman"/>
          <w:sz w:val="24"/>
          <w:szCs w:val="21"/>
        </w:rPr>
        <w:t>（格式）</w:t>
      </w:r>
    </w:p>
    <w:p w14:paraId="46D92F32">
      <w:pPr>
        <w:spacing w:line="520" w:lineRule="exact"/>
        <w:rPr>
          <w:rFonts w:ascii="宋体" w:hAnsi="宋体" w:eastAsia="宋体" w:cs="Times New Roman"/>
          <w:sz w:val="24"/>
          <w:szCs w:val="28"/>
        </w:rPr>
      </w:pPr>
      <w:r>
        <w:rPr>
          <w:rFonts w:hint="eastAsia" w:ascii="宋体" w:hAnsi="宋体" w:eastAsia="宋体" w:cs="Times New Roman"/>
          <w:sz w:val="24"/>
          <w:szCs w:val="24"/>
        </w:rPr>
        <w:t>磋商响应</w:t>
      </w:r>
      <w:r>
        <w:rPr>
          <w:rFonts w:ascii="宋体" w:hAnsi="宋体" w:eastAsia="宋体" w:cs="Times New Roman"/>
          <w:sz w:val="24"/>
          <w:szCs w:val="28"/>
        </w:rPr>
        <w:t>供应商名称：</w:t>
      </w:r>
    </w:p>
    <w:p w14:paraId="5F162F19">
      <w:pPr>
        <w:spacing w:line="520" w:lineRule="exact"/>
        <w:rPr>
          <w:rFonts w:ascii="宋体" w:hAnsi="宋体" w:eastAsia="宋体" w:cs="Times New Roman"/>
          <w:sz w:val="24"/>
          <w:szCs w:val="28"/>
        </w:rPr>
      </w:pPr>
      <w:r>
        <w:rPr>
          <w:rFonts w:hint="eastAsia" w:ascii="宋体" w:hAnsi="宋体" w:eastAsia="宋体" w:cs="Times New Roman"/>
          <w:sz w:val="24"/>
          <w:szCs w:val="28"/>
        </w:rPr>
        <w:t>项目</w:t>
      </w:r>
      <w:r>
        <w:rPr>
          <w:rFonts w:ascii="宋体" w:hAnsi="宋体" w:eastAsia="宋体" w:cs="Times New Roman"/>
          <w:sz w:val="24"/>
          <w:szCs w:val="28"/>
        </w:rPr>
        <w:t>编号：</w:t>
      </w:r>
    </w:p>
    <w:p w14:paraId="13F6C97C">
      <w:pPr>
        <w:spacing w:line="520" w:lineRule="exact"/>
        <w:rPr>
          <w:rFonts w:ascii="宋体" w:hAnsi="宋体" w:eastAsia="宋体" w:cs="Times New Roman"/>
          <w:sz w:val="24"/>
          <w:szCs w:val="28"/>
        </w:rPr>
      </w:pPr>
      <w:r>
        <w:rPr>
          <w:rFonts w:ascii="宋体" w:hAnsi="宋体" w:eastAsia="宋体" w:cs="Times New Roman"/>
          <w:sz w:val="24"/>
          <w:szCs w:val="28"/>
        </w:rPr>
        <w:t>货币单位：元</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14:paraId="2766F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ign w:val="center"/>
          </w:tcPr>
          <w:p w14:paraId="433B81C2">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序号</w:t>
            </w:r>
          </w:p>
        </w:tc>
        <w:tc>
          <w:tcPr>
            <w:tcW w:w="1260" w:type="dxa"/>
            <w:tcBorders>
              <w:top w:val="single" w:color="auto" w:sz="4" w:space="0"/>
              <w:left w:val="single" w:color="auto" w:sz="4" w:space="0"/>
              <w:bottom w:val="nil"/>
              <w:right w:val="single" w:color="auto" w:sz="4" w:space="0"/>
            </w:tcBorders>
            <w:noWrap/>
            <w:vAlign w:val="center"/>
          </w:tcPr>
          <w:p w14:paraId="151E3CBC">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设备名称</w:t>
            </w:r>
          </w:p>
        </w:tc>
        <w:tc>
          <w:tcPr>
            <w:tcW w:w="720" w:type="dxa"/>
            <w:tcBorders>
              <w:top w:val="single" w:color="auto" w:sz="4" w:space="0"/>
              <w:left w:val="single" w:color="auto" w:sz="4" w:space="0"/>
              <w:bottom w:val="nil"/>
              <w:right w:val="single" w:color="auto" w:sz="4" w:space="0"/>
            </w:tcBorders>
            <w:noWrap/>
            <w:vAlign w:val="center"/>
          </w:tcPr>
          <w:p w14:paraId="2087F87B">
            <w:pPr>
              <w:widowControl/>
              <w:snapToGrid w:val="0"/>
              <w:spacing w:line="440" w:lineRule="exact"/>
              <w:jc w:val="left"/>
              <w:rPr>
                <w:rFonts w:ascii="宋体" w:hAnsi="宋体" w:eastAsia="宋体" w:cs="宋体"/>
                <w:kern w:val="0"/>
                <w:sz w:val="22"/>
              </w:rPr>
            </w:pPr>
            <w:r>
              <w:rPr>
                <w:rFonts w:hint="eastAsia" w:ascii="宋体" w:hAnsi="宋体" w:eastAsia="宋体" w:cs="宋体"/>
                <w:kern w:val="0"/>
                <w:sz w:val="22"/>
              </w:rPr>
              <w:t>品牌</w:t>
            </w:r>
          </w:p>
        </w:tc>
        <w:tc>
          <w:tcPr>
            <w:tcW w:w="1260" w:type="dxa"/>
            <w:tcBorders>
              <w:top w:val="single" w:color="auto" w:sz="4" w:space="0"/>
              <w:left w:val="single" w:color="auto" w:sz="4" w:space="0"/>
              <w:bottom w:val="nil"/>
              <w:right w:val="single" w:color="auto" w:sz="4" w:space="0"/>
            </w:tcBorders>
            <w:noWrap/>
            <w:vAlign w:val="center"/>
          </w:tcPr>
          <w:p w14:paraId="54045C92">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规格型号</w:t>
            </w:r>
          </w:p>
        </w:tc>
        <w:tc>
          <w:tcPr>
            <w:tcW w:w="1152" w:type="dxa"/>
            <w:tcBorders>
              <w:top w:val="single" w:color="auto" w:sz="4" w:space="0"/>
              <w:left w:val="single" w:color="auto" w:sz="4" w:space="0"/>
              <w:bottom w:val="nil"/>
              <w:right w:val="single" w:color="auto" w:sz="4" w:space="0"/>
            </w:tcBorders>
            <w:noWrap/>
            <w:vAlign w:val="center"/>
          </w:tcPr>
          <w:p w14:paraId="4AC4A85F">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pacing w:val="20"/>
                <w:sz w:val="22"/>
              </w:rPr>
              <w:t>原产地</w:t>
            </w:r>
          </w:p>
        </w:tc>
        <w:tc>
          <w:tcPr>
            <w:tcW w:w="720" w:type="dxa"/>
            <w:tcBorders>
              <w:top w:val="single" w:color="auto" w:sz="4" w:space="0"/>
              <w:left w:val="single" w:color="auto" w:sz="4" w:space="0"/>
              <w:bottom w:val="nil"/>
              <w:right w:val="single" w:color="auto" w:sz="4" w:space="0"/>
            </w:tcBorders>
            <w:noWrap/>
            <w:vAlign w:val="center"/>
          </w:tcPr>
          <w:p w14:paraId="7A2A2DA1">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单位</w:t>
            </w:r>
          </w:p>
        </w:tc>
        <w:tc>
          <w:tcPr>
            <w:tcW w:w="720" w:type="dxa"/>
            <w:tcBorders>
              <w:top w:val="single" w:color="auto" w:sz="4" w:space="0"/>
              <w:left w:val="single" w:color="auto" w:sz="4" w:space="0"/>
              <w:bottom w:val="nil"/>
              <w:right w:val="single" w:color="auto" w:sz="4" w:space="0"/>
            </w:tcBorders>
            <w:noWrap/>
            <w:vAlign w:val="center"/>
          </w:tcPr>
          <w:p w14:paraId="7BE4D21F">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数量</w:t>
            </w:r>
          </w:p>
        </w:tc>
        <w:tc>
          <w:tcPr>
            <w:tcW w:w="900" w:type="dxa"/>
            <w:tcBorders>
              <w:top w:val="single" w:color="auto" w:sz="4" w:space="0"/>
              <w:left w:val="single" w:color="auto" w:sz="4" w:space="0"/>
              <w:bottom w:val="nil"/>
              <w:right w:val="single" w:color="auto" w:sz="4" w:space="0"/>
            </w:tcBorders>
            <w:noWrap/>
            <w:vAlign w:val="center"/>
          </w:tcPr>
          <w:p w14:paraId="000113F0">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单价</w:t>
            </w:r>
          </w:p>
        </w:tc>
        <w:tc>
          <w:tcPr>
            <w:tcW w:w="1440" w:type="dxa"/>
            <w:tcBorders>
              <w:top w:val="single" w:color="auto" w:sz="4" w:space="0"/>
              <w:left w:val="single" w:color="auto" w:sz="4" w:space="0"/>
              <w:bottom w:val="nil"/>
              <w:right w:val="single" w:color="auto" w:sz="4" w:space="0"/>
            </w:tcBorders>
            <w:noWrap/>
            <w:vAlign w:val="center"/>
          </w:tcPr>
          <w:p w14:paraId="124EECC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总价</w:t>
            </w:r>
          </w:p>
        </w:tc>
      </w:tr>
      <w:tr w14:paraId="3C790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1CE18581">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117476D">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721675F">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DD51995">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1F5E8A3F">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CBEC485">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3FCF5D8">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0EC69F97">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5711F8DC">
            <w:pPr>
              <w:spacing w:line="440" w:lineRule="exact"/>
              <w:rPr>
                <w:rFonts w:ascii="宋体" w:hAnsi="宋体" w:eastAsia="宋体" w:cs="宋体"/>
                <w:sz w:val="22"/>
              </w:rPr>
            </w:pPr>
          </w:p>
        </w:tc>
      </w:tr>
      <w:tr w14:paraId="07BA3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1036C55">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8B9E1D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2895CB9">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0943C21">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105FF3C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83FDF0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118DD9E">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2F599E72">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5C063350">
            <w:pPr>
              <w:spacing w:line="440" w:lineRule="exact"/>
              <w:rPr>
                <w:rFonts w:ascii="宋体" w:hAnsi="宋体" w:eastAsia="宋体" w:cs="宋体"/>
                <w:sz w:val="22"/>
              </w:rPr>
            </w:pPr>
          </w:p>
        </w:tc>
      </w:tr>
      <w:tr w14:paraId="4C27A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7FD7AD1">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E60517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ACAB07C">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142A71C">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03C0D38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B732A8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9BE7142">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03936999">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7DB47DB4">
            <w:pPr>
              <w:spacing w:line="440" w:lineRule="exact"/>
              <w:rPr>
                <w:rFonts w:ascii="宋体" w:hAnsi="宋体" w:eastAsia="宋体" w:cs="宋体"/>
                <w:sz w:val="22"/>
              </w:rPr>
            </w:pPr>
          </w:p>
        </w:tc>
      </w:tr>
      <w:tr w14:paraId="5CF8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2EBFFC6">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05A507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3D55018">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1F7288D">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54AC4FB7">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354C2B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673DF65">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00BC0DB4">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3B505094">
            <w:pPr>
              <w:spacing w:line="440" w:lineRule="exact"/>
              <w:rPr>
                <w:rFonts w:ascii="宋体" w:hAnsi="宋体" w:eastAsia="宋体" w:cs="宋体"/>
                <w:sz w:val="22"/>
              </w:rPr>
            </w:pPr>
          </w:p>
        </w:tc>
      </w:tr>
      <w:tr w14:paraId="6E15D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0D1A3F99">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F1CB6E5">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63D9634">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787EABB">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4A8F063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2E547C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2A4DBAC">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1D2655C1">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05DC4821">
            <w:pPr>
              <w:spacing w:line="440" w:lineRule="exact"/>
              <w:rPr>
                <w:rFonts w:ascii="宋体" w:hAnsi="宋体" w:eastAsia="宋体" w:cs="宋体"/>
                <w:sz w:val="22"/>
              </w:rPr>
            </w:pPr>
          </w:p>
        </w:tc>
      </w:tr>
      <w:tr w14:paraId="1786E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75A8330D">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CC97FFC">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35CA001">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38E86741">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390EC54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F827584">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1F6E18D">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3BBD1381">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0F1C59A3">
            <w:pPr>
              <w:spacing w:line="440" w:lineRule="exact"/>
              <w:rPr>
                <w:rFonts w:ascii="宋体" w:hAnsi="宋体" w:eastAsia="宋体" w:cs="宋体"/>
                <w:sz w:val="22"/>
              </w:rPr>
            </w:pPr>
          </w:p>
        </w:tc>
      </w:tr>
      <w:tr w14:paraId="73C58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710D6821">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C9E08E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EFA4C1F">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12A63AC">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70BB70E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8591F8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B542BD3">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7F494957">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0696AFDF">
            <w:pPr>
              <w:spacing w:line="440" w:lineRule="exact"/>
              <w:rPr>
                <w:rFonts w:ascii="宋体" w:hAnsi="宋体" w:eastAsia="宋体" w:cs="宋体"/>
                <w:sz w:val="22"/>
              </w:rPr>
            </w:pPr>
          </w:p>
        </w:tc>
      </w:tr>
      <w:tr w14:paraId="76A88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70314364">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01A9DB1">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2C25A72">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449B751">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24193B1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DD29D0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9C7B41E">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36FE375A">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44F0ED78">
            <w:pPr>
              <w:spacing w:line="440" w:lineRule="exact"/>
              <w:rPr>
                <w:rFonts w:ascii="宋体" w:hAnsi="宋体" w:eastAsia="宋体" w:cs="宋体"/>
                <w:sz w:val="22"/>
              </w:rPr>
            </w:pPr>
          </w:p>
        </w:tc>
      </w:tr>
      <w:tr w14:paraId="417E4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9"/>
            <w:tcBorders>
              <w:top w:val="single" w:color="auto" w:sz="4" w:space="0"/>
              <w:left w:val="single" w:color="auto" w:sz="4" w:space="0"/>
              <w:bottom w:val="single" w:color="auto" w:sz="4" w:space="0"/>
              <w:right w:val="single" w:color="auto" w:sz="4" w:space="0"/>
            </w:tcBorders>
            <w:noWrap/>
          </w:tcPr>
          <w:p w14:paraId="1A9FEF3F">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总价(人民币大写)：                             ￥         元</w:t>
            </w:r>
          </w:p>
        </w:tc>
      </w:tr>
      <w:tr w14:paraId="76473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tcPr>
          <w:p w14:paraId="5A104900">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磋商响应报价：                           ￥         元</w:t>
            </w:r>
          </w:p>
        </w:tc>
      </w:tr>
    </w:tbl>
    <w:p w14:paraId="5E8477FE">
      <w:pPr>
        <w:spacing w:line="520" w:lineRule="exact"/>
        <w:jc w:val="left"/>
        <w:outlineLvl w:val="0"/>
        <w:rPr>
          <w:rFonts w:ascii="宋体" w:hAnsi="宋体" w:eastAsia="宋体" w:cs="Times New Roman"/>
          <w:kern w:val="0"/>
          <w:sz w:val="24"/>
          <w:szCs w:val="24"/>
        </w:rPr>
      </w:pPr>
      <w:r>
        <w:rPr>
          <w:rFonts w:hint="eastAsia" w:ascii="宋体" w:hAnsi="宋体" w:eastAsia="宋体" w:cs="Times New Roman"/>
          <w:kern w:val="0"/>
          <w:sz w:val="24"/>
          <w:szCs w:val="24"/>
        </w:rPr>
        <w:t>注：1.所有价格以人民币表示。2.若总价与单价不符，以单价为准。3.选配/购项目不包括在本报价表内，应另附表说明（如有）。4.投标单位所填报价格均需包含技术服务费(含培训费等)、安装调试费、税费、运输至最终目的运费及保险费等其它费用。</w:t>
      </w:r>
    </w:p>
    <w:p w14:paraId="27CED7C0">
      <w:pPr>
        <w:rPr>
          <w:rFonts w:ascii="宋体" w:hAnsi="宋体" w:eastAsia="宋体" w:cs="Times New Roman"/>
          <w:szCs w:val="21"/>
        </w:rPr>
      </w:pPr>
    </w:p>
    <w:p w14:paraId="2550CF5E">
      <w:pPr>
        <w:spacing w:line="480" w:lineRule="auto"/>
        <w:jc w:val="center"/>
        <w:rPr>
          <w:rFonts w:ascii="宋体" w:hAnsi="宋体" w:eastAsia="宋体" w:cs="Times New Roman"/>
          <w:sz w:val="24"/>
          <w:szCs w:val="21"/>
          <w:u w:val="single"/>
        </w:rPr>
      </w:pPr>
      <w:bookmarkStart w:id="15" w:name="_Toc395626672"/>
      <w:bookmarkStart w:id="16" w:name="_Toc312141145"/>
      <w:bookmarkStart w:id="17" w:name="_Toc10959"/>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3317638B">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60A4A02F">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1953905E">
      <w:pPr>
        <w:spacing w:line="480" w:lineRule="auto"/>
        <w:jc w:val="center"/>
        <w:rPr>
          <w:rFonts w:ascii="宋体" w:hAnsi="宋体" w:eastAsia="宋体" w:cs="Times New Roman"/>
          <w:sz w:val="24"/>
          <w:szCs w:val="21"/>
        </w:rPr>
      </w:pPr>
    </w:p>
    <w:p w14:paraId="3071998F">
      <w:pPr>
        <w:keepNext/>
        <w:keepLines/>
        <w:spacing w:before="260" w:after="260" w:line="415" w:lineRule="auto"/>
        <w:jc w:val="left"/>
        <w:outlineLvl w:val="2"/>
        <w:rPr>
          <w:rFonts w:ascii="宋体" w:hAnsi="宋体" w:eastAsia="宋体" w:cs="宋体"/>
          <w:b/>
          <w:bCs/>
          <w:kern w:val="0"/>
          <w:szCs w:val="21"/>
        </w:rPr>
      </w:pPr>
      <w:r>
        <w:rPr>
          <w:rFonts w:hint="eastAsia" w:ascii="宋体" w:hAnsi="宋体" w:eastAsia="宋体" w:cs="宋体"/>
          <w:b/>
          <w:bCs/>
          <w:kern w:val="0"/>
          <w:szCs w:val="21"/>
        </w:rPr>
        <w:t>附件2：</w:t>
      </w:r>
    </w:p>
    <w:bookmarkEnd w:id="15"/>
    <w:bookmarkEnd w:id="16"/>
    <w:bookmarkEnd w:id="17"/>
    <w:p w14:paraId="75697334">
      <w:pPr>
        <w:spacing w:afterLines="100" w:line="520" w:lineRule="exact"/>
        <w:jc w:val="center"/>
        <w:rPr>
          <w:rFonts w:ascii="宋体" w:hAnsi="宋体" w:eastAsia="宋体" w:cs="Times New Roman"/>
          <w:b/>
          <w:sz w:val="24"/>
          <w:szCs w:val="21"/>
        </w:rPr>
      </w:pPr>
      <w:r>
        <w:rPr>
          <w:rFonts w:hint="eastAsia" w:ascii="宋体" w:hAnsi="宋体" w:eastAsia="宋体" w:cs="Times New Roman"/>
          <w:b/>
          <w:bCs/>
          <w:sz w:val="24"/>
          <w:szCs w:val="21"/>
        </w:rPr>
        <w:t>技术参数偏离表</w:t>
      </w:r>
      <w:r>
        <w:rPr>
          <w:rFonts w:hint="eastAsia" w:ascii="宋体" w:hAnsi="宋体" w:eastAsia="宋体" w:cs="Times New Roman"/>
          <w:sz w:val="24"/>
          <w:szCs w:val="21"/>
        </w:rPr>
        <w:t>（格式）</w:t>
      </w:r>
    </w:p>
    <w:p w14:paraId="7131263F">
      <w:pPr>
        <w:snapToGrid w:val="0"/>
        <w:spacing w:line="520" w:lineRule="exact"/>
        <w:rPr>
          <w:rFonts w:ascii="宋体" w:hAnsi="宋体" w:eastAsia="宋体" w:cs="Times New Roman"/>
          <w:sz w:val="24"/>
          <w:szCs w:val="24"/>
        </w:rPr>
      </w:pPr>
      <w:r>
        <w:rPr>
          <w:rFonts w:hint="eastAsia" w:ascii="宋体" w:hAnsi="宋体" w:eastAsia="宋体" w:cs="Times New Roman"/>
          <w:sz w:val="24"/>
          <w:szCs w:val="24"/>
        </w:rPr>
        <w:t>磋商响应供应商名称：</w:t>
      </w:r>
    </w:p>
    <w:p w14:paraId="50D489C0">
      <w:pPr>
        <w:snapToGrid w:val="0"/>
        <w:spacing w:line="520" w:lineRule="exact"/>
        <w:rPr>
          <w:rFonts w:ascii="宋体" w:hAnsi="宋体" w:eastAsia="宋体" w:cs="Times New Roman"/>
          <w:sz w:val="24"/>
          <w:szCs w:val="24"/>
          <w:u w:val="single"/>
        </w:rPr>
      </w:pPr>
      <w:r>
        <w:rPr>
          <w:rFonts w:hint="eastAsia" w:ascii="宋体" w:hAnsi="宋体" w:eastAsia="宋体" w:cs="Times New Roman"/>
          <w:sz w:val="24"/>
          <w:szCs w:val="24"/>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3D4D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2724924E">
            <w:pPr>
              <w:spacing w:line="480" w:lineRule="exact"/>
              <w:jc w:val="center"/>
              <w:rPr>
                <w:rFonts w:ascii="宋体" w:hAnsi="宋体" w:eastAsia="宋体" w:cs="Times New Roman"/>
                <w:bCs/>
                <w:sz w:val="22"/>
              </w:rPr>
            </w:pPr>
            <w:r>
              <w:rPr>
                <w:rFonts w:hint="eastAsia" w:ascii="宋体" w:hAnsi="宋体" w:eastAsia="宋体" w:cs="Times New Roman"/>
                <w:bCs/>
                <w:sz w:val="22"/>
              </w:rPr>
              <w:t>序号</w:t>
            </w:r>
          </w:p>
        </w:tc>
        <w:tc>
          <w:tcPr>
            <w:tcW w:w="1282" w:type="dxa"/>
            <w:noWrap/>
          </w:tcPr>
          <w:p w14:paraId="125350D0">
            <w:pPr>
              <w:spacing w:line="480" w:lineRule="exact"/>
              <w:jc w:val="center"/>
              <w:rPr>
                <w:rFonts w:ascii="宋体" w:hAnsi="宋体" w:eastAsia="宋体" w:cs="Times New Roman"/>
                <w:bCs/>
                <w:sz w:val="22"/>
              </w:rPr>
            </w:pPr>
            <w:r>
              <w:rPr>
                <w:rFonts w:hint="eastAsia" w:ascii="宋体" w:hAnsi="宋体" w:eastAsia="宋体" w:cs="Times New Roman"/>
                <w:bCs/>
                <w:sz w:val="22"/>
              </w:rPr>
              <w:t>货物名称</w:t>
            </w:r>
          </w:p>
        </w:tc>
        <w:tc>
          <w:tcPr>
            <w:tcW w:w="2078" w:type="dxa"/>
            <w:noWrap/>
          </w:tcPr>
          <w:p w14:paraId="02E356CF">
            <w:pPr>
              <w:spacing w:line="480" w:lineRule="exact"/>
              <w:jc w:val="center"/>
              <w:rPr>
                <w:rFonts w:ascii="宋体" w:hAnsi="宋体" w:eastAsia="宋体" w:cs="Times New Roman"/>
                <w:bCs/>
                <w:sz w:val="22"/>
              </w:rPr>
            </w:pPr>
            <w:r>
              <w:rPr>
                <w:rFonts w:hint="eastAsia" w:ascii="宋体" w:hAnsi="宋体" w:eastAsia="宋体" w:cs="Times New Roman"/>
                <w:bCs/>
                <w:sz w:val="22"/>
              </w:rPr>
              <w:t>磋商技术参数</w:t>
            </w:r>
          </w:p>
          <w:p w14:paraId="5313E6A2">
            <w:pPr>
              <w:spacing w:line="480" w:lineRule="exact"/>
              <w:jc w:val="center"/>
              <w:rPr>
                <w:rFonts w:ascii="宋体" w:hAnsi="宋体" w:eastAsia="宋体" w:cs="Times New Roman"/>
                <w:bCs/>
                <w:sz w:val="22"/>
              </w:rPr>
            </w:pPr>
            <w:r>
              <w:rPr>
                <w:rFonts w:hint="eastAsia" w:ascii="宋体" w:hAnsi="宋体" w:eastAsia="宋体" w:cs="Times New Roman"/>
                <w:bCs/>
                <w:sz w:val="22"/>
              </w:rPr>
              <w:t>要求</w:t>
            </w:r>
          </w:p>
        </w:tc>
        <w:tc>
          <w:tcPr>
            <w:tcW w:w="1891" w:type="dxa"/>
            <w:noWrap/>
          </w:tcPr>
          <w:p w14:paraId="78DA0A36">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磋商响应品牌和型号</w:t>
            </w:r>
          </w:p>
        </w:tc>
        <w:tc>
          <w:tcPr>
            <w:tcW w:w="1973" w:type="dxa"/>
            <w:noWrap/>
          </w:tcPr>
          <w:p w14:paraId="08911E6B">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磋商响应产品</w:t>
            </w:r>
          </w:p>
          <w:p w14:paraId="131BC466">
            <w:pPr>
              <w:spacing w:line="480" w:lineRule="exact"/>
              <w:jc w:val="center"/>
              <w:rPr>
                <w:rFonts w:ascii="宋体" w:hAnsi="宋体" w:eastAsia="宋体" w:cs="Times New Roman"/>
                <w:bCs/>
                <w:sz w:val="22"/>
              </w:rPr>
            </w:pPr>
            <w:r>
              <w:rPr>
                <w:rFonts w:hint="eastAsia" w:ascii="宋体" w:hAnsi="宋体" w:eastAsia="宋体" w:cs="Times New Roman"/>
                <w:bCs/>
                <w:sz w:val="22"/>
              </w:rPr>
              <w:t>技术参数</w:t>
            </w:r>
          </w:p>
        </w:tc>
        <w:tc>
          <w:tcPr>
            <w:tcW w:w="1252" w:type="dxa"/>
            <w:noWrap/>
          </w:tcPr>
          <w:p w14:paraId="6723B798">
            <w:pPr>
              <w:spacing w:line="480" w:lineRule="exact"/>
              <w:jc w:val="center"/>
              <w:rPr>
                <w:rFonts w:ascii="宋体" w:hAnsi="宋体" w:eastAsia="宋体" w:cs="Times New Roman"/>
                <w:bCs/>
                <w:sz w:val="22"/>
              </w:rPr>
            </w:pPr>
            <w:r>
              <w:rPr>
                <w:rFonts w:hint="eastAsia" w:ascii="宋体" w:hAnsi="宋体" w:eastAsia="宋体" w:cs="Times New Roman"/>
                <w:bCs/>
                <w:sz w:val="22"/>
              </w:rPr>
              <w:t>偏离说明</w:t>
            </w:r>
          </w:p>
        </w:tc>
      </w:tr>
      <w:tr w14:paraId="138C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835C2F0">
            <w:pPr>
              <w:spacing w:line="480" w:lineRule="exact"/>
              <w:rPr>
                <w:rFonts w:ascii="宋体" w:hAnsi="宋体" w:eastAsia="宋体" w:cs="Times New Roman"/>
                <w:bCs/>
                <w:sz w:val="22"/>
              </w:rPr>
            </w:pPr>
          </w:p>
        </w:tc>
        <w:tc>
          <w:tcPr>
            <w:tcW w:w="1282" w:type="dxa"/>
            <w:noWrap/>
          </w:tcPr>
          <w:p w14:paraId="3E52A212">
            <w:pPr>
              <w:spacing w:line="480" w:lineRule="exact"/>
              <w:rPr>
                <w:rFonts w:ascii="宋体" w:hAnsi="宋体" w:eastAsia="宋体" w:cs="Times New Roman"/>
                <w:bCs/>
                <w:sz w:val="22"/>
              </w:rPr>
            </w:pPr>
          </w:p>
        </w:tc>
        <w:tc>
          <w:tcPr>
            <w:tcW w:w="2078" w:type="dxa"/>
            <w:noWrap/>
          </w:tcPr>
          <w:p w14:paraId="004C28BA">
            <w:pPr>
              <w:spacing w:line="480" w:lineRule="exact"/>
              <w:rPr>
                <w:rFonts w:ascii="宋体" w:hAnsi="宋体" w:eastAsia="宋体" w:cs="Times New Roman"/>
                <w:bCs/>
                <w:sz w:val="22"/>
              </w:rPr>
            </w:pPr>
          </w:p>
        </w:tc>
        <w:tc>
          <w:tcPr>
            <w:tcW w:w="1891" w:type="dxa"/>
            <w:noWrap/>
          </w:tcPr>
          <w:p w14:paraId="1FF084E1">
            <w:pPr>
              <w:spacing w:line="480" w:lineRule="exact"/>
              <w:rPr>
                <w:rFonts w:ascii="宋体" w:hAnsi="宋体" w:eastAsia="宋体" w:cs="Times New Roman"/>
                <w:bCs/>
                <w:sz w:val="22"/>
              </w:rPr>
            </w:pPr>
          </w:p>
        </w:tc>
        <w:tc>
          <w:tcPr>
            <w:tcW w:w="1973" w:type="dxa"/>
            <w:noWrap/>
          </w:tcPr>
          <w:p w14:paraId="123E0B26">
            <w:pPr>
              <w:spacing w:line="480" w:lineRule="exact"/>
              <w:rPr>
                <w:rFonts w:ascii="宋体" w:hAnsi="宋体" w:eastAsia="宋体" w:cs="Times New Roman"/>
                <w:bCs/>
                <w:sz w:val="22"/>
              </w:rPr>
            </w:pPr>
          </w:p>
        </w:tc>
        <w:tc>
          <w:tcPr>
            <w:tcW w:w="1252" w:type="dxa"/>
            <w:noWrap/>
          </w:tcPr>
          <w:p w14:paraId="5AC517E8">
            <w:pPr>
              <w:spacing w:line="480" w:lineRule="exact"/>
              <w:rPr>
                <w:rFonts w:ascii="宋体" w:hAnsi="宋体" w:eastAsia="宋体" w:cs="Times New Roman"/>
                <w:bCs/>
                <w:sz w:val="22"/>
              </w:rPr>
            </w:pPr>
          </w:p>
        </w:tc>
      </w:tr>
      <w:tr w14:paraId="3A64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52F38B95">
            <w:pPr>
              <w:spacing w:line="480" w:lineRule="exact"/>
              <w:rPr>
                <w:rFonts w:ascii="宋体" w:hAnsi="宋体" w:eastAsia="宋体" w:cs="Times New Roman"/>
                <w:bCs/>
                <w:sz w:val="22"/>
              </w:rPr>
            </w:pPr>
          </w:p>
        </w:tc>
        <w:tc>
          <w:tcPr>
            <w:tcW w:w="1282" w:type="dxa"/>
            <w:noWrap/>
          </w:tcPr>
          <w:p w14:paraId="7F653B1C">
            <w:pPr>
              <w:spacing w:line="480" w:lineRule="exact"/>
              <w:rPr>
                <w:rFonts w:ascii="宋体" w:hAnsi="宋体" w:eastAsia="宋体" w:cs="Times New Roman"/>
                <w:bCs/>
                <w:sz w:val="22"/>
              </w:rPr>
            </w:pPr>
          </w:p>
        </w:tc>
        <w:tc>
          <w:tcPr>
            <w:tcW w:w="2078" w:type="dxa"/>
            <w:noWrap/>
          </w:tcPr>
          <w:p w14:paraId="4D31B5B9">
            <w:pPr>
              <w:spacing w:line="480" w:lineRule="exact"/>
              <w:rPr>
                <w:rFonts w:ascii="宋体" w:hAnsi="宋体" w:eastAsia="宋体" w:cs="Times New Roman"/>
                <w:bCs/>
                <w:sz w:val="22"/>
              </w:rPr>
            </w:pPr>
          </w:p>
        </w:tc>
        <w:tc>
          <w:tcPr>
            <w:tcW w:w="1891" w:type="dxa"/>
            <w:noWrap/>
          </w:tcPr>
          <w:p w14:paraId="23BD9F95">
            <w:pPr>
              <w:spacing w:line="480" w:lineRule="exact"/>
              <w:rPr>
                <w:rFonts w:ascii="宋体" w:hAnsi="宋体" w:eastAsia="宋体" w:cs="Times New Roman"/>
                <w:bCs/>
                <w:sz w:val="22"/>
              </w:rPr>
            </w:pPr>
          </w:p>
        </w:tc>
        <w:tc>
          <w:tcPr>
            <w:tcW w:w="1973" w:type="dxa"/>
            <w:noWrap/>
          </w:tcPr>
          <w:p w14:paraId="58A0DB8C">
            <w:pPr>
              <w:spacing w:line="480" w:lineRule="exact"/>
              <w:rPr>
                <w:rFonts w:ascii="宋体" w:hAnsi="宋体" w:eastAsia="宋体" w:cs="Times New Roman"/>
                <w:bCs/>
                <w:sz w:val="22"/>
              </w:rPr>
            </w:pPr>
          </w:p>
        </w:tc>
        <w:tc>
          <w:tcPr>
            <w:tcW w:w="1252" w:type="dxa"/>
            <w:noWrap/>
          </w:tcPr>
          <w:p w14:paraId="6F254E62">
            <w:pPr>
              <w:spacing w:line="480" w:lineRule="exact"/>
              <w:rPr>
                <w:rFonts w:ascii="宋体" w:hAnsi="宋体" w:eastAsia="宋体" w:cs="Times New Roman"/>
                <w:bCs/>
                <w:sz w:val="22"/>
              </w:rPr>
            </w:pPr>
          </w:p>
        </w:tc>
      </w:tr>
      <w:tr w14:paraId="6EBD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BDB7739">
            <w:pPr>
              <w:spacing w:line="480" w:lineRule="exact"/>
              <w:rPr>
                <w:rFonts w:ascii="宋体" w:hAnsi="宋体" w:eastAsia="宋体" w:cs="Times New Roman"/>
                <w:bCs/>
                <w:sz w:val="22"/>
              </w:rPr>
            </w:pPr>
          </w:p>
        </w:tc>
        <w:tc>
          <w:tcPr>
            <w:tcW w:w="1282" w:type="dxa"/>
            <w:noWrap/>
          </w:tcPr>
          <w:p w14:paraId="71FB09EB">
            <w:pPr>
              <w:spacing w:line="480" w:lineRule="exact"/>
              <w:rPr>
                <w:rFonts w:ascii="宋体" w:hAnsi="宋体" w:eastAsia="宋体" w:cs="Times New Roman"/>
                <w:bCs/>
                <w:sz w:val="22"/>
              </w:rPr>
            </w:pPr>
          </w:p>
        </w:tc>
        <w:tc>
          <w:tcPr>
            <w:tcW w:w="2078" w:type="dxa"/>
            <w:noWrap/>
          </w:tcPr>
          <w:p w14:paraId="2305152D">
            <w:pPr>
              <w:spacing w:line="480" w:lineRule="exact"/>
              <w:rPr>
                <w:rFonts w:ascii="宋体" w:hAnsi="宋体" w:eastAsia="宋体" w:cs="Times New Roman"/>
                <w:bCs/>
                <w:sz w:val="22"/>
              </w:rPr>
            </w:pPr>
          </w:p>
        </w:tc>
        <w:tc>
          <w:tcPr>
            <w:tcW w:w="1891" w:type="dxa"/>
            <w:noWrap/>
          </w:tcPr>
          <w:p w14:paraId="6480A6A6">
            <w:pPr>
              <w:spacing w:line="480" w:lineRule="exact"/>
              <w:rPr>
                <w:rFonts w:ascii="宋体" w:hAnsi="宋体" w:eastAsia="宋体" w:cs="Times New Roman"/>
                <w:bCs/>
                <w:sz w:val="22"/>
              </w:rPr>
            </w:pPr>
          </w:p>
        </w:tc>
        <w:tc>
          <w:tcPr>
            <w:tcW w:w="1973" w:type="dxa"/>
            <w:noWrap/>
          </w:tcPr>
          <w:p w14:paraId="74ADDB20">
            <w:pPr>
              <w:spacing w:line="480" w:lineRule="exact"/>
              <w:rPr>
                <w:rFonts w:ascii="宋体" w:hAnsi="宋体" w:eastAsia="宋体" w:cs="Times New Roman"/>
                <w:bCs/>
                <w:sz w:val="22"/>
              </w:rPr>
            </w:pPr>
          </w:p>
        </w:tc>
        <w:tc>
          <w:tcPr>
            <w:tcW w:w="1252" w:type="dxa"/>
            <w:noWrap/>
          </w:tcPr>
          <w:p w14:paraId="1A8FFF2F">
            <w:pPr>
              <w:spacing w:line="480" w:lineRule="exact"/>
              <w:rPr>
                <w:rFonts w:ascii="宋体" w:hAnsi="宋体" w:eastAsia="宋体" w:cs="Times New Roman"/>
                <w:bCs/>
                <w:sz w:val="22"/>
              </w:rPr>
            </w:pPr>
          </w:p>
        </w:tc>
      </w:tr>
      <w:tr w14:paraId="0643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DC623C5">
            <w:pPr>
              <w:spacing w:line="480" w:lineRule="exact"/>
              <w:rPr>
                <w:rFonts w:ascii="宋体" w:hAnsi="宋体" w:eastAsia="宋体" w:cs="Times New Roman"/>
                <w:bCs/>
                <w:sz w:val="22"/>
              </w:rPr>
            </w:pPr>
          </w:p>
        </w:tc>
        <w:tc>
          <w:tcPr>
            <w:tcW w:w="1282" w:type="dxa"/>
            <w:noWrap/>
          </w:tcPr>
          <w:p w14:paraId="5AC7DC15">
            <w:pPr>
              <w:spacing w:line="480" w:lineRule="exact"/>
              <w:rPr>
                <w:rFonts w:ascii="宋体" w:hAnsi="宋体" w:eastAsia="宋体" w:cs="Times New Roman"/>
                <w:bCs/>
                <w:sz w:val="22"/>
              </w:rPr>
            </w:pPr>
          </w:p>
        </w:tc>
        <w:tc>
          <w:tcPr>
            <w:tcW w:w="2078" w:type="dxa"/>
            <w:noWrap/>
          </w:tcPr>
          <w:p w14:paraId="018BE0AF">
            <w:pPr>
              <w:spacing w:line="480" w:lineRule="exact"/>
              <w:rPr>
                <w:rFonts w:ascii="宋体" w:hAnsi="宋体" w:eastAsia="宋体" w:cs="Times New Roman"/>
                <w:bCs/>
                <w:sz w:val="22"/>
              </w:rPr>
            </w:pPr>
          </w:p>
        </w:tc>
        <w:tc>
          <w:tcPr>
            <w:tcW w:w="1891" w:type="dxa"/>
            <w:noWrap/>
          </w:tcPr>
          <w:p w14:paraId="09623DEA">
            <w:pPr>
              <w:spacing w:line="480" w:lineRule="exact"/>
              <w:rPr>
                <w:rFonts w:ascii="宋体" w:hAnsi="宋体" w:eastAsia="宋体" w:cs="Times New Roman"/>
                <w:bCs/>
                <w:sz w:val="22"/>
              </w:rPr>
            </w:pPr>
          </w:p>
        </w:tc>
        <w:tc>
          <w:tcPr>
            <w:tcW w:w="1973" w:type="dxa"/>
            <w:noWrap/>
          </w:tcPr>
          <w:p w14:paraId="397C495A">
            <w:pPr>
              <w:spacing w:line="480" w:lineRule="exact"/>
              <w:rPr>
                <w:rFonts w:ascii="宋体" w:hAnsi="宋体" w:eastAsia="宋体" w:cs="Times New Roman"/>
                <w:bCs/>
                <w:sz w:val="22"/>
              </w:rPr>
            </w:pPr>
          </w:p>
        </w:tc>
        <w:tc>
          <w:tcPr>
            <w:tcW w:w="1252" w:type="dxa"/>
            <w:noWrap/>
          </w:tcPr>
          <w:p w14:paraId="3F92674B">
            <w:pPr>
              <w:spacing w:line="480" w:lineRule="exact"/>
              <w:rPr>
                <w:rFonts w:ascii="宋体" w:hAnsi="宋体" w:eastAsia="宋体" w:cs="Times New Roman"/>
                <w:bCs/>
                <w:sz w:val="22"/>
              </w:rPr>
            </w:pPr>
          </w:p>
        </w:tc>
      </w:tr>
      <w:tr w14:paraId="4CEE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462AAA2">
            <w:pPr>
              <w:spacing w:line="480" w:lineRule="exact"/>
              <w:rPr>
                <w:rFonts w:ascii="宋体" w:hAnsi="宋体" w:eastAsia="宋体" w:cs="Times New Roman"/>
                <w:bCs/>
                <w:sz w:val="22"/>
              </w:rPr>
            </w:pPr>
          </w:p>
        </w:tc>
        <w:tc>
          <w:tcPr>
            <w:tcW w:w="1282" w:type="dxa"/>
            <w:noWrap/>
          </w:tcPr>
          <w:p w14:paraId="78E9B3C8">
            <w:pPr>
              <w:spacing w:line="480" w:lineRule="exact"/>
              <w:rPr>
                <w:rFonts w:ascii="宋体" w:hAnsi="宋体" w:eastAsia="宋体" w:cs="Times New Roman"/>
                <w:bCs/>
                <w:sz w:val="22"/>
              </w:rPr>
            </w:pPr>
          </w:p>
        </w:tc>
        <w:tc>
          <w:tcPr>
            <w:tcW w:w="2078" w:type="dxa"/>
            <w:noWrap/>
          </w:tcPr>
          <w:p w14:paraId="5FC1158F">
            <w:pPr>
              <w:spacing w:line="480" w:lineRule="exact"/>
              <w:rPr>
                <w:rFonts w:ascii="宋体" w:hAnsi="宋体" w:eastAsia="宋体" w:cs="Times New Roman"/>
                <w:bCs/>
                <w:sz w:val="22"/>
              </w:rPr>
            </w:pPr>
          </w:p>
        </w:tc>
        <w:tc>
          <w:tcPr>
            <w:tcW w:w="1891" w:type="dxa"/>
            <w:noWrap/>
          </w:tcPr>
          <w:p w14:paraId="0E4F6B8A">
            <w:pPr>
              <w:spacing w:line="480" w:lineRule="exact"/>
              <w:rPr>
                <w:rFonts w:ascii="宋体" w:hAnsi="宋体" w:eastAsia="宋体" w:cs="Times New Roman"/>
                <w:bCs/>
                <w:sz w:val="22"/>
              </w:rPr>
            </w:pPr>
          </w:p>
        </w:tc>
        <w:tc>
          <w:tcPr>
            <w:tcW w:w="1973" w:type="dxa"/>
            <w:noWrap/>
          </w:tcPr>
          <w:p w14:paraId="10138995">
            <w:pPr>
              <w:spacing w:line="480" w:lineRule="exact"/>
              <w:rPr>
                <w:rFonts w:ascii="宋体" w:hAnsi="宋体" w:eastAsia="宋体" w:cs="Times New Roman"/>
                <w:bCs/>
                <w:sz w:val="22"/>
              </w:rPr>
            </w:pPr>
          </w:p>
        </w:tc>
        <w:tc>
          <w:tcPr>
            <w:tcW w:w="1252" w:type="dxa"/>
            <w:noWrap/>
          </w:tcPr>
          <w:p w14:paraId="0D718985">
            <w:pPr>
              <w:spacing w:line="480" w:lineRule="exact"/>
              <w:rPr>
                <w:rFonts w:ascii="宋体" w:hAnsi="宋体" w:eastAsia="宋体" w:cs="Times New Roman"/>
                <w:bCs/>
                <w:sz w:val="22"/>
              </w:rPr>
            </w:pPr>
          </w:p>
        </w:tc>
      </w:tr>
      <w:tr w14:paraId="17DB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61E25635">
            <w:pPr>
              <w:spacing w:line="480" w:lineRule="exact"/>
              <w:rPr>
                <w:rFonts w:ascii="宋体" w:hAnsi="宋体" w:eastAsia="宋体" w:cs="Times New Roman"/>
                <w:bCs/>
                <w:sz w:val="22"/>
              </w:rPr>
            </w:pPr>
          </w:p>
        </w:tc>
        <w:tc>
          <w:tcPr>
            <w:tcW w:w="1282" w:type="dxa"/>
            <w:noWrap/>
          </w:tcPr>
          <w:p w14:paraId="6C102D16">
            <w:pPr>
              <w:spacing w:line="480" w:lineRule="exact"/>
              <w:rPr>
                <w:rFonts w:ascii="宋体" w:hAnsi="宋体" w:eastAsia="宋体" w:cs="Times New Roman"/>
                <w:bCs/>
                <w:sz w:val="22"/>
              </w:rPr>
            </w:pPr>
          </w:p>
        </w:tc>
        <w:tc>
          <w:tcPr>
            <w:tcW w:w="2078" w:type="dxa"/>
            <w:noWrap/>
          </w:tcPr>
          <w:p w14:paraId="7961BAC8">
            <w:pPr>
              <w:spacing w:line="480" w:lineRule="exact"/>
              <w:rPr>
                <w:rFonts w:ascii="宋体" w:hAnsi="宋体" w:eastAsia="宋体" w:cs="Times New Roman"/>
                <w:bCs/>
                <w:sz w:val="22"/>
              </w:rPr>
            </w:pPr>
          </w:p>
        </w:tc>
        <w:tc>
          <w:tcPr>
            <w:tcW w:w="1891" w:type="dxa"/>
            <w:noWrap/>
          </w:tcPr>
          <w:p w14:paraId="16659836">
            <w:pPr>
              <w:spacing w:line="480" w:lineRule="exact"/>
              <w:rPr>
                <w:rFonts w:ascii="宋体" w:hAnsi="宋体" w:eastAsia="宋体" w:cs="Times New Roman"/>
                <w:bCs/>
                <w:sz w:val="22"/>
              </w:rPr>
            </w:pPr>
          </w:p>
        </w:tc>
        <w:tc>
          <w:tcPr>
            <w:tcW w:w="1973" w:type="dxa"/>
            <w:noWrap/>
          </w:tcPr>
          <w:p w14:paraId="7114786B">
            <w:pPr>
              <w:spacing w:line="480" w:lineRule="exact"/>
              <w:rPr>
                <w:rFonts w:ascii="宋体" w:hAnsi="宋体" w:eastAsia="宋体" w:cs="Times New Roman"/>
                <w:bCs/>
                <w:sz w:val="22"/>
              </w:rPr>
            </w:pPr>
          </w:p>
        </w:tc>
        <w:tc>
          <w:tcPr>
            <w:tcW w:w="1252" w:type="dxa"/>
            <w:noWrap/>
          </w:tcPr>
          <w:p w14:paraId="5122C014">
            <w:pPr>
              <w:spacing w:line="480" w:lineRule="exact"/>
              <w:rPr>
                <w:rFonts w:ascii="宋体" w:hAnsi="宋体" w:eastAsia="宋体" w:cs="Times New Roman"/>
                <w:bCs/>
                <w:sz w:val="22"/>
              </w:rPr>
            </w:pPr>
          </w:p>
        </w:tc>
      </w:tr>
      <w:tr w14:paraId="6906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0F0D69B">
            <w:pPr>
              <w:spacing w:line="480" w:lineRule="exact"/>
              <w:rPr>
                <w:rFonts w:ascii="宋体" w:hAnsi="宋体" w:eastAsia="宋体" w:cs="Times New Roman"/>
                <w:bCs/>
                <w:sz w:val="22"/>
              </w:rPr>
            </w:pPr>
          </w:p>
        </w:tc>
        <w:tc>
          <w:tcPr>
            <w:tcW w:w="1282" w:type="dxa"/>
            <w:noWrap/>
          </w:tcPr>
          <w:p w14:paraId="6C625DB1">
            <w:pPr>
              <w:spacing w:line="480" w:lineRule="exact"/>
              <w:rPr>
                <w:rFonts w:ascii="宋体" w:hAnsi="宋体" w:eastAsia="宋体" w:cs="Times New Roman"/>
                <w:bCs/>
                <w:sz w:val="22"/>
              </w:rPr>
            </w:pPr>
          </w:p>
        </w:tc>
        <w:tc>
          <w:tcPr>
            <w:tcW w:w="2078" w:type="dxa"/>
            <w:noWrap/>
          </w:tcPr>
          <w:p w14:paraId="11470243">
            <w:pPr>
              <w:spacing w:line="480" w:lineRule="exact"/>
              <w:rPr>
                <w:rFonts w:ascii="宋体" w:hAnsi="宋体" w:eastAsia="宋体" w:cs="Times New Roman"/>
                <w:bCs/>
                <w:sz w:val="22"/>
              </w:rPr>
            </w:pPr>
          </w:p>
        </w:tc>
        <w:tc>
          <w:tcPr>
            <w:tcW w:w="1891" w:type="dxa"/>
            <w:noWrap/>
          </w:tcPr>
          <w:p w14:paraId="1ED00DF8">
            <w:pPr>
              <w:spacing w:line="480" w:lineRule="exact"/>
              <w:rPr>
                <w:rFonts w:ascii="宋体" w:hAnsi="宋体" w:eastAsia="宋体" w:cs="Times New Roman"/>
                <w:bCs/>
                <w:sz w:val="22"/>
              </w:rPr>
            </w:pPr>
          </w:p>
        </w:tc>
        <w:tc>
          <w:tcPr>
            <w:tcW w:w="1973" w:type="dxa"/>
            <w:noWrap/>
          </w:tcPr>
          <w:p w14:paraId="5E52684A">
            <w:pPr>
              <w:spacing w:line="480" w:lineRule="exact"/>
              <w:rPr>
                <w:rFonts w:ascii="宋体" w:hAnsi="宋体" w:eastAsia="宋体" w:cs="Times New Roman"/>
                <w:bCs/>
                <w:sz w:val="22"/>
              </w:rPr>
            </w:pPr>
          </w:p>
        </w:tc>
        <w:tc>
          <w:tcPr>
            <w:tcW w:w="1252" w:type="dxa"/>
            <w:noWrap/>
          </w:tcPr>
          <w:p w14:paraId="25FF5230">
            <w:pPr>
              <w:spacing w:line="480" w:lineRule="exact"/>
              <w:rPr>
                <w:rFonts w:ascii="宋体" w:hAnsi="宋体" w:eastAsia="宋体" w:cs="Times New Roman"/>
                <w:bCs/>
                <w:sz w:val="22"/>
              </w:rPr>
            </w:pPr>
          </w:p>
        </w:tc>
      </w:tr>
      <w:tr w14:paraId="4BAE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B5CEE64">
            <w:pPr>
              <w:spacing w:line="480" w:lineRule="exact"/>
              <w:rPr>
                <w:rFonts w:ascii="宋体" w:hAnsi="宋体" w:eastAsia="宋体" w:cs="Times New Roman"/>
                <w:bCs/>
                <w:sz w:val="22"/>
              </w:rPr>
            </w:pPr>
          </w:p>
        </w:tc>
        <w:tc>
          <w:tcPr>
            <w:tcW w:w="1282" w:type="dxa"/>
            <w:noWrap/>
          </w:tcPr>
          <w:p w14:paraId="04A485D7">
            <w:pPr>
              <w:spacing w:line="480" w:lineRule="exact"/>
              <w:rPr>
                <w:rFonts w:ascii="宋体" w:hAnsi="宋体" w:eastAsia="宋体" w:cs="Times New Roman"/>
                <w:bCs/>
                <w:sz w:val="22"/>
              </w:rPr>
            </w:pPr>
          </w:p>
        </w:tc>
        <w:tc>
          <w:tcPr>
            <w:tcW w:w="2078" w:type="dxa"/>
            <w:noWrap/>
          </w:tcPr>
          <w:p w14:paraId="02985A52">
            <w:pPr>
              <w:spacing w:line="480" w:lineRule="exact"/>
              <w:rPr>
                <w:rFonts w:ascii="宋体" w:hAnsi="宋体" w:eastAsia="宋体" w:cs="Times New Roman"/>
                <w:bCs/>
                <w:sz w:val="22"/>
              </w:rPr>
            </w:pPr>
          </w:p>
        </w:tc>
        <w:tc>
          <w:tcPr>
            <w:tcW w:w="1891" w:type="dxa"/>
            <w:noWrap/>
          </w:tcPr>
          <w:p w14:paraId="74303A52">
            <w:pPr>
              <w:spacing w:line="480" w:lineRule="exact"/>
              <w:rPr>
                <w:rFonts w:ascii="宋体" w:hAnsi="宋体" w:eastAsia="宋体" w:cs="Times New Roman"/>
                <w:bCs/>
                <w:sz w:val="22"/>
              </w:rPr>
            </w:pPr>
          </w:p>
        </w:tc>
        <w:tc>
          <w:tcPr>
            <w:tcW w:w="1973" w:type="dxa"/>
            <w:noWrap/>
          </w:tcPr>
          <w:p w14:paraId="61DE7A14">
            <w:pPr>
              <w:spacing w:line="480" w:lineRule="exact"/>
              <w:rPr>
                <w:rFonts w:ascii="宋体" w:hAnsi="宋体" w:eastAsia="宋体" w:cs="Times New Roman"/>
                <w:bCs/>
                <w:sz w:val="22"/>
              </w:rPr>
            </w:pPr>
          </w:p>
        </w:tc>
        <w:tc>
          <w:tcPr>
            <w:tcW w:w="1252" w:type="dxa"/>
            <w:noWrap/>
          </w:tcPr>
          <w:p w14:paraId="08282CC6">
            <w:pPr>
              <w:spacing w:line="480" w:lineRule="exact"/>
              <w:rPr>
                <w:rFonts w:ascii="宋体" w:hAnsi="宋体" w:eastAsia="宋体" w:cs="Times New Roman"/>
                <w:bCs/>
                <w:sz w:val="22"/>
              </w:rPr>
            </w:pPr>
          </w:p>
        </w:tc>
      </w:tr>
      <w:tr w14:paraId="7A67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66C219D">
            <w:pPr>
              <w:spacing w:line="480" w:lineRule="exact"/>
              <w:rPr>
                <w:rFonts w:ascii="宋体" w:hAnsi="宋体" w:eastAsia="宋体" w:cs="Times New Roman"/>
                <w:bCs/>
                <w:sz w:val="22"/>
              </w:rPr>
            </w:pPr>
          </w:p>
        </w:tc>
        <w:tc>
          <w:tcPr>
            <w:tcW w:w="1282" w:type="dxa"/>
            <w:noWrap/>
          </w:tcPr>
          <w:p w14:paraId="61870044">
            <w:pPr>
              <w:spacing w:line="480" w:lineRule="exact"/>
              <w:rPr>
                <w:rFonts w:ascii="宋体" w:hAnsi="宋体" w:eastAsia="宋体" w:cs="Times New Roman"/>
                <w:bCs/>
                <w:sz w:val="22"/>
              </w:rPr>
            </w:pPr>
          </w:p>
        </w:tc>
        <w:tc>
          <w:tcPr>
            <w:tcW w:w="2078" w:type="dxa"/>
            <w:noWrap/>
          </w:tcPr>
          <w:p w14:paraId="4369CCEF">
            <w:pPr>
              <w:spacing w:line="480" w:lineRule="exact"/>
              <w:rPr>
                <w:rFonts w:ascii="宋体" w:hAnsi="宋体" w:eastAsia="宋体" w:cs="Times New Roman"/>
                <w:bCs/>
                <w:sz w:val="22"/>
              </w:rPr>
            </w:pPr>
          </w:p>
        </w:tc>
        <w:tc>
          <w:tcPr>
            <w:tcW w:w="1891" w:type="dxa"/>
            <w:noWrap/>
          </w:tcPr>
          <w:p w14:paraId="736BC6D7">
            <w:pPr>
              <w:spacing w:line="480" w:lineRule="exact"/>
              <w:rPr>
                <w:rFonts w:ascii="宋体" w:hAnsi="宋体" w:eastAsia="宋体" w:cs="Times New Roman"/>
                <w:bCs/>
                <w:sz w:val="22"/>
              </w:rPr>
            </w:pPr>
          </w:p>
        </w:tc>
        <w:tc>
          <w:tcPr>
            <w:tcW w:w="1973" w:type="dxa"/>
            <w:noWrap/>
          </w:tcPr>
          <w:p w14:paraId="2DBFFBE5">
            <w:pPr>
              <w:spacing w:line="480" w:lineRule="exact"/>
              <w:rPr>
                <w:rFonts w:ascii="宋体" w:hAnsi="宋体" w:eastAsia="宋体" w:cs="Times New Roman"/>
                <w:bCs/>
                <w:sz w:val="22"/>
              </w:rPr>
            </w:pPr>
          </w:p>
        </w:tc>
        <w:tc>
          <w:tcPr>
            <w:tcW w:w="1252" w:type="dxa"/>
            <w:noWrap/>
          </w:tcPr>
          <w:p w14:paraId="7D098E8C">
            <w:pPr>
              <w:spacing w:line="480" w:lineRule="exact"/>
              <w:rPr>
                <w:rFonts w:ascii="宋体" w:hAnsi="宋体" w:eastAsia="宋体" w:cs="Times New Roman"/>
                <w:bCs/>
                <w:sz w:val="22"/>
              </w:rPr>
            </w:pPr>
          </w:p>
        </w:tc>
      </w:tr>
      <w:tr w14:paraId="44C1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38311F2">
            <w:pPr>
              <w:spacing w:line="480" w:lineRule="exact"/>
              <w:rPr>
                <w:rFonts w:ascii="宋体" w:hAnsi="宋体" w:eastAsia="宋体" w:cs="Times New Roman"/>
                <w:bCs/>
                <w:sz w:val="22"/>
              </w:rPr>
            </w:pPr>
          </w:p>
        </w:tc>
        <w:tc>
          <w:tcPr>
            <w:tcW w:w="1282" w:type="dxa"/>
            <w:noWrap/>
          </w:tcPr>
          <w:p w14:paraId="294B7192">
            <w:pPr>
              <w:spacing w:line="480" w:lineRule="exact"/>
              <w:rPr>
                <w:rFonts w:ascii="宋体" w:hAnsi="宋体" w:eastAsia="宋体" w:cs="Times New Roman"/>
                <w:bCs/>
                <w:sz w:val="22"/>
              </w:rPr>
            </w:pPr>
          </w:p>
        </w:tc>
        <w:tc>
          <w:tcPr>
            <w:tcW w:w="2078" w:type="dxa"/>
            <w:noWrap/>
          </w:tcPr>
          <w:p w14:paraId="56305294">
            <w:pPr>
              <w:spacing w:line="480" w:lineRule="exact"/>
              <w:rPr>
                <w:rFonts w:ascii="宋体" w:hAnsi="宋体" w:eastAsia="宋体" w:cs="Times New Roman"/>
                <w:bCs/>
                <w:sz w:val="22"/>
              </w:rPr>
            </w:pPr>
          </w:p>
        </w:tc>
        <w:tc>
          <w:tcPr>
            <w:tcW w:w="1891" w:type="dxa"/>
            <w:noWrap/>
          </w:tcPr>
          <w:p w14:paraId="7260465B">
            <w:pPr>
              <w:spacing w:line="480" w:lineRule="exact"/>
              <w:rPr>
                <w:rFonts w:ascii="宋体" w:hAnsi="宋体" w:eastAsia="宋体" w:cs="Times New Roman"/>
                <w:bCs/>
                <w:sz w:val="22"/>
              </w:rPr>
            </w:pPr>
          </w:p>
        </w:tc>
        <w:tc>
          <w:tcPr>
            <w:tcW w:w="1973" w:type="dxa"/>
            <w:noWrap/>
          </w:tcPr>
          <w:p w14:paraId="465891EC">
            <w:pPr>
              <w:spacing w:line="480" w:lineRule="exact"/>
              <w:rPr>
                <w:rFonts w:ascii="宋体" w:hAnsi="宋体" w:eastAsia="宋体" w:cs="Times New Roman"/>
                <w:bCs/>
                <w:sz w:val="22"/>
              </w:rPr>
            </w:pPr>
          </w:p>
        </w:tc>
        <w:tc>
          <w:tcPr>
            <w:tcW w:w="1252" w:type="dxa"/>
            <w:noWrap/>
          </w:tcPr>
          <w:p w14:paraId="487316E3">
            <w:pPr>
              <w:spacing w:line="480" w:lineRule="exact"/>
              <w:rPr>
                <w:rFonts w:ascii="宋体" w:hAnsi="宋体" w:eastAsia="宋体" w:cs="Times New Roman"/>
                <w:bCs/>
                <w:sz w:val="22"/>
              </w:rPr>
            </w:pPr>
          </w:p>
        </w:tc>
      </w:tr>
      <w:tr w14:paraId="7116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92549D8">
            <w:pPr>
              <w:spacing w:line="480" w:lineRule="exact"/>
              <w:rPr>
                <w:rFonts w:ascii="宋体" w:hAnsi="宋体" w:eastAsia="宋体" w:cs="Times New Roman"/>
                <w:bCs/>
                <w:sz w:val="22"/>
              </w:rPr>
            </w:pPr>
          </w:p>
        </w:tc>
        <w:tc>
          <w:tcPr>
            <w:tcW w:w="1282" w:type="dxa"/>
            <w:noWrap/>
          </w:tcPr>
          <w:p w14:paraId="1E47C073">
            <w:pPr>
              <w:spacing w:line="480" w:lineRule="exact"/>
              <w:rPr>
                <w:rFonts w:ascii="宋体" w:hAnsi="宋体" w:eastAsia="宋体" w:cs="Times New Roman"/>
                <w:bCs/>
                <w:sz w:val="22"/>
              </w:rPr>
            </w:pPr>
          </w:p>
        </w:tc>
        <w:tc>
          <w:tcPr>
            <w:tcW w:w="2078" w:type="dxa"/>
            <w:noWrap/>
          </w:tcPr>
          <w:p w14:paraId="7C97CB55">
            <w:pPr>
              <w:spacing w:line="480" w:lineRule="exact"/>
              <w:rPr>
                <w:rFonts w:ascii="宋体" w:hAnsi="宋体" w:eastAsia="宋体" w:cs="Times New Roman"/>
                <w:bCs/>
                <w:sz w:val="22"/>
              </w:rPr>
            </w:pPr>
          </w:p>
        </w:tc>
        <w:tc>
          <w:tcPr>
            <w:tcW w:w="1891" w:type="dxa"/>
            <w:noWrap/>
          </w:tcPr>
          <w:p w14:paraId="784E3E7B">
            <w:pPr>
              <w:spacing w:line="480" w:lineRule="exact"/>
              <w:rPr>
                <w:rFonts w:ascii="宋体" w:hAnsi="宋体" w:eastAsia="宋体" w:cs="Times New Roman"/>
                <w:bCs/>
                <w:sz w:val="22"/>
              </w:rPr>
            </w:pPr>
          </w:p>
        </w:tc>
        <w:tc>
          <w:tcPr>
            <w:tcW w:w="1973" w:type="dxa"/>
            <w:noWrap/>
          </w:tcPr>
          <w:p w14:paraId="290915DD">
            <w:pPr>
              <w:spacing w:line="480" w:lineRule="exact"/>
              <w:rPr>
                <w:rFonts w:ascii="宋体" w:hAnsi="宋体" w:eastAsia="宋体" w:cs="Times New Roman"/>
                <w:bCs/>
                <w:sz w:val="22"/>
              </w:rPr>
            </w:pPr>
          </w:p>
        </w:tc>
        <w:tc>
          <w:tcPr>
            <w:tcW w:w="1252" w:type="dxa"/>
            <w:noWrap/>
          </w:tcPr>
          <w:p w14:paraId="72D3C962">
            <w:pPr>
              <w:spacing w:line="480" w:lineRule="exact"/>
              <w:rPr>
                <w:rFonts w:ascii="宋体" w:hAnsi="宋体" w:eastAsia="宋体" w:cs="Times New Roman"/>
                <w:bCs/>
                <w:sz w:val="22"/>
              </w:rPr>
            </w:pPr>
          </w:p>
        </w:tc>
      </w:tr>
    </w:tbl>
    <w:p w14:paraId="4E24AE17">
      <w:pPr>
        <w:spacing w:line="480" w:lineRule="exact"/>
        <w:rPr>
          <w:rFonts w:ascii="宋体" w:hAnsi="宋体" w:eastAsia="宋体" w:cs="Times New Roman"/>
          <w:bCs/>
          <w:sz w:val="24"/>
          <w:szCs w:val="24"/>
        </w:rPr>
      </w:pPr>
      <w:r>
        <w:rPr>
          <w:rFonts w:hint="eastAsia" w:ascii="宋体" w:hAnsi="宋体" w:eastAsia="宋体" w:cs="Times New Roman"/>
          <w:bCs/>
          <w:sz w:val="24"/>
          <w:szCs w:val="24"/>
        </w:rPr>
        <w:t>（注：磋商响应供应商应根据磋商响应设备的技术参数对照磋商文件要求对比偏离情况）</w:t>
      </w:r>
    </w:p>
    <w:p w14:paraId="4952F279">
      <w:pPr>
        <w:spacing w:line="480" w:lineRule="exact"/>
        <w:rPr>
          <w:rFonts w:ascii="宋体" w:hAnsi="宋体" w:eastAsia="宋体" w:cs="Times New Roman"/>
          <w:bCs/>
          <w:sz w:val="24"/>
          <w:szCs w:val="24"/>
        </w:rPr>
      </w:pPr>
    </w:p>
    <w:p w14:paraId="343EF171">
      <w:pPr>
        <w:spacing w:line="480" w:lineRule="exact"/>
        <w:ind w:firstLine="120" w:firstLineChars="50"/>
        <w:rPr>
          <w:rFonts w:ascii="宋体" w:hAnsi="宋体" w:eastAsia="宋体" w:cs="Times New Roman"/>
          <w:bCs/>
          <w:sz w:val="24"/>
          <w:szCs w:val="24"/>
        </w:rPr>
      </w:pPr>
      <w:r>
        <w:rPr>
          <w:rFonts w:hint="eastAsia" w:ascii="宋体" w:hAnsi="宋体" w:eastAsia="宋体" w:cs="Times New Roman"/>
          <w:bCs/>
          <w:sz w:val="24"/>
          <w:szCs w:val="24"/>
        </w:rPr>
        <w:t>注：此表格若不够用，可根据实际自行扩展表格。</w:t>
      </w:r>
    </w:p>
    <w:p w14:paraId="70E14A78">
      <w:pPr>
        <w:spacing w:line="480" w:lineRule="exact"/>
        <w:ind w:firstLine="120" w:firstLineChars="50"/>
        <w:rPr>
          <w:rFonts w:ascii="宋体" w:hAnsi="宋体" w:eastAsia="宋体" w:cs="Times New Roman"/>
          <w:bCs/>
          <w:sz w:val="24"/>
          <w:szCs w:val="24"/>
        </w:rPr>
      </w:pPr>
    </w:p>
    <w:p w14:paraId="7CFDB1B5">
      <w:pPr>
        <w:spacing w:line="480" w:lineRule="exact"/>
        <w:ind w:firstLine="105" w:firstLineChars="50"/>
        <w:rPr>
          <w:rFonts w:ascii="宋体" w:hAnsi="宋体" w:eastAsia="宋体" w:cs="Times New Roman"/>
          <w:bCs/>
          <w:szCs w:val="21"/>
        </w:rPr>
      </w:pPr>
    </w:p>
    <w:p w14:paraId="233D6914">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5D960A49">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5726BC95">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1F75F1B1">
      <w:pPr>
        <w:snapToGrid w:val="0"/>
        <w:spacing w:line="480" w:lineRule="auto"/>
        <w:rPr>
          <w:rFonts w:ascii="宋体" w:hAnsi="宋体" w:eastAsia="宋体" w:cs="Times New Roman"/>
          <w:b/>
          <w:szCs w:val="21"/>
        </w:rPr>
      </w:pPr>
      <w:r>
        <w:rPr>
          <w:rFonts w:hint="eastAsia" w:ascii="宋体" w:hAnsi="宋体" w:eastAsia="宋体" w:cs="Times New Roman"/>
          <w:szCs w:val="21"/>
        </w:rPr>
        <w:br w:type="page"/>
      </w:r>
      <w:r>
        <w:rPr>
          <w:rFonts w:hint="eastAsia" w:ascii="宋体" w:hAnsi="宋体" w:eastAsia="宋体" w:cs="Times New Roman"/>
          <w:b/>
          <w:szCs w:val="21"/>
        </w:rPr>
        <w:t xml:space="preserve">附件3：              </w:t>
      </w:r>
    </w:p>
    <w:p w14:paraId="65AD964E">
      <w:pPr>
        <w:spacing w:line="520" w:lineRule="exact"/>
        <w:jc w:val="center"/>
        <w:rPr>
          <w:rFonts w:ascii="宋体" w:hAnsi="宋体" w:eastAsia="宋体" w:cs="Times New Roman"/>
          <w:b/>
          <w:sz w:val="24"/>
          <w:szCs w:val="21"/>
        </w:rPr>
      </w:pPr>
      <w:r>
        <w:rPr>
          <w:rFonts w:hint="eastAsia" w:ascii="宋体" w:hAnsi="宋体" w:eastAsia="宋体" w:cs="Times New Roman"/>
          <w:b/>
          <w:sz w:val="24"/>
          <w:szCs w:val="21"/>
        </w:rPr>
        <w:t>商务响应表</w:t>
      </w:r>
      <w:r>
        <w:rPr>
          <w:rFonts w:hint="eastAsia" w:ascii="宋体" w:hAnsi="宋体" w:eastAsia="宋体" w:cs="Times New Roman"/>
          <w:sz w:val="24"/>
          <w:szCs w:val="21"/>
        </w:rPr>
        <w:t>（格式）</w:t>
      </w:r>
    </w:p>
    <w:p w14:paraId="0BD405FD">
      <w:pPr>
        <w:snapToGrid w:val="0"/>
        <w:spacing w:line="520" w:lineRule="exact"/>
        <w:rPr>
          <w:rFonts w:ascii="宋体" w:hAnsi="宋体" w:eastAsia="宋体" w:cs="Times New Roman"/>
          <w:szCs w:val="21"/>
          <w:u w:val="single"/>
        </w:rPr>
      </w:pPr>
      <w:r>
        <w:rPr>
          <w:rFonts w:hint="eastAsia" w:ascii="宋体" w:hAnsi="宋体" w:eastAsia="宋体" w:cs="Times New Roman"/>
          <w:sz w:val="24"/>
          <w:szCs w:val="24"/>
        </w:rPr>
        <w:t>磋商响应</w:t>
      </w:r>
      <w:r>
        <w:rPr>
          <w:rFonts w:hint="eastAsia" w:ascii="宋体" w:hAnsi="宋体" w:eastAsia="宋体" w:cs="Times New Roman"/>
          <w:sz w:val="22"/>
          <w:szCs w:val="21"/>
        </w:rPr>
        <w:t>供应商名称：</w:t>
      </w:r>
    </w:p>
    <w:p w14:paraId="487104FA">
      <w:pPr>
        <w:snapToGrid w:val="0"/>
        <w:spacing w:line="520" w:lineRule="exact"/>
        <w:rPr>
          <w:rFonts w:ascii="宋体" w:hAnsi="宋体" w:eastAsia="宋体" w:cs="Times New Roman"/>
          <w:sz w:val="22"/>
        </w:rPr>
      </w:pPr>
      <w:r>
        <w:rPr>
          <w:rFonts w:hint="eastAsia" w:ascii="宋体" w:hAnsi="宋体" w:eastAsia="宋体" w:cs="Times New Roman"/>
          <w:sz w:val="22"/>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15014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tcPr>
          <w:p w14:paraId="12525C37">
            <w:pPr>
              <w:snapToGrid w:val="0"/>
              <w:spacing w:line="520" w:lineRule="exact"/>
              <w:rPr>
                <w:rFonts w:ascii="宋体" w:hAnsi="宋体" w:eastAsia="宋体" w:cs="宋体"/>
                <w:sz w:val="22"/>
              </w:rPr>
            </w:pPr>
            <w:r>
              <w:rPr>
                <w:rFonts w:hint="eastAsia" w:ascii="宋体" w:hAnsi="宋体" w:eastAsia="宋体" w:cs="Times New Roman"/>
                <w:sz w:val="22"/>
              </w:rPr>
              <w:t>项目</w:t>
            </w:r>
          </w:p>
        </w:tc>
        <w:tc>
          <w:tcPr>
            <w:tcW w:w="2700" w:type="dxa"/>
            <w:tcBorders>
              <w:top w:val="single" w:color="auto" w:sz="4" w:space="0"/>
              <w:left w:val="single" w:color="auto" w:sz="4" w:space="0"/>
              <w:bottom w:val="single" w:color="auto" w:sz="4" w:space="0"/>
              <w:right w:val="single" w:color="auto" w:sz="4" w:space="0"/>
            </w:tcBorders>
            <w:noWrap/>
          </w:tcPr>
          <w:p w14:paraId="247A16BF">
            <w:pPr>
              <w:snapToGrid w:val="0"/>
              <w:spacing w:line="520" w:lineRule="exact"/>
              <w:rPr>
                <w:rFonts w:ascii="宋体" w:hAnsi="宋体" w:eastAsia="宋体" w:cs="宋体"/>
                <w:sz w:val="22"/>
              </w:rPr>
            </w:pPr>
            <w:r>
              <w:rPr>
                <w:rFonts w:hint="eastAsia" w:ascii="宋体" w:hAnsi="宋体" w:eastAsia="宋体" w:cs="Times New Roman"/>
                <w:sz w:val="22"/>
              </w:rPr>
              <w:t>磋商文件要求</w:t>
            </w:r>
          </w:p>
        </w:tc>
        <w:tc>
          <w:tcPr>
            <w:tcW w:w="1260" w:type="dxa"/>
            <w:tcBorders>
              <w:top w:val="single" w:color="auto" w:sz="4" w:space="0"/>
              <w:left w:val="single" w:color="auto" w:sz="4" w:space="0"/>
              <w:bottom w:val="single" w:color="auto" w:sz="4" w:space="0"/>
              <w:right w:val="single" w:color="auto" w:sz="4" w:space="0"/>
            </w:tcBorders>
            <w:noWrap/>
          </w:tcPr>
          <w:p w14:paraId="1B86DC46">
            <w:pPr>
              <w:snapToGrid w:val="0"/>
              <w:spacing w:line="520" w:lineRule="exact"/>
              <w:rPr>
                <w:rFonts w:ascii="宋体" w:hAnsi="宋体" w:eastAsia="宋体" w:cs="宋体"/>
                <w:sz w:val="22"/>
              </w:rPr>
            </w:pPr>
            <w:r>
              <w:rPr>
                <w:rFonts w:hint="eastAsia" w:ascii="宋体" w:hAnsi="宋体" w:eastAsia="宋体" w:cs="Times New Roman"/>
                <w:sz w:val="22"/>
              </w:rPr>
              <w:t>是否响应</w:t>
            </w:r>
          </w:p>
        </w:tc>
        <w:tc>
          <w:tcPr>
            <w:tcW w:w="2652" w:type="dxa"/>
            <w:tcBorders>
              <w:top w:val="single" w:color="auto" w:sz="4" w:space="0"/>
              <w:left w:val="single" w:color="auto" w:sz="4" w:space="0"/>
              <w:bottom w:val="single" w:color="auto" w:sz="4" w:space="0"/>
              <w:right w:val="single" w:color="auto" w:sz="4" w:space="0"/>
            </w:tcBorders>
            <w:noWrap/>
          </w:tcPr>
          <w:p w14:paraId="4D55B06C">
            <w:pPr>
              <w:snapToGrid w:val="0"/>
              <w:spacing w:line="520" w:lineRule="exact"/>
              <w:rPr>
                <w:rFonts w:ascii="宋体" w:hAnsi="宋体" w:eastAsia="宋体" w:cs="宋体"/>
                <w:sz w:val="22"/>
              </w:rPr>
            </w:pPr>
            <w:r>
              <w:rPr>
                <w:rFonts w:hint="eastAsia" w:ascii="宋体" w:hAnsi="宋体" w:eastAsia="宋体" w:cs="Times New Roman"/>
                <w:sz w:val="22"/>
              </w:rPr>
              <w:t>供应商的承诺或说明</w:t>
            </w:r>
          </w:p>
        </w:tc>
      </w:tr>
      <w:tr w14:paraId="0076C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tcPr>
          <w:p w14:paraId="37BB688F">
            <w:pPr>
              <w:snapToGrid w:val="0"/>
              <w:spacing w:line="520" w:lineRule="exact"/>
              <w:rPr>
                <w:rFonts w:ascii="宋体" w:hAnsi="宋体" w:eastAsia="宋体" w:cs="宋体"/>
                <w:sz w:val="22"/>
              </w:rPr>
            </w:pPr>
            <w:r>
              <w:rPr>
                <w:rFonts w:hint="eastAsia" w:ascii="宋体" w:hAnsi="宋体" w:eastAsia="宋体" w:cs="Times New Roman"/>
                <w:sz w:val="22"/>
              </w:rPr>
              <w:t>质量要求</w:t>
            </w:r>
          </w:p>
        </w:tc>
        <w:tc>
          <w:tcPr>
            <w:tcW w:w="2700" w:type="dxa"/>
            <w:tcBorders>
              <w:top w:val="single" w:color="auto" w:sz="4" w:space="0"/>
              <w:left w:val="single" w:color="auto" w:sz="4" w:space="0"/>
              <w:bottom w:val="single" w:color="auto" w:sz="4" w:space="0"/>
              <w:right w:val="single" w:color="auto" w:sz="4" w:space="0"/>
            </w:tcBorders>
            <w:noWrap/>
          </w:tcPr>
          <w:p w14:paraId="49B913DF">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AC6A504">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A83B529">
            <w:pPr>
              <w:spacing w:line="520" w:lineRule="exact"/>
              <w:ind w:right="-107" w:rightChars="-51"/>
              <w:rPr>
                <w:rFonts w:ascii="宋体" w:hAnsi="宋体" w:eastAsia="宋体" w:cs="宋体"/>
                <w:sz w:val="22"/>
              </w:rPr>
            </w:pPr>
          </w:p>
        </w:tc>
      </w:tr>
      <w:tr w14:paraId="0968D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496" w:type="dxa"/>
            <w:tcBorders>
              <w:top w:val="single" w:color="auto" w:sz="4" w:space="0"/>
              <w:left w:val="single" w:color="auto" w:sz="4" w:space="0"/>
              <w:bottom w:val="single" w:color="auto" w:sz="4" w:space="0"/>
              <w:right w:val="single" w:color="auto" w:sz="4" w:space="0"/>
            </w:tcBorders>
            <w:noWrap/>
          </w:tcPr>
          <w:p w14:paraId="202060E7">
            <w:pPr>
              <w:snapToGrid w:val="0"/>
              <w:spacing w:line="520" w:lineRule="exact"/>
              <w:rPr>
                <w:rFonts w:ascii="宋体" w:hAnsi="宋体" w:eastAsia="宋体" w:cs="宋体"/>
                <w:sz w:val="22"/>
              </w:rPr>
            </w:pPr>
            <w:r>
              <w:rPr>
                <w:rFonts w:hint="eastAsia" w:ascii="宋体" w:hAnsi="宋体" w:eastAsia="宋体" w:cs="Times New Roman"/>
                <w:sz w:val="22"/>
              </w:rPr>
              <w:t>交货时间及地点</w:t>
            </w:r>
          </w:p>
        </w:tc>
        <w:tc>
          <w:tcPr>
            <w:tcW w:w="2700" w:type="dxa"/>
            <w:tcBorders>
              <w:top w:val="single" w:color="auto" w:sz="4" w:space="0"/>
              <w:left w:val="single" w:color="auto" w:sz="4" w:space="0"/>
              <w:bottom w:val="single" w:color="auto" w:sz="4" w:space="0"/>
              <w:right w:val="single" w:color="auto" w:sz="4" w:space="0"/>
            </w:tcBorders>
            <w:noWrap/>
          </w:tcPr>
          <w:p w14:paraId="3768AF1A">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3622EF3C">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E8C669A">
            <w:pPr>
              <w:spacing w:line="520" w:lineRule="exact"/>
              <w:rPr>
                <w:rFonts w:ascii="宋体" w:hAnsi="宋体" w:eastAsia="宋体" w:cs="宋体"/>
                <w:sz w:val="22"/>
              </w:rPr>
            </w:pPr>
          </w:p>
        </w:tc>
      </w:tr>
      <w:tr w14:paraId="33188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6" w:type="dxa"/>
            <w:tcBorders>
              <w:top w:val="single" w:color="auto" w:sz="4" w:space="0"/>
              <w:left w:val="single" w:color="auto" w:sz="4" w:space="0"/>
              <w:bottom w:val="single" w:color="auto" w:sz="4" w:space="0"/>
              <w:right w:val="single" w:color="auto" w:sz="4" w:space="0"/>
            </w:tcBorders>
            <w:noWrap/>
          </w:tcPr>
          <w:p w14:paraId="2257DC13">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3667129E">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9447C5A">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C43C849">
            <w:pPr>
              <w:spacing w:line="520" w:lineRule="exact"/>
              <w:rPr>
                <w:rFonts w:ascii="宋体" w:hAnsi="宋体" w:eastAsia="宋体" w:cs="宋体"/>
                <w:sz w:val="22"/>
              </w:rPr>
            </w:pPr>
          </w:p>
        </w:tc>
      </w:tr>
      <w:tr w14:paraId="2F448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96" w:type="dxa"/>
            <w:tcBorders>
              <w:top w:val="single" w:color="auto" w:sz="4" w:space="0"/>
              <w:left w:val="single" w:color="auto" w:sz="4" w:space="0"/>
              <w:bottom w:val="single" w:color="auto" w:sz="4" w:space="0"/>
              <w:right w:val="single" w:color="auto" w:sz="4" w:space="0"/>
            </w:tcBorders>
            <w:noWrap/>
          </w:tcPr>
          <w:p w14:paraId="01F1B5AC">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7419902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DEDA13F">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09BF9587">
            <w:pPr>
              <w:spacing w:line="520" w:lineRule="exact"/>
              <w:rPr>
                <w:rFonts w:ascii="宋体" w:hAnsi="宋体" w:eastAsia="宋体" w:cs="宋体"/>
                <w:sz w:val="22"/>
              </w:rPr>
            </w:pPr>
          </w:p>
        </w:tc>
      </w:tr>
      <w:tr w14:paraId="2E225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4C1DDFF5">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01E08A47">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CCCDE58">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1FFA4342">
            <w:pPr>
              <w:spacing w:line="520" w:lineRule="exact"/>
              <w:rPr>
                <w:rFonts w:ascii="宋体" w:hAnsi="宋体" w:eastAsia="宋体" w:cs="宋体"/>
                <w:sz w:val="22"/>
              </w:rPr>
            </w:pPr>
          </w:p>
        </w:tc>
      </w:tr>
      <w:tr w14:paraId="58649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45DC4815">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29D7844C">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A378AE">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AB96E42">
            <w:pPr>
              <w:spacing w:line="520" w:lineRule="exact"/>
              <w:rPr>
                <w:rFonts w:ascii="宋体" w:hAnsi="宋体" w:eastAsia="宋体" w:cs="宋体"/>
                <w:sz w:val="22"/>
              </w:rPr>
            </w:pPr>
          </w:p>
        </w:tc>
      </w:tr>
    </w:tbl>
    <w:p w14:paraId="77B14D09">
      <w:pPr>
        <w:spacing w:line="520" w:lineRule="exact"/>
        <w:ind w:firstLine="2400" w:firstLineChars="1000"/>
        <w:rPr>
          <w:rFonts w:ascii="宋体" w:hAnsi="宋体" w:eastAsia="宋体" w:cs="Times New Roman"/>
          <w:sz w:val="24"/>
          <w:szCs w:val="21"/>
        </w:rPr>
      </w:pPr>
    </w:p>
    <w:p w14:paraId="7F8DCE45">
      <w:pPr>
        <w:spacing w:line="520" w:lineRule="exact"/>
        <w:ind w:firstLine="2400" w:firstLineChars="1000"/>
        <w:rPr>
          <w:rFonts w:ascii="宋体" w:hAnsi="宋体" w:eastAsia="宋体" w:cs="Times New Roman"/>
          <w:sz w:val="24"/>
          <w:szCs w:val="21"/>
        </w:rPr>
      </w:pPr>
    </w:p>
    <w:p w14:paraId="5C8F7A7A">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227308E3">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444EB50B">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4D7D7685">
      <w:pPr>
        <w:spacing w:line="500" w:lineRule="exact"/>
        <w:jc w:val="center"/>
        <w:textAlignment w:val="baseline"/>
        <w:rPr>
          <w:rFonts w:ascii="宋体" w:hAnsi="宋体" w:eastAsia="宋体" w:cs="Times New Roman"/>
          <w:b/>
          <w:bCs/>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1</w:t>
      </w:r>
      <w:r>
        <w:rPr>
          <w:rFonts w:hint="eastAsia" w:ascii="宋体" w:hAnsi="宋体" w:eastAsia="宋体" w:cs="Times New Roman"/>
          <w:b/>
          <w:bCs/>
          <w:sz w:val="32"/>
          <w:szCs w:val="32"/>
          <w:lang w:val="en-US" w:eastAsia="zh-CN"/>
        </w:rPr>
        <w:t>0</w:t>
      </w:r>
      <w:r>
        <w:rPr>
          <w:rFonts w:hint="eastAsia" w:ascii="宋体" w:hAnsi="宋体" w:eastAsia="宋体" w:cs="Times New Roman"/>
          <w:b/>
          <w:bCs/>
          <w:sz w:val="32"/>
          <w:szCs w:val="32"/>
        </w:rPr>
        <w:t>、磋商响应供应商可提交的其他资料</w:t>
      </w:r>
    </w:p>
    <w:p w14:paraId="2F5C75BE">
      <w:pPr>
        <w:rPr>
          <w:rFonts w:ascii="Times New Roman" w:hAnsi="Times New Roman" w:eastAsia="宋体" w:cs="Times New Roman"/>
          <w:szCs w:val="21"/>
        </w:rPr>
      </w:pPr>
    </w:p>
    <w:p w14:paraId="7169A9BC"/>
    <w:sectPr>
      <w:footerReference r:id="rId3" w:type="default"/>
      <w:pgSz w:w="11906" w:h="16838"/>
      <w:pgMar w:top="1361" w:right="1361" w:bottom="1361"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62FE">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39E73A3B">
                          <w:pPr>
                            <w:pStyle w:val="14"/>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pvBKTcAQAArgMAAA4AAAAAAAAA&#10;AQAgAAAAHwEAAGRycy9lMm9Eb2MueG1sUEsFBgAAAAAGAAYAWQEAAG0FAAAAAA==&#10;">
              <v:fill on="f" focussize="0,0"/>
              <v:stroke on="f"/>
              <v:imagedata o:title=""/>
              <o:lock v:ext="edit" aspectratio="f"/>
              <v:textbox inset="0mm,0mm,0mm,0mm" style="mso-fit-shape-to-text:t;">
                <w:txbxContent>
                  <w:p w14:paraId="39E73A3B">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6C7D24"/>
    <w:rsid w:val="00031493"/>
    <w:rsid w:val="000634B1"/>
    <w:rsid w:val="000F051D"/>
    <w:rsid w:val="00195A70"/>
    <w:rsid w:val="00215A86"/>
    <w:rsid w:val="0040140E"/>
    <w:rsid w:val="004D71D9"/>
    <w:rsid w:val="00581C95"/>
    <w:rsid w:val="00677868"/>
    <w:rsid w:val="006C5E1F"/>
    <w:rsid w:val="006C7D24"/>
    <w:rsid w:val="008322F9"/>
    <w:rsid w:val="008674B4"/>
    <w:rsid w:val="00897376"/>
    <w:rsid w:val="009327EC"/>
    <w:rsid w:val="00B83B5F"/>
    <w:rsid w:val="00BA2BD6"/>
    <w:rsid w:val="00C56E84"/>
    <w:rsid w:val="00D331B2"/>
    <w:rsid w:val="00DC714D"/>
    <w:rsid w:val="00DF208C"/>
    <w:rsid w:val="02346795"/>
    <w:rsid w:val="03CB1FDF"/>
    <w:rsid w:val="080165F4"/>
    <w:rsid w:val="09873CAC"/>
    <w:rsid w:val="0C2F5739"/>
    <w:rsid w:val="10982CE6"/>
    <w:rsid w:val="13605876"/>
    <w:rsid w:val="13CA3C1D"/>
    <w:rsid w:val="1947580B"/>
    <w:rsid w:val="1E1A4B13"/>
    <w:rsid w:val="259E5BA7"/>
    <w:rsid w:val="2BF74278"/>
    <w:rsid w:val="30194999"/>
    <w:rsid w:val="37753A04"/>
    <w:rsid w:val="486017CE"/>
    <w:rsid w:val="486E1440"/>
    <w:rsid w:val="52BC25BE"/>
    <w:rsid w:val="53A24D14"/>
    <w:rsid w:val="573D572E"/>
    <w:rsid w:val="59D033AD"/>
    <w:rsid w:val="5A195640"/>
    <w:rsid w:val="5B8A7C2A"/>
    <w:rsid w:val="61A44D62"/>
    <w:rsid w:val="72050D94"/>
    <w:rsid w:val="734B7734"/>
    <w:rsid w:val="7A6D61E2"/>
    <w:rsid w:val="7D36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link w:val="39"/>
    <w:autoRedefine/>
    <w:qFormat/>
    <w:uiPriority w:val="9"/>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paragraph" w:styleId="4">
    <w:name w:val="heading 3"/>
    <w:basedOn w:val="1"/>
    <w:next w:val="1"/>
    <w:link w:val="40"/>
    <w:autoRedefine/>
    <w:qFormat/>
    <w:uiPriority w:val="9"/>
    <w:pPr>
      <w:keepNext/>
      <w:keepLines/>
      <w:spacing w:before="260" w:after="260" w:line="415" w:lineRule="auto"/>
      <w:outlineLvl w:val="2"/>
    </w:pPr>
    <w:rPr>
      <w:rFonts w:ascii="Calibri" w:hAnsi="Calibri" w:eastAsia="宋体" w:cs="Times New Roman"/>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pPr>
    <w:rPr>
      <w:rFonts w:ascii="Times New Roman" w:hAnsi="Times New Roman" w:eastAsia="宋体" w:cs="Times New Roman"/>
      <w:sz w:val="28"/>
      <w:szCs w:val="28"/>
    </w:rPr>
  </w:style>
  <w:style w:type="paragraph" w:styleId="6">
    <w:name w:val="annotation text"/>
    <w:basedOn w:val="1"/>
    <w:link w:val="41"/>
    <w:autoRedefine/>
    <w:qFormat/>
    <w:uiPriority w:val="0"/>
    <w:rPr>
      <w:rFonts w:ascii="Times New Roman" w:hAnsi="Times New Roman" w:eastAsia="宋体" w:cs="Times New Roman"/>
      <w:szCs w:val="21"/>
    </w:rPr>
  </w:style>
  <w:style w:type="paragraph" w:styleId="7">
    <w:name w:val="Body Text"/>
    <w:basedOn w:val="1"/>
    <w:link w:val="42"/>
    <w:autoRedefine/>
    <w:unhideWhenUsed/>
    <w:qFormat/>
    <w:uiPriority w:val="99"/>
    <w:pPr>
      <w:spacing w:after="120"/>
    </w:pPr>
    <w:rPr>
      <w:rFonts w:ascii="Calibri" w:hAnsi="Calibri" w:eastAsia="宋体" w:cs="Times New Roman"/>
      <w:kern w:val="0"/>
      <w:szCs w:val="20"/>
    </w:rPr>
  </w:style>
  <w:style w:type="paragraph" w:styleId="8">
    <w:name w:val="Body Text Indent"/>
    <w:basedOn w:val="1"/>
    <w:link w:val="48"/>
    <w:autoRedefine/>
    <w:semiHidden/>
    <w:unhideWhenUsed/>
    <w:qFormat/>
    <w:uiPriority w:val="99"/>
    <w:pPr>
      <w:spacing w:after="120"/>
      <w:ind w:left="420" w:leftChars="200"/>
    </w:pPr>
    <w:rPr>
      <w:rFonts w:ascii="Times New Roman" w:hAnsi="Times New Roman" w:eastAsia="宋体" w:cs="Times New Roman"/>
      <w:szCs w:val="21"/>
    </w:rPr>
  </w:style>
  <w:style w:type="paragraph" w:styleId="9">
    <w:name w:val="Block Text"/>
    <w:basedOn w:val="1"/>
    <w:next w:val="10"/>
    <w:autoRedefine/>
    <w:qFormat/>
    <w:uiPriority w:val="0"/>
    <w:pPr>
      <w:autoSpaceDE w:val="0"/>
      <w:autoSpaceDN w:val="0"/>
      <w:adjustRightInd w:val="0"/>
      <w:spacing w:line="662" w:lineRule="exact"/>
      <w:ind w:left="182" w:leftChars="182" w:right="6"/>
    </w:pPr>
    <w:rPr>
      <w:rFonts w:ascii="Times New Roman" w:hAnsi="Times New Roman" w:eastAsia="宋体" w:cs="Times New Roman"/>
      <w:kern w:val="0"/>
      <w:sz w:val="28"/>
      <w:szCs w:val="28"/>
    </w:rPr>
  </w:style>
  <w:style w:type="paragraph" w:styleId="10">
    <w:name w:val="HTML Preformatted"/>
    <w:basedOn w:val="1"/>
    <w:link w:val="43"/>
    <w:autoRedefine/>
    <w:unhideWhenUsed/>
    <w:qFormat/>
    <w:uiPriority w:val="99"/>
    <w:rPr>
      <w:rFonts w:ascii="Courier New" w:hAnsi="Courier New" w:eastAsia="宋体" w:cs="Courier New"/>
      <w:sz w:val="20"/>
      <w:szCs w:val="20"/>
    </w:rPr>
  </w:style>
  <w:style w:type="paragraph" w:styleId="11">
    <w:name w:val="Plain Text"/>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2">
    <w:name w:val="Date"/>
    <w:basedOn w:val="1"/>
    <w:next w:val="1"/>
    <w:link w:val="44"/>
    <w:autoRedefine/>
    <w:unhideWhenUsed/>
    <w:qFormat/>
    <w:uiPriority w:val="99"/>
    <w:rPr>
      <w:rFonts w:ascii="宋体" w:hAnsi="宋体" w:eastAsia="宋体" w:cs="Times New Roman"/>
      <w:kern w:val="0"/>
      <w:sz w:val="32"/>
      <w:szCs w:val="32"/>
    </w:rPr>
  </w:style>
  <w:style w:type="paragraph" w:styleId="13">
    <w:name w:val="Body Text Indent 2"/>
    <w:basedOn w:val="1"/>
    <w:link w:val="45"/>
    <w:autoRedefine/>
    <w:qFormat/>
    <w:uiPriority w:val="0"/>
    <w:pPr>
      <w:spacing w:line="360" w:lineRule="auto"/>
      <w:ind w:firstLine="420"/>
    </w:pPr>
    <w:rPr>
      <w:rFonts w:ascii="宋体" w:hAnsi="宋体" w:eastAsia="宋体" w:cs="宋体"/>
      <w:b/>
      <w:kern w:val="1"/>
      <w:sz w:val="24"/>
      <w:szCs w:val="21"/>
    </w:rPr>
  </w:style>
  <w:style w:type="paragraph" w:styleId="14">
    <w:name w:val="Balloon Text"/>
    <w:basedOn w:val="1"/>
    <w:link w:val="46"/>
    <w:autoRedefine/>
    <w:qFormat/>
    <w:uiPriority w:val="99"/>
    <w:rPr>
      <w:rFonts w:ascii="Calibri" w:hAnsi="Calibri" w:eastAsia="宋体" w:cs="Times New Roman"/>
      <w:kern w:val="0"/>
      <w:sz w:val="18"/>
      <w:szCs w:val="18"/>
    </w:rPr>
  </w:style>
  <w:style w:type="paragraph" w:styleId="15">
    <w:name w:val="footer"/>
    <w:basedOn w:val="1"/>
    <w:link w:val="37"/>
    <w:autoRedefine/>
    <w:unhideWhenUsed/>
    <w:qFormat/>
    <w:uiPriority w:val="0"/>
    <w:pPr>
      <w:tabs>
        <w:tab w:val="center" w:pos="4153"/>
        <w:tab w:val="right" w:pos="8306"/>
      </w:tabs>
      <w:snapToGrid w:val="0"/>
      <w:jc w:val="left"/>
    </w:pPr>
    <w:rPr>
      <w:sz w:val="18"/>
      <w:szCs w:val="18"/>
    </w:rPr>
  </w:style>
  <w:style w:type="paragraph" w:styleId="16">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Message Header"/>
    <w:basedOn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8">
    <w:name w:val="Body Text First Indent"/>
    <w:basedOn w:val="7"/>
    <w:next w:val="1"/>
    <w:link w:val="47"/>
    <w:autoRedefine/>
    <w:qFormat/>
    <w:uiPriority w:val="0"/>
    <w:pPr>
      <w:spacing w:line="360" w:lineRule="auto"/>
      <w:ind w:firstLine="420"/>
    </w:pPr>
    <w:rPr>
      <w:rFonts w:eastAsia="Arial Unicode MS"/>
      <w:color w:val="000000"/>
      <w:sz w:val="28"/>
      <w:szCs w:val="28"/>
    </w:rPr>
  </w:style>
  <w:style w:type="paragraph" w:styleId="19">
    <w:name w:val="Body Text First Indent 2"/>
    <w:basedOn w:val="8"/>
    <w:link w:val="49"/>
    <w:autoRedefine/>
    <w:semiHidden/>
    <w:qFormat/>
    <w:uiPriority w:val="0"/>
    <w:pPr>
      <w:spacing w:before="100" w:beforeAutospacing="1" w:after="120" w:line="360" w:lineRule="auto"/>
      <w:ind w:left="420" w:firstLine="420"/>
    </w:pPr>
    <w:rPr>
      <w:rFonts w:ascii="Calibri" w:hAnsi="Calibri" w:eastAsia="Arial Unicode MS" w:cs="Times New Roman"/>
      <w:color w:val="000000"/>
      <w:kern w:val="0"/>
      <w:sz w:val="20"/>
      <w:szCs w:val="21"/>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rPr>
      <w:b/>
      <w:bCs/>
    </w:rPr>
  </w:style>
  <w:style w:type="character" w:styleId="26">
    <w:name w:val="HTML Definition"/>
    <w:basedOn w:val="22"/>
    <w:autoRedefine/>
    <w:qFormat/>
    <w:uiPriority w:val="0"/>
    <w:rPr>
      <w:rFonts w:ascii="微软雅黑" w:hAnsi="微软雅黑" w:eastAsia="微软雅黑" w:cs="微软雅黑"/>
      <w:color w:val="3D4B64"/>
      <w:sz w:val="19"/>
      <w:szCs w:val="19"/>
    </w:rPr>
  </w:style>
  <w:style w:type="character" w:styleId="27">
    <w:name w:val="HTML Typewriter"/>
    <w:basedOn w:val="22"/>
    <w:autoRedefine/>
    <w:qFormat/>
    <w:uiPriority w:val="0"/>
    <w:rPr>
      <w:rFonts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autoRedefine/>
    <w:qFormat/>
    <w:uiPriority w:val="0"/>
    <w:rPr>
      <w:color w:val="0563C1"/>
      <w:u w:val="singl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bdr w:val="single" w:color="9A9A9A" w:sz="6" w:space="0"/>
      <w:shd w:val="clear" w:color="auto" w:fill="DBDDE2"/>
    </w:rPr>
  </w:style>
  <w:style w:type="paragraph" w:customStyle="1" w:styleId="35">
    <w:name w:val="Default"/>
    <w:basedOn w:val="1"/>
    <w:autoRedefine/>
    <w:qFormat/>
    <w:uiPriority w:val="0"/>
    <w:pPr>
      <w:autoSpaceDE w:val="0"/>
      <w:autoSpaceDN w:val="0"/>
      <w:adjustRightInd w:val="0"/>
    </w:pPr>
    <w:rPr>
      <w:rFonts w:ascii="宋体" w:hAnsi="宋体" w:eastAsia="宋体" w:cs="宋体"/>
      <w:color w:val="000000"/>
      <w:szCs w:val="21"/>
    </w:rPr>
  </w:style>
  <w:style w:type="character" w:customStyle="1" w:styleId="36">
    <w:name w:val="页眉 Char"/>
    <w:basedOn w:val="22"/>
    <w:link w:val="16"/>
    <w:autoRedefine/>
    <w:qFormat/>
    <w:uiPriority w:val="0"/>
    <w:rPr>
      <w:sz w:val="18"/>
      <w:szCs w:val="18"/>
    </w:rPr>
  </w:style>
  <w:style w:type="character" w:customStyle="1" w:styleId="37">
    <w:name w:val="页脚 Char"/>
    <w:basedOn w:val="22"/>
    <w:link w:val="15"/>
    <w:autoRedefine/>
    <w:qFormat/>
    <w:uiPriority w:val="0"/>
    <w:rPr>
      <w:sz w:val="18"/>
      <w:szCs w:val="18"/>
    </w:rPr>
  </w:style>
  <w:style w:type="character" w:customStyle="1" w:styleId="38">
    <w:name w:val="标题 1 Char"/>
    <w:basedOn w:val="22"/>
    <w:link w:val="2"/>
    <w:autoRedefine/>
    <w:qFormat/>
    <w:uiPriority w:val="0"/>
    <w:rPr>
      <w:rFonts w:ascii="Calibri" w:hAnsi="Calibri" w:eastAsia="宋体" w:cs="Times New Roman"/>
      <w:b/>
      <w:bCs/>
      <w:kern w:val="44"/>
      <w:sz w:val="44"/>
      <w:szCs w:val="44"/>
    </w:rPr>
  </w:style>
  <w:style w:type="character" w:customStyle="1" w:styleId="39">
    <w:name w:val="标题 2 Char"/>
    <w:basedOn w:val="22"/>
    <w:link w:val="3"/>
    <w:autoRedefine/>
    <w:qFormat/>
    <w:uiPriority w:val="9"/>
    <w:rPr>
      <w:rFonts w:ascii="黑体" w:hAnsi="Arial" w:eastAsia="黑体" w:cs="Times New Roman"/>
      <w:kern w:val="0"/>
      <w:sz w:val="28"/>
      <w:szCs w:val="28"/>
    </w:rPr>
  </w:style>
  <w:style w:type="character" w:customStyle="1" w:styleId="40">
    <w:name w:val="标题 3 Char"/>
    <w:basedOn w:val="22"/>
    <w:link w:val="4"/>
    <w:autoRedefine/>
    <w:qFormat/>
    <w:uiPriority w:val="9"/>
    <w:rPr>
      <w:rFonts w:ascii="Calibri" w:hAnsi="Calibri" w:eastAsia="宋体" w:cs="Times New Roman"/>
      <w:b/>
      <w:bCs/>
      <w:kern w:val="0"/>
      <w:sz w:val="32"/>
      <w:szCs w:val="32"/>
    </w:rPr>
  </w:style>
  <w:style w:type="character" w:customStyle="1" w:styleId="41">
    <w:name w:val="批注文字 Char"/>
    <w:basedOn w:val="22"/>
    <w:link w:val="6"/>
    <w:autoRedefine/>
    <w:qFormat/>
    <w:uiPriority w:val="0"/>
    <w:rPr>
      <w:rFonts w:ascii="Times New Roman" w:hAnsi="Times New Roman" w:eastAsia="宋体" w:cs="Times New Roman"/>
      <w:szCs w:val="21"/>
    </w:rPr>
  </w:style>
  <w:style w:type="character" w:customStyle="1" w:styleId="42">
    <w:name w:val="正文文本 Char"/>
    <w:basedOn w:val="22"/>
    <w:link w:val="7"/>
    <w:autoRedefine/>
    <w:qFormat/>
    <w:uiPriority w:val="99"/>
    <w:rPr>
      <w:rFonts w:ascii="Calibri" w:hAnsi="Calibri" w:eastAsia="宋体" w:cs="Times New Roman"/>
      <w:kern w:val="0"/>
      <w:szCs w:val="20"/>
    </w:rPr>
  </w:style>
  <w:style w:type="character" w:customStyle="1" w:styleId="43">
    <w:name w:val="HTML 预设格式 Char"/>
    <w:basedOn w:val="22"/>
    <w:link w:val="10"/>
    <w:autoRedefine/>
    <w:qFormat/>
    <w:uiPriority w:val="99"/>
    <w:rPr>
      <w:rFonts w:ascii="Courier New" w:hAnsi="Courier New" w:eastAsia="宋体" w:cs="Courier New"/>
      <w:sz w:val="20"/>
      <w:szCs w:val="20"/>
    </w:rPr>
  </w:style>
  <w:style w:type="character" w:customStyle="1" w:styleId="44">
    <w:name w:val="日期 Char"/>
    <w:basedOn w:val="22"/>
    <w:link w:val="12"/>
    <w:autoRedefine/>
    <w:qFormat/>
    <w:uiPriority w:val="99"/>
    <w:rPr>
      <w:rFonts w:ascii="宋体" w:hAnsi="宋体" w:eastAsia="宋体" w:cs="Times New Roman"/>
      <w:kern w:val="0"/>
      <w:sz w:val="32"/>
      <w:szCs w:val="32"/>
    </w:rPr>
  </w:style>
  <w:style w:type="character" w:customStyle="1" w:styleId="45">
    <w:name w:val="正文文本缩进 2 Char"/>
    <w:basedOn w:val="22"/>
    <w:link w:val="13"/>
    <w:autoRedefine/>
    <w:qFormat/>
    <w:uiPriority w:val="0"/>
    <w:rPr>
      <w:rFonts w:ascii="宋体" w:hAnsi="宋体" w:eastAsia="宋体" w:cs="宋体"/>
      <w:b/>
      <w:kern w:val="1"/>
      <w:sz w:val="24"/>
      <w:szCs w:val="21"/>
    </w:rPr>
  </w:style>
  <w:style w:type="character" w:customStyle="1" w:styleId="46">
    <w:name w:val="批注框文本 Char"/>
    <w:basedOn w:val="22"/>
    <w:link w:val="14"/>
    <w:autoRedefine/>
    <w:qFormat/>
    <w:uiPriority w:val="99"/>
    <w:rPr>
      <w:rFonts w:ascii="Calibri" w:hAnsi="Calibri" w:eastAsia="宋体" w:cs="Times New Roman"/>
      <w:kern w:val="0"/>
      <w:sz w:val="18"/>
      <w:szCs w:val="18"/>
    </w:rPr>
  </w:style>
  <w:style w:type="character" w:customStyle="1" w:styleId="47">
    <w:name w:val="正文首行缩进 Char"/>
    <w:basedOn w:val="42"/>
    <w:link w:val="18"/>
    <w:autoRedefine/>
    <w:qFormat/>
    <w:uiPriority w:val="0"/>
    <w:rPr>
      <w:rFonts w:eastAsia="Arial Unicode MS"/>
      <w:color w:val="000000"/>
      <w:sz w:val="28"/>
      <w:szCs w:val="28"/>
    </w:rPr>
  </w:style>
  <w:style w:type="character" w:customStyle="1" w:styleId="48">
    <w:name w:val="正文文本缩进 Char"/>
    <w:basedOn w:val="22"/>
    <w:link w:val="8"/>
    <w:autoRedefine/>
    <w:semiHidden/>
    <w:qFormat/>
    <w:uiPriority w:val="99"/>
    <w:rPr>
      <w:rFonts w:ascii="Times New Roman" w:hAnsi="Times New Roman" w:eastAsia="宋体" w:cs="Times New Roman"/>
      <w:szCs w:val="21"/>
    </w:rPr>
  </w:style>
  <w:style w:type="character" w:customStyle="1" w:styleId="49">
    <w:name w:val="正文首行缩进 2 Char"/>
    <w:basedOn w:val="48"/>
    <w:link w:val="19"/>
    <w:autoRedefine/>
    <w:semiHidden/>
    <w:qFormat/>
    <w:uiPriority w:val="0"/>
    <w:rPr>
      <w:rFonts w:ascii="Calibri" w:hAnsi="Calibri" w:eastAsia="Arial Unicode MS"/>
      <w:color w:val="000000"/>
      <w:kern w:val="0"/>
      <w:sz w:val="20"/>
    </w:rPr>
  </w:style>
  <w:style w:type="paragraph" w:customStyle="1" w:styleId="50">
    <w:name w:val="文档正文"/>
    <w:basedOn w:val="1"/>
    <w:autoRedefine/>
    <w:qFormat/>
    <w:uiPriority w:val="0"/>
    <w:pPr>
      <w:spacing w:line="480" w:lineRule="atLeast"/>
      <w:ind w:firstLine="567"/>
      <w:textAlignment w:val="baseline"/>
    </w:pPr>
    <w:rPr>
      <w:rFonts w:ascii="仿宋_GB2312" w:hAnsi="仿宋_GB2312" w:eastAsia="宋体" w:cs="宋体"/>
      <w:sz w:val="28"/>
      <w:szCs w:val="28"/>
    </w:rPr>
  </w:style>
  <w:style w:type="paragraph" w:customStyle="1" w:styleId="51">
    <w:name w:val="a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2">
    <w:name w:val="hover1"/>
    <w:basedOn w:val="22"/>
    <w:autoRedefine/>
    <w:qFormat/>
    <w:uiPriority w:val="0"/>
    <w:rPr>
      <w:color w:val="2590EB"/>
    </w:rPr>
  </w:style>
  <w:style w:type="character" w:customStyle="1" w:styleId="53">
    <w:name w:val="hover2"/>
    <w:basedOn w:val="22"/>
    <w:autoRedefine/>
    <w:qFormat/>
    <w:uiPriority w:val="0"/>
    <w:rPr>
      <w:color w:val="2590EB"/>
    </w:rPr>
  </w:style>
  <w:style w:type="character" w:customStyle="1" w:styleId="54">
    <w:name w:val="hover3"/>
    <w:basedOn w:val="22"/>
    <w:autoRedefine/>
    <w:qFormat/>
    <w:uiPriority w:val="0"/>
  </w:style>
  <w:style w:type="character" w:customStyle="1" w:styleId="55">
    <w:name w:val="mini-outputtext1"/>
    <w:basedOn w:val="22"/>
    <w:autoRedefine/>
    <w:qFormat/>
    <w:uiPriority w:val="0"/>
  </w:style>
  <w:style w:type="character" w:customStyle="1" w:styleId="56">
    <w:name w:val="hover"/>
    <w:basedOn w:val="22"/>
    <w:autoRedefine/>
    <w:qFormat/>
    <w:uiPriority w:val="0"/>
  </w:style>
  <w:style w:type="paragraph" w:styleId="57">
    <w:name w:val="List Paragraph"/>
    <w:basedOn w:val="1"/>
    <w:autoRedefine/>
    <w:qFormat/>
    <w:uiPriority w:val="34"/>
    <w:pPr>
      <w:ind w:firstLine="420" w:firstLineChars="200"/>
    </w:pPr>
  </w:style>
  <w:style w:type="paragraph" w:customStyle="1" w:styleId="58">
    <w:name w:val="正文 New New New New New New New New New New New New New"/>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paragraph" w:customStyle="1" w:styleId="59">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60">
    <w:name w:val="正文首行缩进两字符"/>
    <w:basedOn w:val="1"/>
    <w:autoRedefine/>
    <w:qFormat/>
    <w:uiPriority w:val="0"/>
    <w:pPr>
      <w:spacing w:line="360" w:lineRule="auto"/>
      <w:ind w:firstLine="200" w:firstLineChars="200"/>
    </w:pPr>
  </w:style>
  <w:style w:type="table" w:customStyle="1" w:styleId="61">
    <w:name w:val="TableGrid"/>
    <w:qFormat/>
    <w:uiPriority w:val="0"/>
    <w:rPr>
      <w:kern w:val="2"/>
      <w:sz w:val="21"/>
      <w:szCs w:val="22"/>
      <w14:ligatures w14:val="standardContextu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15899</Words>
  <Characters>17620</Characters>
  <Lines>600</Lines>
  <Paragraphs>652</Paragraphs>
  <TotalTime>49</TotalTime>
  <ScaleCrop>false</ScaleCrop>
  <LinksUpToDate>false</LinksUpToDate>
  <CharactersWithSpaces>17762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2022-08-16T22:29:00Z</dcterms:created>
  <dc:creator>汇今工程咨询有限公司:汇今工程咨询有限公司(代理)</dc:creator>
  <cp:lastModifiedBy>李晓翔</cp:lastModifiedBy>
  <dcterms:modified xsi:type="dcterms:W3CDTF">2024-12-31T10:20:34Z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EA32E5BD61834349A513B1FAA9A4197F_13</vt:lpwstr>
  </property>
  <property fmtid="{D5CDD505-2E9C-101B-9397-08002B2CF9AE}" pid="4" name="KSOTemplateDocerSaveRecord">
    <vt:lpwstr>eyJoZGlkIjoiZGFkMzQ5Yjk2ZGI3MjFhZGM1NzkyOTg2MDVkN2IyYjMiLCJ1c2VySWQiOiIzNjgzNTc2NjEifQ==</vt:lpwstr>
  </property>
</Properties>
</file>