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A9776">
      <w:pPr>
        <w:pStyle w:val="9"/>
        <w:spacing w:before="4"/>
        <w:rPr>
          <w:rFonts w:hint="eastAsia" w:ascii="宋体" w:hAnsi="宋体" w:eastAsia="宋体" w:cs="宋体"/>
          <w:color w:val="auto"/>
          <w:sz w:val="21"/>
          <w:highlight w:val="none"/>
        </w:rPr>
      </w:pPr>
    </w:p>
    <w:p w14:paraId="3691C17B">
      <w:pPr>
        <w:bidi w:val="0"/>
        <w:jc w:val="center"/>
        <w:rPr>
          <w:rFonts w:hint="eastAsia"/>
          <w:b/>
          <w:bCs/>
          <w:color w:val="auto"/>
          <w:sz w:val="52"/>
          <w:szCs w:val="52"/>
          <w:highlight w:val="none"/>
        </w:rPr>
      </w:pPr>
      <w:r>
        <w:rPr>
          <w:rFonts w:hint="eastAsia"/>
          <w:b/>
          <w:bCs/>
          <w:color w:val="auto"/>
          <w:sz w:val="52"/>
          <w:szCs w:val="52"/>
          <w:highlight w:val="none"/>
        </w:rPr>
        <w:t>周口市公共资源交易中心政府采购中心</w:t>
      </w:r>
    </w:p>
    <w:p w14:paraId="6BA0B7E3">
      <w:pPr>
        <w:bidi w:val="0"/>
        <w:rPr>
          <w:rFonts w:hint="eastAsia" w:ascii="宋体" w:hAnsi="宋体" w:eastAsia="宋体" w:cs="宋体"/>
          <w:color w:val="auto"/>
          <w:highlight w:val="none"/>
        </w:rPr>
      </w:pPr>
    </w:p>
    <w:p w14:paraId="085B380B">
      <w:pPr>
        <w:rPr>
          <w:rFonts w:hint="eastAsia" w:ascii="宋体" w:hAnsi="宋体" w:eastAsia="宋体" w:cs="宋体"/>
          <w:color w:val="auto"/>
          <w:spacing w:val="-1"/>
          <w:w w:val="95"/>
          <w:sz w:val="28"/>
          <w:szCs w:val="28"/>
          <w:highlight w:val="none"/>
        </w:rPr>
      </w:pPr>
    </w:p>
    <w:p w14:paraId="239CB8E1">
      <w:pPr>
        <w:pStyle w:val="2"/>
        <w:ind w:left="0" w:leftChars="0" w:firstLine="0" w:firstLineChars="0"/>
        <w:rPr>
          <w:rFonts w:hint="eastAsia" w:ascii="宋体" w:hAnsi="宋体" w:eastAsia="宋体" w:cs="宋体"/>
          <w:color w:val="auto"/>
          <w:spacing w:val="-1"/>
          <w:w w:val="95"/>
          <w:sz w:val="28"/>
          <w:szCs w:val="28"/>
          <w:highlight w:val="none"/>
        </w:rPr>
      </w:pPr>
    </w:p>
    <w:p w14:paraId="142F930F">
      <w:pPr>
        <w:pStyle w:val="2"/>
        <w:ind w:left="0" w:leftChars="0" w:firstLine="0" w:firstLineChars="0"/>
        <w:rPr>
          <w:rFonts w:hint="eastAsia" w:ascii="宋体" w:hAnsi="宋体" w:eastAsia="宋体" w:cs="宋体"/>
          <w:color w:val="auto"/>
          <w:spacing w:val="-1"/>
          <w:w w:val="95"/>
          <w:sz w:val="28"/>
          <w:szCs w:val="28"/>
          <w:highlight w:val="none"/>
        </w:rPr>
      </w:pPr>
    </w:p>
    <w:p w14:paraId="27CCEF26">
      <w:pPr>
        <w:pStyle w:val="2"/>
        <w:ind w:left="0" w:leftChars="0" w:firstLine="0" w:firstLineChars="0"/>
        <w:rPr>
          <w:rFonts w:hint="eastAsia" w:ascii="宋体" w:hAnsi="宋体" w:eastAsia="宋体" w:cs="宋体"/>
          <w:color w:val="auto"/>
          <w:spacing w:val="-1"/>
          <w:w w:val="95"/>
          <w:sz w:val="28"/>
          <w:szCs w:val="28"/>
          <w:highlight w:val="none"/>
        </w:rPr>
      </w:pPr>
    </w:p>
    <w:p w14:paraId="60E97223">
      <w:pPr>
        <w:pStyle w:val="2"/>
        <w:ind w:left="0" w:leftChars="0" w:firstLine="0" w:firstLineChars="0"/>
        <w:rPr>
          <w:rFonts w:hint="eastAsia" w:ascii="宋体" w:hAnsi="宋体" w:eastAsia="宋体" w:cs="宋体"/>
          <w:color w:val="auto"/>
          <w:spacing w:val="-1"/>
          <w:w w:val="95"/>
          <w:sz w:val="28"/>
          <w:szCs w:val="28"/>
          <w:highlight w:val="none"/>
        </w:rPr>
      </w:pPr>
    </w:p>
    <w:p w14:paraId="0CD0B765">
      <w:pPr>
        <w:pStyle w:val="2"/>
        <w:ind w:left="0" w:leftChars="0" w:firstLine="0" w:firstLineChars="0"/>
        <w:rPr>
          <w:rFonts w:hint="eastAsia" w:ascii="宋体" w:hAnsi="宋体" w:eastAsia="宋体" w:cs="宋体"/>
          <w:color w:val="auto"/>
          <w:spacing w:val="-1"/>
          <w:w w:val="95"/>
          <w:sz w:val="28"/>
          <w:szCs w:val="28"/>
          <w:highlight w:val="none"/>
        </w:rPr>
      </w:pPr>
    </w:p>
    <w:p w14:paraId="3ACDA380">
      <w:pPr>
        <w:pStyle w:val="2"/>
        <w:ind w:left="0" w:leftChars="0" w:firstLine="0" w:firstLineChars="0"/>
        <w:rPr>
          <w:rFonts w:hint="eastAsia" w:ascii="宋体" w:hAnsi="宋体" w:eastAsia="宋体" w:cs="宋体"/>
          <w:color w:val="auto"/>
          <w:spacing w:val="-1"/>
          <w:w w:val="95"/>
          <w:sz w:val="28"/>
          <w:szCs w:val="28"/>
          <w:highlight w:val="none"/>
        </w:rPr>
      </w:pPr>
    </w:p>
    <w:p w14:paraId="508033F0">
      <w:pPr>
        <w:pStyle w:val="2"/>
        <w:ind w:left="0" w:leftChars="0" w:firstLine="0" w:firstLineChars="0"/>
        <w:rPr>
          <w:rFonts w:hint="eastAsia" w:ascii="宋体" w:hAnsi="宋体" w:eastAsia="宋体" w:cs="宋体"/>
          <w:color w:val="auto"/>
          <w:spacing w:val="-1"/>
          <w:w w:val="95"/>
          <w:sz w:val="28"/>
          <w:szCs w:val="28"/>
          <w:highlight w:val="none"/>
        </w:rPr>
      </w:pPr>
    </w:p>
    <w:p w14:paraId="7305A48B">
      <w:pPr>
        <w:bidi w:val="0"/>
        <w:rPr>
          <w:rFonts w:hint="eastAsia" w:ascii="宋体" w:hAnsi="宋体" w:eastAsia="宋体" w:cs="宋体"/>
          <w:color w:val="auto"/>
          <w:sz w:val="28"/>
          <w:szCs w:val="28"/>
          <w:highlight w:val="none"/>
        </w:rPr>
      </w:pPr>
    </w:p>
    <w:p w14:paraId="6A70A64C">
      <w:pPr>
        <w:bidi w:val="0"/>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rPr>
        <w:t>竞争性谈判文件</w:t>
      </w:r>
    </w:p>
    <w:p w14:paraId="4436AD6D">
      <w:pPr>
        <w:pStyle w:val="9"/>
        <w:rPr>
          <w:rFonts w:hint="eastAsia" w:ascii="宋体" w:hAnsi="宋体" w:eastAsia="宋体" w:cs="宋体"/>
          <w:b/>
          <w:color w:val="auto"/>
          <w:sz w:val="28"/>
          <w:szCs w:val="28"/>
          <w:highlight w:val="none"/>
          <w:lang w:val="en-US"/>
        </w:rPr>
      </w:pPr>
    </w:p>
    <w:p w14:paraId="0AA2050B">
      <w:pPr>
        <w:rPr>
          <w:rFonts w:hint="eastAsia" w:ascii="宋体" w:hAnsi="宋体" w:eastAsia="宋体" w:cs="宋体"/>
          <w:b/>
          <w:color w:val="auto"/>
          <w:sz w:val="28"/>
          <w:szCs w:val="28"/>
          <w:highlight w:val="none"/>
          <w:lang w:val="en-US"/>
        </w:rPr>
      </w:pPr>
    </w:p>
    <w:p w14:paraId="12E4C611">
      <w:pPr>
        <w:pStyle w:val="2"/>
        <w:rPr>
          <w:rFonts w:hint="eastAsia" w:ascii="宋体" w:hAnsi="宋体" w:eastAsia="宋体" w:cs="宋体"/>
          <w:b/>
          <w:color w:val="auto"/>
          <w:sz w:val="28"/>
          <w:szCs w:val="28"/>
          <w:highlight w:val="none"/>
          <w:lang w:val="en-US"/>
        </w:rPr>
      </w:pPr>
    </w:p>
    <w:p w14:paraId="0F384B6F">
      <w:pPr>
        <w:pStyle w:val="2"/>
        <w:rPr>
          <w:rFonts w:hint="eastAsia" w:ascii="宋体" w:hAnsi="宋体" w:eastAsia="宋体" w:cs="宋体"/>
          <w:b/>
          <w:color w:val="auto"/>
          <w:sz w:val="28"/>
          <w:szCs w:val="28"/>
          <w:highlight w:val="none"/>
          <w:lang w:val="en-US"/>
        </w:rPr>
      </w:pPr>
    </w:p>
    <w:p w14:paraId="058FED24">
      <w:pPr>
        <w:pStyle w:val="2"/>
        <w:ind w:left="0" w:leftChars="0" w:firstLine="0" w:firstLineChars="0"/>
        <w:rPr>
          <w:rFonts w:hint="eastAsia" w:ascii="宋体" w:hAnsi="宋体" w:eastAsia="宋体" w:cs="宋体"/>
          <w:b/>
          <w:color w:val="auto"/>
          <w:sz w:val="28"/>
          <w:szCs w:val="28"/>
          <w:highlight w:val="none"/>
          <w:lang w:val="en-US"/>
        </w:rPr>
      </w:pPr>
    </w:p>
    <w:p w14:paraId="01755CB6">
      <w:pPr>
        <w:pStyle w:val="2"/>
        <w:ind w:left="0" w:leftChars="0" w:firstLine="0" w:firstLineChars="0"/>
        <w:rPr>
          <w:rFonts w:hint="eastAsia" w:ascii="宋体" w:hAnsi="宋体" w:eastAsia="宋体" w:cs="宋体"/>
          <w:b/>
          <w:color w:val="auto"/>
          <w:sz w:val="28"/>
          <w:szCs w:val="28"/>
          <w:highlight w:val="none"/>
          <w:lang w:val="en-US"/>
        </w:rPr>
      </w:pPr>
    </w:p>
    <w:p w14:paraId="4EE99ABB">
      <w:pPr>
        <w:pStyle w:val="2"/>
        <w:ind w:left="0" w:leftChars="0" w:firstLine="0" w:firstLineChars="0"/>
        <w:rPr>
          <w:rFonts w:hint="eastAsia" w:ascii="宋体" w:hAnsi="宋体" w:eastAsia="宋体" w:cs="宋体"/>
          <w:b/>
          <w:color w:val="auto"/>
          <w:sz w:val="28"/>
          <w:szCs w:val="28"/>
          <w:highlight w:val="none"/>
          <w:lang w:val="en-US"/>
        </w:rPr>
      </w:pPr>
    </w:p>
    <w:p w14:paraId="199E5382">
      <w:pPr>
        <w:rPr>
          <w:rFonts w:hint="eastAsia" w:ascii="宋体" w:hAnsi="宋体" w:eastAsia="宋体" w:cs="宋体"/>
          <w:color w:val="auto"/>
          <w:highlight w:val="none"/>
        </w:rPr>
      </w:pPr>
    </w:p>
    <w:p w14:paraId="36069761">
      <w:pPr>
        <w:pStyle w:val="9"/>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color w:val="auto"/>
          <w:sz w:val="28"/>
          <w:szCs w:val="28"/>
          <w:highlight w:val="none"/>
        </w:rPr>
      </w:pPr>
    </w:p>
    <w:p w14:paraId="5636DA97">
      <w:pPr>
        <w:spacing w:before="1" w:line="360" w:lineRule="auto"/>
        <w:ind w:right="987"/>
        <w:rPr>
          <w:rFonts w:hint="eastAsia" w:ascii="宋体" w:hAnsi="宋体" w:eastAsia="宋体" w:cs="宋体"/>
          <w:color w:val="auto"/>
          <w:sz w:val="32"/>
          <w:szCs w:val="32"/>
        </w:rPr>
      </w:pPr>
      <w:r>
        <w:rPr>
          <w:rFonts w:hint="eastAsia" w:ascii="宋体" w:hAnsi="宋体" w:eastAsia="宋体" w:cs="宋体"/>
          <w:color w:val="auto"/>
          <w:sz w:val="32"/>
          <w:szCs w:val="32"/>
        </w:rPr>
        <w:t>项目名称：2025年扶沟县曹里乡畜禽养殖及蔬菜大棚产业发展融合项目</w:t>
      </w:r>
    </w:p>
    <w:p w14:paraId="78F9AF8B">
      <w:pPr>
        <w:spacing w:before="1" w:line="360" w:lineRule="auto"/>
        <w:ind w:right="987"/>
        <w:rPr>
          <w:rFonts w:hint="eastAsia" w:ascii="宋体" w:hAnsi="宋体" w:eastAsia="宋体" w:cs="宋体"/>
          <w:color w:val="auto"/>
          <w:sz w:val="32"/>
          <w:szCs w:val="32"/>
        </w:rPr>
      </w:pPr>
      <w:r>
        <w:rPr>
          <w:rFonts w:hint="eastAsia" w:ascii="宋体" w:hAnsi="宋体" w:eastAsia="宋体" w:cs="宋体"/>
          <w:color w:val="auto"/>
          <w:sz w:val="32"/>
          <w:szCs w:val="32"/>
        </w:rPr>
        <w:t>采购编号：扶财竞谈- 2025-20</w:t>
      </w:r>
    </w:p>
    <w:p w14:paraId="37D120D6">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2025年</w:t>
      </w:r>
      <w:r>
        <w:rPr>
          <w:rFonts w:hint="eastAsia" w:cs="宋体"/>
          <w:b/>
          <w:bCs/>
          <w:color w:val="auto"/>
          <w:sz w:val="30"/>
          <w:szCs w:val="30"/>
          <w:highlight w:val="none"/>
          <w:lang w:val="en-US" w:eastAsia="zh-CN"/>
        </w:rPr>
        <w:t>07</w:t>
      </w:r>
      <w:r>
        <w:rPr>
          <w:rFonts w:hint="eastAsia" w:ascii="宋体" w:hAnsi="宋体" w:eastAsia="宋体" w:cs="宋体"/>
          <w:b/>
          <w:bCs/>
          <w:color w:val="auto"/>
          <w:sz w:val="30"/>
          <w:szCs w:val="30"/>
          <w:highlight w:val="none"/>
          <w:lang w:val="en-US" w:eastAsia="zh-CN"/>
        </w:rPr>
        <w:t>月</w:t>
      </w:r>
      <w:r>
        <w:rPr>
          <w:rFonts w:hint="eastAsia" w:cs="宋体"/>
          <w:b/>
          <w:bCs/>
          <w:color w:val="auto"/>
          <w:sz w:val="30"/>
          <w:szCs w:val="30"/>
          <w:highlight w:val="none"/>
          <w:lang w:val="en-US" w:eastAsia="zh-CN"/>
        </w:rPr>
        <w:t>09</w:t>
      </w:r>
      <w:r>
        <w:rPr>
          <w:rFonts w:hint="eastAsia" w:ascii="宋体" w:hAnsi="宋体" w:eastAsia="宋体" w:cs="宋体"/>
          <w:b/>
          <w:bCs/>
          <w:color w:val="auto"/>
          <w:sz w:val="30"/>
          <w:szCs w:val="30"/>
          <w:highlight w:val="none"/>
          <w:lang w:val="en-US" w:eastAsia="zh-CN"/>
        </w:rPr>
        <w:t>日</w:t>
      </w:r>
    </w:p>
    <w:p w14:paraId="741A289B">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sdt>
      <w:sdtPr>
        <w:rPr>
          <w:rFonts w:ascii="宋体" w:hAnsi="宋体" w:eastAsia="宋体" w:cs="宋体"/>
          <w:b/>
          <w:bCs/>
          <w:color w:val="auto"/>
          <w:sz w:val="21"/>
          <w:szCs w:val="22"/>
          <w:highlight w:val="none"/>
          <w:lang w:val="zh-CN" w:eastAsia="zh-CN" w:bidi="zh-CN"/>
        </w:rPr>
        <w:id w:val="147458287"/>
        <w15:color w:val="DBDBDB"/>
        <w:docPartObj>
          <w:docPartGallery w:val="Table of Contents"/>
          <w:docPartUnique/>
        </w:docPartObj>
      </w:sdtPr>
      <w:sdtEndPr>
        <w:rPr>
          <w:rFonts w:hint="eastAsia" w:ascii="宋体" w:hAnsi="宋体" w:eastAsia="宋体" w:cs="宋体"/>
          <w:b/>
          <w:bCs/>
          <w:color w:val="auto"/>
          <w:sz w:val="22"/>
          <w:szCs w:val="22"/>
          <w:highlight w:val="none"/>
          <w:lang w:val="en-US" w:eastAsia="zh-CN" w:bidi="zh-CN"/>
        </w:rPr>
      </w:sdtEndPr>
      <w:sdtContent>
        <w:p w14:paraId="2C289158">
          <w:pPr>
            <w:keepNext w:val="0"/>
            <w:keepLines w:val="0"/>
            <w:pageBreakBefore w:val="0"/>
            <w:widowControl w:val="0"/>
            <w:kinsoku/>
            <w:wordWrap/>
            <w:overflowPunct/>
            <w:topLinePunct w:val="0"/>
            <w:autoSpaceDE w:val="0"/>
            <w:autoSpaceDN w:val="0"/>
            <w:bidi w:val="0"/>
            <w:adjustRightInd/>
            <w:snapToGrid/>
            <w:spacing w:before="0" w:beforeLines="0" w:after="0" w:afterLines="0" w:line="600" w:lineRule="exact"/>
            <w:ind w:left="0" w:leftChars="0" w:right="0" w:rightChars="0" w:firstLine="0" w:firstLineChars="0"/>
            <w:jc w:val="center"/>
            <w:textAlignment w:val="auto"/>
            <w:rPr>
              <w:b/>
              <w:bCs/>
              <w:color w:val="auto"/>
              <w:sz w:val="24"/>
              <w:szCs w:val="24"/>
              <w:highlight w:val="none"/>
            </w:rPr>
          </w:pPr>
          <w:r>
            <w:rPr>
              <w:rFonts w:ascii="宋体" w:hAnsi="宋体" w:eastAsia="宋体"/>
              <w:b/>
              <w:bCs/>
              <w:color w:val="auto"/>
              <w:sz w:val="24"/>
              <w:szCs w:val="24"/>
              <w:highlight w:val="none"/>
            </w:rPr>
            <w:t>目录</w:t>
          </w:r>
        </w:p>
        <w:p w14:paraId="41332B2D">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600" w:lineRule="exact"/>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TOC \o "1-3" \h \u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 HYPERLINK \l _Toc1805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lang w:val="en-US" w:eastAsia="zh-CN"/>
            </w:rPr>
            <w:t xml:space="preserve">第一部分 </w:t>
          </w:r>
          <w:r>
            <w:rPr>
              <w:rFonts w:hint="eastAsia" w:ascii="宋体" w:hAnsi="宋体" w:eastAsia="宋体" w:cs="宋体"/>
              <w:b/>
              <w:bCs/>
              <w:color w:val="auto"/>
              <w:sz w:val="24"/>
              <w:szCs w:val="24"/>
              <w:highlight w:val="none"/>
            </w:rPr>
            <w:t>谈判采购邀请函</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_Toc1805 \h </w:instrText>
          </w:r>
          <w:r>
            <w:rPr>
              <w:b/>
              <w:bCs/>
              <w:color w:val="auto"/>
              <w:sz w:val="24"/>
              <w:szCs w:val="24"/>
              <w:highlight w:val="none"/>
            </w:rPr>
            <w:fldChar w:fldCharType="separate"/>
          </w:r>
          <w:r>
            <w:rPr>
              <w:b/>
              <w:bCs/>
              <w:color w:val="auto"/>
              <w:sz w:val="24"/>
              <w:szCs w:val="24"/>
              <w:highlight w:val="none"/>
            </w:rPr>
            <w:t>3</w:t>
          </w:r>
          <w:r>
            <w:rPr>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bidi="zh-CN"/>
            </w:rPr>
            <w:fldChar w:fldCharType="end"/>
          </w:r>
        </w:p>
        <w:p w14:paraId="54BCD980">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600" w:lineRule="exact"/>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 HYPERLINK \l _Toc30631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rPr>
            <w:t>第二部分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项目内容及施工要求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_Toc30631 \h </w:instrText>
          </w:r>
          <w:r>
            <w:rPr>
              <w:b/>
              <w:bCs/>
              <w:color w:val="auto"/>
              <w:sz w:val="24"/>
              <w:szCs w:val="24"/>
              <w:highlight w:val="none"/>
            </w:rPr>
            <w:fldChar w:fldCharType="separate"/>
          </w:r>
          <w:r>
            <w:rPr>
              <w:b/>
              <w:bCs/>
              <w:color w:val="auto"/>
              <w:sz w:val="24"/>
              <w:szCs w:val="24"/>
              <w:highlight w:val="none"/>
            </w:rPr>
            <w:t>6</w:t>
          </w:r>
          <w:r>
            <w:rPr>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bidi="zh-CN"/>
            </w:rPr>
            <w:fldChar w:fldCharType="end"/>
          </w:r>
        </w:p>
        <w:p w14:paraId="602983C1">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600" w:lineRule="exact"/>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 HYPERLINK \l _Toc19431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rPr>
            <w:t>第三部分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谈判项目要求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_Toc19431 \h </w:instrText>
          </w:r>
          <w:r>
            <w:rPr>
              <w:b/>
              <w:bCs/>
              <w:color w:val="auto"/>
              <w:sz w:val="24"/>
              <w:szCs w:val="24"/>
              <w:highlight w:val="none"/>
            </w:rPr>
            <w:fldChar w:fldCharType="separate"/>
          </w:r>
          <w:r>
            <w:rPr>
              <w:b/>
              <w:bCs/>
              <w:color w:val="auto"/>
              <w:sz w:val="24"/>
              <w:szCs w:val="24"/>
              <w:highlight w:val="none"/>
            </w:rPr>
            <w:t>7</w:t>
          </w:r>
          <w:r>
            <w:rPr>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bidi="zh-CN"/>
            </w:rPr>
            <w:fldChar w:fldCharType="end"/>
          </w:r>
        </w:p>
        <w:p w14:paraId="21493616">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600" w:lineRule="exact"/>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 HYPERLINK \l _Toc24108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rPr>
            <w:t>第四部分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谈判供应商须知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_Toc24108 \h </w:instrText>
          </w:r>
          <w:r>
            <w:rPr>
              <w:b/>
              <w:bCs/>
              <w:color w:val="auto"/>
              <w:sz w:val="24"/>
              <w:szCs w:val="24"/>
              <w:highlight w:val="none"/>
            </w:rPr>
            <w:fldChar w:fldCharType="separate"/>
          </w:r>
          <w:r>
            <w:rPr>
              <w:b/>
              <w:bCs/>
              <w:color w:val="auto"/>
              <w:sz w:val="24"/>
              <w:szCs w:val="24"/>
              <w:highlight w:val="none"/>
            </w:rPr>
            <w:t>8</w:t>
          </w:r>
          <w:r>
            <w:rPr>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bidi="zh-CN"/>
            </w:rPr>
            <w:fldChar w:fldCharType="end"/>
          </w:r>
        </w:p>
        <w:p w14:paraId="5749FA68">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600" w:lineRule="exact"/>
            <w:textAlignment w:val="auto"/>
            <w:rPr>
              <w:b/>
              <w:bCs/>
              <w:color w:val="auto"/>
              <w:sz w:val="24"/>
              <w:szCs w:val="24"/>
              <w:highlight w:val="none"/>
            </w:rPr>
          </w:pPr>
          <w:r>
            <w:rPr>
              <w:rFonts w:hint="eastAsia" w:ascii="宋体" w:hAnsi="宋体" w:eastAsia="宋体" w:cs="宋体"/>
              <w:b/>
              <w:bCs/>
              <w:color w:val="auto"/>
              <w:sz w:val="24"/>
              <w:szCs w:val="24"/>
              <w:highlight w:val="none"/>
              <w:lang w:val="en-US" w:eastAsia="zh-CN" w:bidi="zh-CN"/>
            </w:rPr>
            <w:fldChar w:fldCharType="begin"/>
          </w:r>
          <w:r>
            <w:rPr>
              <w:rFonts w:hint="eastAsia" w:ascii="宋体" w:hAnsi="宋体" w:eastAsia="宋体" w:cs="宋体"/>
              <w:b/>
              <w:bCs/>
              <w:color w:val="auto"/>
              <w:sz w:val="24"/>
              <w:szCs w:val="24"/>
              <w:highlight w:val="none"/>
              <w:lang w:val="en-US" w:eastAsia="zh-CN" w:bidi="zh-CN"/>
            </w:rPr>
            <w:instrText xml:space="preserve"> HYPERLINK \l _Toc22559 </w:instrText>
          </w:r>
          <w:r>
            <w:rPr>
              <w:rFonts w:hint="eastAsia" w:ascii="宋体" w:hAnsi="宋体" w:eastAsia="宋体" w:cs="宋体"/>
              <w:b/>
              <w:bCs/>
              <w:color w:val="auto"/>
              <w:sz w:val="24"/>
              <w:szCs w:val="24"/>
              <w:highlight w:val="none"/>
              <w:lang w:val="en-US" w:eastAsia="zh-CN" w:bidi="zh-CN"/>
            </w:rPr>
            <w:fldChar w:fldCharType="separate"/>
          </w:r>
          <w:r>
            <w:rPr>
              <w:rFonts w:hint="eastAsia" w:ascii="宋体" w:hAnsi="宋体" w:eastAsia="宋体" w:cs="宋体"/>
              <w:b/>
              <w:bCs/>
              <w:color w:val="auto"/>
              <w:sz w:val="24"/>
              <w:szCs w:val="24"/>
              <w:highlight w:val="none"/>
            </w:rPr>
            <w:t>第五部分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谈判文件格式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_Toc22559 \h </w:instrText>
          </w:r>
          <w:r>
            <w:rPr>
              <w:b/>
              <w:bCs/>
              <w:color w:val="auto"/>
              <w:sz w:val="24"/>
              <w:szCs w:val="24"/>
              <w:highlight w:val="none"/>
            </w:rPr>
            <w:fldChar w:fldCharType="separate"/>
          </w:r>
          <w:r>
            <w:rPr>
              <w:b/>
              <w:bCs/>
              <w:color w:val="auto"/>
              <w:sz w:val="24"/>
              <w:szCs w:val="24"/>
              <w:highlight w:val="none"/>
            </w:rPr>
            <w:t>18</w:t>
          </w:r>
          <w:r>
            <w:rPr>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bidi="zh-CN"/>
            </w:rPr>
            <w:fldChar w:fldCharType="end"/>
          </w:r>
        </w:p>
        <w:p w14:paraId="610B9244">
          <w:pPr>
            <w:pStyle w:val="2"/>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color w:val="auto"/>
              <w:sz w:val="22"/>
              <w:szCs w:val="22"/>
              <w:highlight w:val="none"/>
              <w:lang w:val="en-US" w:eastAsia="zh-CN" w:bidi="zh-CN"/>
            </w:rPr>
          </w:pPr>
          <w:r>
            <w:rPr>
              <w:rFonts w:hint="eastAsia" w:ascii="宋体" w:hAnsi="宋体" w:eastAsia="宋体" w:cs="宋体"/>
              <w:b/>
              <w:bCs/>
              <w:color w:val="auto"/>
              <w:sz w:val="24"/>
              <w:szCs w:val="24"/>
              <w:highlight w:val="none"/>
              <w:lang w:val="en-US" w:eastAsia="zh-CN" w:bidi="zh-CN"/>
            </w:rPr>
            <w:fldChar w:fldCharType="end"/>
          </w:r>
        </w:p>
      </w:sdtContent>
    </w:sdt>
    <w:p w14:paraId="15D76E11">
      <w:pPr>
        <w:pStyle w:val="2"/>
        <w:rPr>
          <w:rFonts w:hint="eastAsia" w:ascii="宋体" w:hAnsi="宋体" w:eastAsia="宋体" w:cs="宋体"/>
          <w:color w:val="auto"/>
          <w:sz w:val="22"/>
          <w:szCs w:val="22"/>
          <w:highlight w:val="none"/>
          <w:lang w:val="en-US" w:eastAsia="zh-CN" w:bidi="zh-CN"/>
        </w:rPr>
      </w:pPr>
    </w:p>
    <w:p w14:paraId="52CC61F9">
      <w:pP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br w:type="page"/>
      </w:r>
    </w:p>
    <w:p w14:paraId="79C3BC29">
      <w:pPr>
        <w:pStyle w:val="5"/>
        <w:keepNext w:val="0"/>
        <w:keepLines w:val="0"/>
        <w:pageBreakBefore w:val="0"/>
        <w:widowControl w:val="0"/>
        <w:numPr>
          <w:ilvl w:val="0"/>
          <w:numId w:val="0"/>
        </w:numPr>
        <w:tabs>
          <w:tab w:val="left" w:pos="1607"/>
        </w:tabs>
        <w:kinsoku/>
        <w:wordWrap/>
        <w:overflowPunct/>
        <w:topLinePunct w:val="0"/>
        <w:bidi w:val="0"/>
        <w:spacing w:before="100" w:line="520" w:lineRule="exact"/>
        <w:ind w:right="394" w:rightChars="0"/>
        <w:jc w:val="center"/>
        <w:textAlignment w:val="auto"/>
        <w:outlineLvl w:val="1"/>
        <w:rPr>
          <w:rFonts w:hint="eastAsia" w:ascii="宋体" w:hAnsi="宋体" w:eastAsia="宋体" w:cs="宋体"/>
          <w:color w:val="auto"/>
          <w:sz w:val="32"/>
          <w:szCs w:val="32"/>
          <w:highlight w:val="none"/>
        </w:rPr>
      </w:pPr>
      <w:bookmarkStart w:id="0" w:name="第一部分__谈判采购邀请函"/>
      <w:bookmarkEnd w:id="0"/>
      <w:bookmarkStart w:id="1" w:name="_bookmark0"/>
      <w:bookmarkEnd w:id="1"/>
      <w:bookmarkStart w:id="2" w:name="_Toc1805"/>
      <w:bookmarkStart w:id="3" w:name="_Toc168"/>
      <w:r>
        <w:rPr>
          <w:rFonts w:hint="eastAsia" w:ascii="宋体" w:hAnsi="宋体" w:eastAsia="宋体" w:cs="宋体"/>
          <w:color w:val="auto"/>
          <w:sz w:val="32"/>
          <w:szCs w:val="32"/>
          <w:highlight w:val="none"/>
          <w:lang w:val="en-US" w:eastAsia="zh-CN"/>
        </w:rPr>
        <w:t xml:space="preserve">第一部分 </w:t>
      </w:r>
      <w:r>
        <w:rPr>
          <w:rFonts w:hint="eastAsia" w:ascii="宋体" w:hAnsi="宋体" w:eastAsia="宋体" w:cs="宋体"/>
          <w:color w:val="auto"/>
          <w:sz w:val="32"/>
          <w:szCs w:val="32"/>
          <w:highlight w:val="none"/>
        </w:rPr>
        <w:t>谈判采购邀请函</w:t>
      </w:r>
      <w:bookmarkEnd w:id="2"/>
      <w:bookmarkEnd w:id="3"/>
    </w:p>
    <w:p w14:paraId="039009C5">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宋体" w:hAnsi="宋体" w:eastAsia="宋体" w:cs="宋体"/>
          <w:i w:val="0"/>
          <w:iCs w:val="0"/>
          <w:color w:val="auto"/>
          <w:sz w:val="24"/>
          <w:szCs w:val="24"/>
          <w:highlight w:val="none"/>
          <w:lang w:val="en-US" w:eastAsia="zh-CN"/>
        </w:rPr>
      </w:pPr>
      <w:bookmarkStart w:id="4" w:name="OLE_LINK2"/>
      <w:bookmarkStart w:id="5" w:name="OLE_LINK1"/>
      <w:r>
        <w:rPr>
          <w:rFonts w:hint="eastAsia" w:ascii="宋体" w:hAnsi="宋体" w:eastAsia="宋体" w:cs="宋体"/>
          <w:i w:val="0"/>
          <w:iCs w:val="0"/>
          <w:color w:val="auto"/>
          <w:sz w:val="24"/>
          <w:szCs w:val="24"/>
          <w:highlight w:val="none"/>
          <w:lang w:val="en-US" w:eastAsia="zh-CN"/>
        </w:rPr>
        <w:t>项目概况</w:t>
      </w:r>
    </w:p>
    <w:p w14:paraId="4226705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val="en-US" w:eastAsia="zh-CN"/>
        </w:rPr>
        <w:t>2025年扶沟县曹里乡畜禽养殖及蔬菜大棚产业发展融合项目招标项目的潜在投标人应在周口市公共资源交易中心网（http://jyzx.zhoukou.gov.cn）获取招标文件，并于2025年</w:t>
      </w:r>
      <w:r>
        <w:rPr>
          <w:rFonts w:hint="eastAsia" w:cs="宋体"/>
          <w:i w:val="0"/>
          <w:iCs w:val="0"/>
          <w:color w:val="auto"/>
          <w:sz w:val="24"/>
          <w:szCs w:val="24"/>
          <w:highlight w:val="none"/>
          <w:lang w:val="en-US" w:eastAsia="zh-CN"/>
        </w:rPr>
        <w:t xml:space="preserve"> 7</w:t>
      </w:r>
      <w:r>
        <w:rPr>
          <w:rFonts w:hint="eastAsia" w:ascii="宋体" w:hAnsi="宋体" w:eastAsia="宋体" w:cs="宋体"/>
          <w:i w:val="0"/>
          <w:iCs w:val="0"/>
          <w:color w:val="auto"/>
          <w:sz w:val="24"/>
          <w:szCs w:val="24"/>
          <w:highlight w:val="none"/>
          <w:lang w:val="en-US" w:eastAsia="zh-CN"/>
        </w:rPr>
        <w:t>月</w:t>
      </w:r>
      <w:r>
        <w:rPr>
          <w:rFonts w:hint="eastAsia" w:cs="宋体"/>
          <w:i w:val="0"/>
          <w:iCs w:val="0"/>
          <w:color w:val="auto"/>
          <w:sz w:val="24"/>
          <w:szCs w:val="24"/>
          <w:highlight w:val="none"/>
          <w:lang w:val="en-US" w:eastAsia="zh-CN"/>
        </w:rPr>
        <w:t>16</w:t>
      </w:r>
      <w:r>
        <w:rPr>
          <w:rFonts w:hint="eastAsia" w:ascii="宋体" w:hAnsi="宋体" w:eastAsia="宋体" w:cs="宋体"/>
          <w:i w:val="0"/>
          <w:iCs w:val="0"/>
          <w:color w:val="auto"/>
          <w:sz w:val="24"/>
          <w:szCs w:val="24"/>
          <w:highlight w:val="none"/>
          <w:lang w:val="en-US" w:eastAsia="zh-CN"/>
        </w:rPr>
        <w:t>日10点00分（北京时间）前递交投标文件。</w:t>
      </w:r>
    </w:p>
    <w:p w14:paraId="04A46830">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outlineLvl w:val="9"/>
        <w:rPr>
          <w:rFonts w:hint="eastAsia" w:ascii="宋体" w:hAnsi="宋体" w:eastAsia="宋体" w:cs="宋体"/>
          <w:b w:val="0"/>
          <w:color w:val="auto"/>
          <w:sz w:val="24"/>
          <w:szCs w:val="24"/>
          <w:highlight w:val="none"/>
        </w:rPr>
      </w:pPr>
      <w:bookmarkStart w:id="6" w:name="_Toc35393629"/>
      <w:bookmarkStart w:id="7" w:name="_Toc28359089"/>
      <w:bookmarkStart w:id="8" w:name="_Toc28359012"/>
      <w:bookmarkStart w:id="9" w:name="_Toc35393798"/>
      <w:r>
        <w:rPr>
          <w:rFonts w:hint="eastAsia" w:ascii="宋体" w:hAnsi="宋体" w:eastAsia="宋体" w:cs="宋体"/>
          <w:b w:val="0"/>
          <w:color w:val="auto"/>
          <w:sz w:val="24"/>
          <w:szCs w:val="24"/>
          <w:highlight w:val="none"/>
        </w:rPr>
        <w:t>一、项目基本情况</w:t>
      </w:r>
      <w:bookmarkEnd w:id="6"/>
      <w:bookmarkEnd w:id="7"/>
      <w:bookmarkEnd w:id="8"/>
      <w:bookmarkEnd w:id="9"/>
    </w:p>
    <w:p w14:paraId="6E4935FF">
      <w:pPr>
        <w:keepNext w:val="0"/>
        <w:keepLines w:val="0"/>
        <w:pageBreakBefore w:val="0"/>
        <w:widowControl w:val="0"/>
        <w:kinsoku/>
        <w:wordWrap/>
        <w:overflowPunct/>
        <w:topLinePunct w:val="0"/>
        <w:autoSpaceDE w:val="0"/>
        <w:autoSpaceDN w:val="0"/>
        <w:bidi w:val="0"/>
        <w:adjustRightInd/>
        <w:snapToGrid/>
        <w:spacing w:line="520" w:lineRule="exact"/>
        <w:ind w:firstLine="240" w:firstLineChars="100"/>
        <w:textAlignment w:val="auto"/>
        <w:outlineLvl w:val="9"/>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扶</w:t>
      </w:r>
      <w:r>
        <w:rPr>
          <w:rFonts w:hint="eastAsia" w:ascii="宋体" w:hAnsi="宋体" w:eastAsia="宋体" w:cs="宋体"/>
          <w:i w:val="0"/>
          <w:iCs w:val="0"/>
          <w:color w:val="auto"/>
          <w:sz w:val="24"/>
          <w:szCs w:val="24"/>
          <w:highlight w:val="none"/>
        </w:rPr>
        <w:t>财竞谈</w:t>
      </w:r>
      <w:r>
        <w:rPr>
          <w:rFonts w:hint="eastAsia" w:ascii="宋体" w:hAnsi="宋体" w:eastAsia="宋体" w:cs="宋体"/>
          <w:i w:val="0"/>
          <w:iCs w:val="0"/>
          <w:color w:val="auto"/>
          <w:sz w:val="24"/>
          <w:szCs w:val="24"/>
          <w:highlight w:val="none"/>
          <w:lang w:val="en-US" w:eastAsia="zh-CN"/>
        </w:rPr>
        <w:t>-2025-</w:t>
      </w:r>
      <w:r>
        <w:rPr>
          <w:rFonts w:hint="eastAsia" w:cs="宋体"/>
          <w:i w:val="0"/>
          <w:iCs w:val="0"/>
          <w:color w:val="auto"/>
          <w:sz w:val="24"/>
          <w:szCs w:val="24"/>
          <w:highlight w:val="none"/>
          <w:lang w:val="en-US" w:eastAsia="zh-CN"/>
        </w:rPr>
        <w:t>20</w:t>
      </w:r>
    </w:p>
    <w:p w14:paraId="0D72133D">
      <w:pPr>
        <w:keepNext w:val="0"/>
        <w:keepLines w:val="0"/>
        <w:pageBreakBefore w:val="0"/>
        <w:widowControl w:val="0"/>
        <w:kinsoku/>
        <w:wordWrap/>
        <w:overflowPunct/>
        <w:topLinePunct w:val="0"/>
        <w:autoSpaceDE w:val="0"/>
        <w:autoSpaceDN w:val="0"/>
        <w:bidi w:val="0"/>
        <w:adjustRightInd/>
        <w:snapToGrid/>
        <w:spacing w:line="520" w:lineRule="exact"/>
        <w:ind w:left="1680" w:leftChars="109" w:hanging="1440" w:hangingChars="600"/>
        <w:textAlignment w:val="auto"/>
        <w:outlineLvl w:val="9"/>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项目名称：2025年扶沟县曹里乡畜禽养殖及蔬菜大棚产业发展融合项目</w:t>
      </w:r>
    </w:p>
    <w:p w14:paraId="3F481933">
      <w:pPr>
        <w:keepNext w:val="0"/>
        <w:keepLines w:val="0"/>
        <w:pageBreakBefore w:val="0"/>
        <w:widowControl w:val="0"/>
        <w:kinsoku/>
        <w:wordWrap/>
        <w:overflowPunct/>
        <w:topLinePunct w:val="0"/>
        <w:autoSpaceDE w:val="0"/>
        <w:autoSpaceDN w:val="0"/>
        <w:bidi w:val="0"/>
        <w:adjustRightInd/>
        <w:snapToGrid/>
        <w:spacing w:line="520" w:lineRule="exact"/>
        <w:ind w:firstLine="240" w:firstLineChars="1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采购方式：竞争性谈判</w:t>
      </w:r>
    </w:p>
    <w:p w14:paraId="457684EC">
      <w:pPr>
        <w:keepNext w:val="0"/>
        <w:keepLines w:val="0"/>
        <w:pageBreakBefore w:val="0"/>
        <w:widowControl w:val="0"/>
        <w:kinsoku/>
        <w:wordWrap/>
        <w:overflowPunct/>
        <w:topLinePunct w:val="0"/>
        <w:autoSpaceDE w:val="0"/>
        <w:autoSpaceDN w:val="0"/>
        <w:bidi w:val="0"/>
        <w:adjustRightInd/>
        <w:snapToGrid/>
        <w:spacing w:line="520" w:lineRule="exact"/>
        <w:ind w:firstLine="240" w:firstLineChars="100"/>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预算金额：3503680.17元</w:t>
      </w:r>
    </w:p>
    <w:p w14:paraId="57E7612D">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最高限价：3503680.17元</w:t>
      </w:r>
    </w:p>
    <w:tbl>
      <w:tblPr>
        <w:tblStyle w:val="20"/>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95"/>
        <w:gridCol w:w="1980"/>
        <w:gridCol w:w="1275"/>
        <w:gridCol w:w="1320"/>
        <w:gridCol w:w="1380"/>
        <w:gridCol w:w="1169"/>
      </w:tblGrid>
      <w:tr w14:paraId="514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60" w:type="dxa"/>
            <w:vAlign w:val="center"/>
          </w:tcPr>
          <w:p w14:paraId="6EADF1E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lang w:val="en-US" w:eastAsia="zh-CN"/>
              </w:rPr>
              <w:t>序号</w:t>
            </w:r>
          </w:p>
        </w:tc>
        <w:tc>
          <w:tcPr>
            <w:tcW w:w="795" w:type="dxa"/>
            <w:vAlign w:val="center"/>
          </w:tcPr>
          <w:p w14:paraId="2DF5BC9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default" w:eastAsia="宋体"/>
                <w:color w:val="auto"/>
                <w:sz w:val="24"/>
                <w:szCs w:val="24"/>
                <w:highlight w:val="none"/>
                <w:lang w:val="en-US" w:eastAsia="zh-CN"/>
              </w:rPr>
            </w:pPr>
            <w:r>
              <w:rPr>
                <w:rFonts w:hint="eastAsia"/>
                <w:color w:val="auto"/>
                <w:sz w:val="24"/>
                <w:szCs w:val="24"/>
                <w:highlight w:val="none"/>
                <w:lang w:val="en-US" w:eastAsia="zh-CN"/>
              </w:rPr>
              <w:t>包号</w:t>
            </w:r>
          </w:p>
        </w:tc>
        <w:tc>
          <w:tcPr>
            <w:tcW w:w="1980" w:type="dxa"/>
            <w:vAlign w:val="center"/>
          </w:tcPr>
          <w:p w14:paraId="4AA6382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包名称</w:t>
            </w:r>
          </w:p>
        </w:tc>
        <w:tc>
          <w:tcPr>
            <w:tcW w:w="1275" w:type="dxa"/>
            <w:vAlign w:val="center"/>
          </w:tcPr>
          <w:p w14:paraId="217E43C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包预算（元）</w:t>
            </w:r>
          </w:p>
        </w:tc>
        <w:tc>
          <w:tcPr>
            <w:tcW w:w="1320" w:type="dxa"/>
            <w:vAlign w:val="center"/>
          </w:tcPr>
          <w:p w14:paraId="5DD1A71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包最高限价（元）</w:t>
            </w:r>
          </w:p>
        </w:tc>
        <w:tc>
          <w:tcPr>
            <w:tcW w:w="1380" w:type="dxa"/>
            <w:vAlign w:val="center"/>
          </w:tcPr>
          <w:p w14:paraId="472C3BA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是否专门面向中小企业</w:t>
            </w:r>
          </w:p>
        </w:tc>
        <w:tc>
          <w:tcPr>
            <w:tcW w:w="1169" w:type="dxa"/>
            <w:vAlign w:val="center"/>
          </w:tcPr>
          <w:p w14:paraId="6BDF875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采购预留金额（元）</w:t>
            </w:r>
          </w:p>
        </w:tc>
      </w:tr>
      <w:tr w14:paraId="6CA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14:paraId="11DAD77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color w:val="auto"/>
                <w:sz w:val="24"/>
                <w:szCs w:val="24"/>
                <w:highlight w:val="none"/>
              </w:rPr>
              <w:t>1</w:t>
            </w:r>
          </w:p>
        </w:tc>
        <w:tc>
          <w:tcPr>
            <w:tcW w:w="795" w:type="dxa"/>
            <w:vAlign w:val="center"/>
          </w:tcPr>
          <w:p w14:paraId="60B744B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980" w:type="dxa"/>
            <w:vAlign w:val="center"/>
          </w:tcPr>
          <w:p w14:paraId="6D65E76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2025年扶沟县曹里乡畜禽养殖 及蔬菜大棚产业发展融合项目</w:t>
            </w:r>
          </w:p>
        </w:tc>
        <w:tc>
          <w:tcPr>
            <w:tcW w:w="1275" w:type="dxa"/>
            <w:vAlign w:val="center"/>
          </w:tcPr>
          <w:p w14:paraId="698516F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ascii="宋体" w:hAnsi="宋体" w:eastAsia="宋体" w:cs="宋体"/>
                <w:i w:val="0"/>
                <w:iCs w:val="0"/>
                <w:color w:val="auto"/>
                <w:sz w:val="24"/>
                <w:szCs w:val="24"/>
                <w:highlight w:val="none"/>
              </w:rPr>
              <w:t>3503680.17元</w:t>
            </w:r>
          </w:p>
        </w:tc>
        <w:tc>
          <w:tcPr>
            <w:tcW w:w="1320" w:type="dxa"/>
            <w:vAlign w:val="center"/>
          </w:tcPr>
          <w:p w14:paraId="283817F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ascii="宋体" w:hAnsi="宋体" w:eastAsia="宋体" w:cs="宋体"/>
                <w:i w:val="0"/>
                <w:iCs w:val="0"/>
                <w:color w:val="auto"/>
                <w:sz w:val="24"/>
                <w:szCs w:val="24"/>
                <w:highlight w:val="none"/>
              </w:rPr>
              <w:t>3503680.17元</w:t>
            </w:r>
          </w:p>
        </w:tc>
        <w:tc>
          <w:tcPr>
            <w:tcW w:w="1380" w:type="dxa"/>
            <w:vAlign w:val="center"/>
          </w:tcPr>
          <w:p w14:paraId="6343770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default" w:eastAsia="宋体"/>
                <w:color w:val="auto"/>
                <w:sz w:val="24"/>
                <w:szCs w:val="24"/>
                <w:highlight w:val="none"/>
                <w:lang w:val="en-US" w:eastAsia="zh-CN"/>
              </w:rPr>
            </w:pPr>
            <w:r>
              <w:rPr>
                <w:rFonts w:hint="eastAsia"/>
                <w:color w:val="auto"/>
                <w:sz w:val="24"/>
                <w:szCs w:val="24"/>
                <w:highlight w:val="none"/>
                <w:lang w:val="en-US" w:eastAsia="zh-CN"/>
              </w:rPr>
              <w:t>是</w:t>
            </w:r>
          </w:p>
        </w:tc>
        <w:tc>
          <w:tcPr>
            <w:tcW w:w="1169" w:type="dxa"/>
            <w:vAlign w:val="center"/>
          </w:tcPr>
          <w:p w14:paraId="7102746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color w:val="auto"/>
                <w:sz w:val="24"/>
                <w:szCs w:val="24"/>
                <w:highlight w:val="none"/>
              </w:rPr>
            </w:pPr>
            <w:r>
              <w:rPr>
                <w:rFonts w:hint="eastAsia" w:ascii="宋体" w:hAnsi="宋体" w:eastAsia="宋体" w:cs="宋体"/>
                <w:i w:val="0"/>
                <w:iCs w:val="0"/>
                <w:color w:val="auto"/>
                <w:sz w:val="24"/>
                <w:szCs w:val="24"/>
                <w:highlight w:val="none"/>
              </w:rPr>
              <w:t>3503680.17元</w:t>
            </w:r>
          </w:p>
        </w:tc>
      </w:tr>
    </w:tbl>
    <w:p w14:paraId="07360538">
      <w:pPr>
        <w:keepNext w:val="0"/>
        <w:keepLines w:val="0"/>
        <w:pageBreakBefore w:val="0"/>
        <w:widowControl w:val="0"/>
        <w:kinsoku/>
        <w:wordWrap/>
        <w:overflowPunct/>
        <w:topLinePunct w:val="0"/>
        <w:autoSpaceDE w:val="0"/>
        <w:autoSpaceDN w:val="0"/>
        <w:bidi w:val="0"/>
        <w:adjustRightInd/>
        <w:snapToGrid/>
        <w:spacing w:line="480" w:lineRule="exact"/>
        <w:ind w:firstLine="240" w:firstLineChars="100"/>
        <w:textAlignment w:val="auto"/>
        <w:outlineLvl w:val="9"/>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采购需求：（包括但不限于标的的名称、数量、简要技术需求或服务要求等）</w:t>
      </w:r>
      <w:r>
        <w:rPr>
          <w:rFonts w:hint="eastAsia" w:ascii="宋体" w:hAnsi="宋体" w:eastAsia="宋体" w:cs="宋体"/>
          <w:i w:val="0"/>
          <w:iCs w:val="0"/>
          <w:color w:val="auto"/>
          <w:sz w:val="24"/>
          <w:szCs w:val="24"/>
          <w:highlight w:val="none"/>
          <w:lang w:val="en-US" w:eastAsia="zh-CN"/>
        </w:rPr>
        <w:t>详见谈判文件</w:t>
      </w:r>
    </w:p>
    <w:p w14:paraId="7A753316">
      <w:pPr>
        <w:keepNext w:val="0"/>
        <w:keepLines w:val="0"/>
        <w:pageBreakBefore w:val="0"/>
        <w:widowControl w:val="0"/>
        <w:kinsoku/>
        <w:wordWrap/>
        <w:overflowPunct/>
        <w:topLinePunct w:val="0"/>
        <w:autoSpaceDE w:val="0"/>
        <w:autoSpaceDN w:val="0"/>
        <w:bidi w:val="0"/>
        <w:adjustRightInd/>
        <w:snapToGrid/>
        <w:spacing w:line="480" w:lineRule="exact"/>
        <w:ind w:firstLine="240" w:firstLineChars="10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6、</w:t>
      </w:r>
      <w:r>
        <w:rPr>
          <w:rFonts w:hint="eastAsia" w:ascii="宋体" w:hAnsi="宋体" w:eastAsia="宋体" w:cs="宋体"/>
          <w:i w:val="0"/>
          <w:iCs w:val="0"/>
          <w:color w:val="auto"/>
          <w:sz w:val="24"/>
          <w:szCs w:val="24"/>
          <w:highlight w:val="none"/>
        </w:rPr>
        <w:t>合同履行期限：合同签订后</w:t>
      </w:r>
      <w:r>
        <w:rPr>
          <w:rFonts w:hint="eastAsia" w:cs="宋体"/>
          <w:i w:val="0"/>
          <w:iCs w:val="0"/>
          <w:color w:val="auto"/>
          <w:sz w:val="24"/>
          <w:szCs w:val="24"/>
          <w:highlight w:val="none"/>
          <w:lang w:val="en-US" w:eastAsia="zh-CN"/>
        </w:rPr>
        <w:t>60</w:t>
      </w:r>
      <w:r>
        <w:rPr>
          <w:rFonts w:hint="eastAsia" w:ascii="宋体" w:hAnsi="宋体" w:eastAsia="宋体" w:cs="宋体"/>
          <w:i w:val="0"/>
          <w:iCs w:val="0"/>
          <w:color w:val="auto"/>
          <w:sz w:val="24"/>
          <w:szCs w:val="24"/>
          <w:highlight w:val="none"/>
        </w:rPr>
        <w:t>日历天</w:t>
      </w:r>
    </w:p>
    <w:p w14:paraId="4F160E2C">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i w:val="0"/>
          <w:iCs w:val="0"/>
          <w:color w:val="auto"/>
          <w:sz w:val="24"/>
          <w:szCs w:val="24"/>
          <w:highlight w:val="none"/>
          <w:lang w:val="en-US" w:eastAsia="zh-CN"/>
        </w:rPr>
      </w:pPr>
      <w:bookmarkStart w:id="10" w:name="_Toc28359013"/>
      <w:bookmarkStart w:id="11" w:name="_Toc28359090"/>
      <w:bookmarkStart w:id="12" w:name="_Toc35393630"/>
      <w:bookmarkStart w:id="13" w:name="_Toc35393799"/>
      <w:r>
        <w:rPr>
          <w:rFonts w:hint="eastAsia" w:ascii="宋体" w:hAnsi="宋体" w:eastAsia="宋体"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是否接受进口产品：否</w:t>
      </w:r>
    </w:p>
    <w:p w14:paraId="1FE902A8">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rPr>
        <w:t>本项目是否接受联合体投标</w:t>
      </w:r>
      <w:r>
        <w:rPr>
          <w:rFonts w:hint="eastAsia" w:ascii="宋体" w:hAnsi="宋体" w:eastAsia="宋体" w:cs="宋体"/>
          <w:i w:val="0"/>
          <w:iCs w:val="0"/>
          <w:color w:val="auto"/>
          <w:sz w:val="24"/>
          <w:szCs w:val="24"/>
          <w:highlight w:val="none"/>
          <w:lang w:eastAsia="zh-CN"/>
        </w:rPr>
        <w:t>：否</w:t>
      </w:r>
    </w:p>
    <w:p w14:paraId="31A3A424">
      <w:pPr>
        <w:keepNext w:val="0"/>
        <w:keepLines w:val="0"/>
        <w:pageBreakBefore w:val="0"/>
        <w:widowControl w:val="0"/>
        <w:kinsoku/>
        <w:wordWrap/>
        <w:overflowPunct/>
        <w:topLinePunct w:val="0"/>
        <w:autoSpaceDE/>
        <w:autoSpaceDN/>
        <w:bidi w:val="0"/>
        <w:adjustRightInd/>
        <w:snapToGrid/>
        <w:spacing w:line="480" w:lineRule="exact"/>
        <w:ind w:firstLine="240" w:firstLineChars="1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i w:val="0"/>
          <w:iCs w:val="0"/>
          <w:color w:val="auto"/>
          <w:sz w:val="24"/>
          <w:szCs w:val="24"/>
          <w:highlight w:val="none"/>
          <w:lang w:val="en-US" w:eastAsia="zh-CN"/>
        </w:rPr>
        <w:t>9、是否专门面向中小企业：是</w:t>
      </w:r>
    </w:p>
    <w:p w14:paraId="7CCB923A">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二、申请人的资格要求：</w:t>
      </w:r>
      <w:bookmarkEnd w:id="10"/>
      <w:bookmarkEnd w:id="11"/>
      <w:bookmarkEnd w:id="12"/>
      <w:bookmarkEnd w:id="13"/>
    </w:p>
    <w:p w14:paraId="672CB470">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100A6BB5">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424B5E">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91C5B64">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25BE19D">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CC282CE">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0A2B41A4">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（6）法律、行政法规规定的其他条件。</w:t>
      </w:r>
    </w:p>
    <w:p w14:paraId="47CD20AD">
      <w:pPr>
        <w:keepNext w:val="0"/>
        <w:keepLines w:val="0"/>
        <w:pageBreakBefore w:val="0"/>
        <w:widowControl w:val="0"/>
        <w:kinsoku/>
        <w:wordWrap/>
        <w:overflowPunct/>
        <w:topLinePunct w:val="0"/>
        <w:autoSpaceDE w:val="0"/>
        <w:autoSpaceDN w:val="0"/>
        <w:bidi w:val="0"/>
        <w:adjustRightInd/>
        <w:snapToGrid/>
        <w:spacing w:line="480" w:lineRule="exact"/>
        <w:ind w:firstLine="540"/>
        <w:textAlignment w:val="auto"/>
        <w:outlineLvl w:val="9"/>
        <w:rPr>
          <w:rFonts w:hint="eastAsia" w:ascii="宋体" w:hAnsi="宋体" w:eastAsia="宋体" w:cs="宋体"/>
          <w:i w:val="0"/>
          <w:iCs w:val="0"/>
          <w:color w:val="auto"/>
          <w:sz w:val="24"/>
          <w:szCs w:val="24"/>
          <w:highlight w:val="none"/>
        </w:rPr>
      </w:pPr>
      <w:bookmarkStart w:id="14" w:name="_Toc28359014"/>
      <w:bookmarkStart w:id="15" w:name="_Toc28359091"/>
      <w:r>
        <w:rPr>
          <w:rFonts w:hint="eastAsia" w:ascii="宋体" w:hAnsi="宋体" w:eastAsia="宋体" w:cs="宋体"/>
          <w:i w:val="0"/>
          <w:iCs w:val="0"/>
          <w:color w:val="auto"/>
          <w:sz w:val="24"/>
          <w:szCs w:val="24"/>
          <w:highlight w:val="none"/>
        </w:rPr>
        <w:t>2.落实政府采购政策需满足的资格要求：促进中小企业和监狱企业发展扶持政策、政府强制采购节能产品强制采购、节能产品及环境标志产品优先采购、促进残疾人就业政府采购政策。</w:t>
      </w:r>
    </w:p>
    <w:p w14:paraId="110B55C5">
      <w:pPr>
        <w:keepNext w:val="0"/>
        <w:keepLines w:val="0"/>
        <w:pageBreakBefore w:val="0"/>
        <w:widowControl w:val="0"/>
        <w:kinsoku/>
        <w:wordWrap/>
        <w:overflowPunct/>
        <w:topLinePunct w:val="0"/>
        <w:autoSpaceDE w:val="0"/>
        <w:autoSpaceDN w:val="0"/>
        <w:bidi w:val="0"/>
        <w:adjustRightInd/>
        <w:snapToGrid/>
        <w:spacing w:line="480" w:lineRule="exact"/>
        <w:ind w:firstLine="54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3.本项目的特定资格要求：</w:t>
      </w:r>
    </w:p>
    <w:p w14:paraId="64FB50FA">
      <w:pPr>
        <w:keepNext w:val="0"/>
        <w:keepLines w:val="0"/>
        <w:pageBreakBefore w:val="0"/>
        <w:widowControl w:val="0"/>
        <w:kinsoku/>
        <w:wordWrap/>
        <w:overflowPunct/>
        <w:topLinePunct w:val="0"/>
        <w:autoSpaceDE w:val="0"/>
        <w:autoSpaceDN w:val="0"/>
        <w:bidi w:val="0"/>
        <w:adjustRightInd/>
        <w:snapToGrid/>
        <w:spacing w:line="480" w:lineRule="exact"/>
        <w:ind w:firstLine="540"/>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HYPERLINK "http://www.creditchina.gov.cn/"</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www.creditchina.gov.cn</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）的“失信被执行人”、“</w:t>
      </w:r>
      <w:r>
        <w:rPr>
          <w:rFonts w:hint="eastAsia" w:ascii="宋体" w:hAnsi="宋体" w:eastAsia="宋体" w:cs="宋体"/>
          <w:i w:val="0"/>
          <w:iCs w:val="0"/>
          <w:color w:val="auto"/>
          <w:sz w:val="24"/>
          <w:szCs w:val="24"/>
          <w:highlight w:val="none"/>
          <w:lang w:val="en-US" w:eastAsia="zh-CN"/>
        </w:rPr>
        <w:t>重大税收违法失信主体</w:t>
      </w:r>
      <w:r>
        <w:rPr>
          <w:rFonts w:hint="eastAsia" w:ascii="宋体" w:hAnsi="宋体" w:eastAsia="宋体" w:cs="宋体"/>
          <w:i w:val="0"/>
          <w:iCs w:val="0"/>
          <w:color w:val="auto"/>
          <w:sz w:val="24"/>
          <w:szCs w:val="24"/>
          <w:highlight w:val="none"/>
        </w:rPr>
        <w:t>”和“中国政府采购”网站(</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HYPERLINK "http://www.ccgp.gov.cn/"</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www.ccgp.gov.cn</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t>)的“政府采购严重违法失信行为记录名单”的供应商，将拒绝其参加政府采购活动；在标书中附加盖公章的网页查询扫描件，</w:t>
      </w:r>
      <w:r>
        <w:rPr>
          <w:rFonts w:hint="eastAsia" w:ascii="宋体" w:hAnsi="宋体" w:eastAsia="宋体" w:cs="宋体"/>
          <w:i w:val="0"/>
          <w:iCs w:val="0"/>
          <w:color w:val="auto"/>
          <w:sz w:val="24"/>
          <w:szCs w:val="24"/>
        </w:rPr>
        <w:t>查询日期为公告发布之日起至投标截止之日止。</w:t>
      </w:r>
    </w:p>
    <w:p w14:paraId="6347AB5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9"/>
        <w:rPr>
          <w:rFonts w:hint="eastAsia" w:ascii="宋体" w:hAnsi="宋体" w:eastAsia="宋体" w:cs="宋体"/>
          <w:i w:val="0"/>
          <w:iCs w:val="0"/>
          <w:color w:val="auto"/>
          <w:sz w:val="24"/>
          <w:szCs w:val="24"/>
          <w:highlight w:val="none"/>
          <w:lang w:val="en-US" w:eastAsia="zh-CN"/>
        </w:rPr>
      </w:pPr>
      <w:bookmarkStart w:id="16" w:name="_Toc35393631"/>
      <w:bookmarkStart w:id="17" w:name="_Toc35393800"/>
      <w:r>
        <w:rPr>
          <w:rFonts w:hint="eastAsia" w:ascii="宋体" w:hAnsi="宋体" w:eastAsia="宋体" w:cs="宋体"/>
          <w:i w:val="0"/>
          <w:iCs w:val="0"/>
          <w:color w:val="auto"/>
          <w:sz w:val="24"/>
          <w:szCs w:val="24"/>
          <w:highlight w:val="none"/>
          <w:lang w:val="en-US" w:eastAsia="zh-CN"/>
        </w:rPr>
        <w:t>（2）供应商须具备建筑工程施工总承包叁级及以上资质，具有有效的安全生产许可证；其中，拟派项目经理具备建筑工程专业贰级及以上注册建造师证书，且具有有效的安全生产考核合格证书，并未担任其他在建工程的项目经理。</w:t>
      </w:r>
    </w:p>
    <w:p w14:paraId="555B992C">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4"/>
      <w:bookmarkEnd w:id="15"/>
      <w:bookmarkEnd w:id="16"/>
      <w:bookmarkEnd w:id="17"/>
    </w:p>
    <w:p w14:paraId="16D7DC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时间：2025年</w:t>
      </w:r>
      <w:r>
        <w:rPr>
          <w:rFonts w:hint="eastAsia" w:cs="宋体"/>
          <w:i w:val="0"/>
          <w:iCs w:val="0"/>
          <w:color w:val="auto"/>
          <w:sz w:val="24"/>
          <w:szCs w:val="24"/>
          <w:highlight w:val="none"/>
          <w:lang w:val="en-US" w:eastAsia="zh-CN"/>
        </w:rPr>
        <w:t xml:space="preserve"> 7</w:t>
      </w:r>
      <w:r>
        <w:rPr>
          <w:rFonts w:hint="eastAsia" w:ascii="宋体" w:hAnsi="宋体" w:eastAsia="宋体" w:cs="宋体"/>
          <w:i w:val="0"/>
          <w:iCs w:val="0"/>
          <w:color w:val="auto"/>
          <w:sz w:val="24"/>
          <w:szCs w:val="24"/>
          <w:highlight w:val="none"/>
        </w:rPr>
        <w:t>月</w:t>
      </w:r>
      <w:r>
        <w:rPr>
          <w:rFonts w:hint="eastAsia" w:cs="宋体"/>
          <w:i w:val="0"/>
          <w:iCs w:val="0"/>
          <w:color w:val="auto"/>
          <w:sz w:val="24"/>
          <w:szCs w:val="24"/>
          <w:highlight w:val="none"/>
          <w:lang w:val="en-US" w:eastAsia="zh-CN"/>
        </w:rPr>
        <w:t>9</w:t>
      </w:r>
      <w:r>
        <w:rPr>
          <w:rFonts w:hint="eastAsia" w:ascii="宋体" w:hAnsi="宋体" w:eastAsia="宋体" w:cs="宋体"/>
          <w:i w:val="0"/>
          <w:iCs w:val="0"/>
          <w:color w:val="auto"/>
          <w:sz w:val="24"/>
          <w:szCs w:val="24"/>
          <w:highlight w:val="none"/>
        </w:rPr>
        <w:t>日至2025年</w:t>
      </w:r>
      <w:r>
        <w:rPr>
          <w:rFonts w:hint="eastAsia" w:cs="宋体"/>
          <w:i w:val="0"/>
          <w:iCs w:val="0"/>
          <w:color w:val="auto"/>
          <w:sz w:val="24"/>
          <w:szCs w:val="24"/>
          <w:highlight w:val="none"/>
          <w:lang w:val="en-US" w:eastAsia="zh-CN"/>
        </w:rPr>
        <w:t>7</w:t>
      </w:r>
      <w:r>
        <w:rPr>
          <w:rFonts w:hint="eastAsia" w:ascii="宋体" w:hAnsi="宋体" w:eastAsia="宋体" w:cs="宋体"/>
          <w:i w:val="0"/>
          <w:iCs w:val="0"/>
          <w:color w:val="auto"/>
          <w:sz w:val="24"/>
          <w:szCs w:val="24"/>
          <w:highlight w:val="none"/>
        </w:rPr>
        <w:t>月</w:t>
      </w:r>
      <w:r>
        <w:rPr>
          <w:rFonts w:hint="eastAsia" w:cs="宋体"/>
          <w:i w:val="0"/>
          <w:iCs w:val="0"/>
          <w:color w:val="auto"/>
          <w:sz w:val="24"/>
          <w:szCs w:val="24"/>
          <w:highlight w:val="none"/>
          <w:lang w:val="en-US" w:eastAsia="zh-CN"/>
        </w:rPr>
        <w:t>14</w:t>
      </w:r>
      <w:r>
        <w:rPr>
          <w:rFonts w:hint="eastAsia" w:ascii="宋体" w:hAnsi="宋体" w:eastAsia="宋体" w:cs="宋体"/>
          <w:i w:val="0"/>
          <w:iCs w:val="0"/>
          <w:color w:val="auto"/>
          <w:sz w:val="24"/>
          <w:szCs w:val="24"/>
          <w:highlight w:val="none"/>
        </w:rPr>
        <w:t>日，每天上午00:00至12:00，下午12:00至23:59（北京时间，法定节假日除外。）地点：周口市公共资源交易</w:t>
      </w:r>
      <w:r>
        <w:rPr>
          <w:rFonts w:hint="eastAsia" w:ascii="宋体" w:hAnsi="宋体" w:eastAsia="宋体" w:cs="宋体"/>
          <w:i w:val="0"/>
          <w:iCs w:val="0"/>
          <w:color w:val="auto"/>
          <w:sz w:val="24"/>
          <w:szCs w:val="24"/>
          <w:highlight w:val="none"/>
          <w:lang w:eastAsia="zh-CN"/>
        </w:rPr>
        <w:t>中心网</w:t>
      </w:r>
      <w:r>
        <w:rPr>
          <w:rFonts w:hint="eastAsia" w:ascii="宋体" w:hAnsi="宋体" w:eastAsia="宋体" w:cs="宋体"/>
          <w:i w:val="0"/>
          <w:iCs w:val="0"/>
          <w:color w:val="auto"/>
          <w:sz w:val="24"/>
          <w:szCs w:val="24"/>
          <w:highlight w:val="none"/>
        </w:rPr>
        <w:t>（http://jyzx.zhoukou.gov.cn）</w:t>
      </w:r>
    </w:p>
    <w:p w14:paraId="742A79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2.地点：周口市公共资源交易中心网（http://jyzx.zhoukou.gov.cn）</w:t>
      </w:r>
    </w:p>
    <w:p w14:paraId="01E035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方式：供应商</w:t>
      </w:r>
      <w:r>
        <w:rPr>
          <w:rFonts w:hint="eastAsia" w:ascii="宋体" w:hAnsi="宋体" w:eastAsia="宋体" w:cs="宋体"/>
          <w:i w:val="0"/>
          <w:iCs w:val="0"/>
          <w:color w:val="auto"/>
          <w:sz w:val="24"/>
          <w:szCs w:val="24"/>
          <w:highlight w:val="none"/>
          <w:lang w:val="en-US" w:eastAsia="zh-CN"/>
        </w:rPr>
        <w:t>请在网站自主注册后</w:t>
      </w:r>
      <w:r>
        <w:rPr>
          <w:rFonts w:hint="eastAsia" w:ascii="宋体" w:hAnsi="宋体" w:eastAsia="宋体" w:cs="宋体"/>
          <w:i w:val="0"/>
          <w:iCs w:val="0"/>
          <w:color w:val="auto"/>
          <w:sz w:val="24"/>
          <w:szCs w:val="24"/>
          <w:highlight w:val="none"/>
        </w:rPr>
        <w:t>下载采购文件（zkzf格式）及资料</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需</w:t>
      </w:r>
      <w:r>
        <w:rPr>
          <w:rFonts w:hint="eastAsia" w:ascii="宋体" w:hAnsi="宋体" w:eastAsia="宋体" w:cs="宋体"/>
          <w:i w:val="0"/>
          <w:iCs w:val="0"/>
          <w:color w:val="auto"/>
          <w:sz w:val="24"/>
          <w:szCs w:val="24"/>
          <w:highlight w:val="none"/>
          <w:lang w:val="en-US" w:eastAsia="zh-CN"/>
        </w:rPr>
        <w:t>办理</w:t>
      </w:r>
      <w:r>
        <w:rPr>
          <w:rFonts w:hint="eastAsia" w:ascii="宋体" w:hAnsi="宋体" w:eastAsia="宋体" w:cs="宋体"/>
          <w:i w:val="0"/>
          <w:iCs w:val="0"/>
          <w:color w:val="auto"/>
          <w:sz w:val="24"/>
          <w:szCs w:val="24"/>
          <w:highlight w:val="none"/>
        </w:rPr>
        <w:t>CA数字证书</w:t>
      </w:r>
      <w:r>
        <w:rPr>
          <w:rFonts w:hint="eastAsia" w:ascii="宋体" w:hAnsi="宋体" w:eastAsia="宋体" w:cs="宋体"/>
          <w:i w:val="0"/>
          <w:iCs w:val="0"/>
          <w:color w:val="auto"/>
          <w:sz w:val="24"/>
          <w:szCs w:val="24"/>
          <w:highlight w:val="none"/>
          <w:lang w:val="en-US" w:eastAsia="zh-CN"/>
        </w:rPr>
        <w:t>后方可提交响应文件</w:t>
      </w:r>
      <w:r>
        <w:rPr>
          <w:rFonts w:hint="eastAsia" w:ascii="宋体" w:hAnsi="宋体" w:eastAsia="宋体" w:cs="宋体"/>
          <w:i w:val="0"/>
          <w:iCs w:val="0"/>
          <w:color w:val="auto"/>
          <w:sz w:val="24"/>
          <w:szCs w:val="24"/>
          <w:highlight w:val="none"/>
        </w:rPr>
        <w:t>，具体办理事宜请查阅周口市公共资源</w:t>
      </w:r>
      <w:r>
        <w:rPr>
          <w:rFonts w:hint="eastAsia" w:ascii="宋体" w:hAnsi="宋体" w:eastAsia="宋体" w:cs="宋体"/>
          <w:i w:val="0"/>
          <w:iCs w:val="0"/>
          <w:color w:val="auto"/>
          <w:sz w:val="24"/>
          <w:szCs w:val="24"/>
          <w:highlight w:val="none"/>
          <w:lang w:eastAsia="zh-CN"/>
        </w:rPr>
        <w:t>交易中心</w:t>
      </w:r>
      <w:r>
        <w:rPr>
          <w:rFonts w:hint="eastAsia" w:ascii="宋体" w:hAnsi="宋体" w:eastAsia="宋体" w:cs="宋体"/>
          <w:i w:val="0"/>
          <w:iCs w:val="0"/>
          <w:color w:val="auto"/>
          <w:sz w:val="24"/>
          <w:szCs w:val="24"/>
          <w:highlight w:val="none"/>
        </w:rPr>
        <w:t>网站。</w:t>
      </w:r>
    </w:p>
    <w:p w14:paraId="432A3304">
      <w:pPr>
        <w:keepNext w:val="0"/>
        <w:keepLines w:val="0"/>
        <w:pageBreakBefore w:val="0"/>
        <w:widowControl w:val="0"/>
        <w:kinsoku/>
        <w:wordWrap/>
        <w:overflowPunct/>
        <w:topLinePunct w:val="0"/>
        <w:autoSpaceDE w:val="0"/>
        <w:autoSpaceDN w:val="0"/>
        <w:bidi w:val="0"/>
        <w:adjustRightInd/>
        <w:snapToGrid/>
        <w:spacing w:line="480" w:lineRule="exact"/>
        <w:ind w:firstLine="540"/>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售价：</w:t>
      </w:r>
      <w:r>
        <w:rPr>
          <w:rFonts w:hint="eastAsia" w:ascii="宋体" w:hAnsi="宋体" w:eastAsia="宋体" w:cs="宋体"/>
          <w:i w:val="0"/>
          <w:iCs w:val="0"/>
          <w:color w:val="auto"/>
          <w:sz w:val="24"/>
          <w:szCs w:val="24"/>
          <w:highlight w:val="none"/>
          <w:lang w:val="en-US" w:eastAsia="zh-CN"/>
        </w:rPr>
        <w:t>0</w:t>
      </w:r>
    </w:p>
    <w:p w14:paraId="1F2694EC">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color w:val="auto"/>
          <w:sz w:val="24"/>
          <w:szCs w:val="24"/>
          <w:highlight w:val="none"/>
        </w:rPr>
      </w:pPr>
      <w:bookmarkStart w:id="18" w:name="_Toc35393632"/>
      <w:bookmarkStart w:id="19" w:name="_Toc28359092"/>
      <w:bookmarkStart w:id="20" w:name="_Toc28359015"/>
      <w:bookmarkStart w:id="21" w:name="_Toc35393801"/>
      <w:r>
        <w:rPr>
          <w:rFonts w:hint="eastAsia" w:ascii="宋体" w:hAnsi="宋体" w:eastAsia="宋体" w:cs="宋体"/>
          <w:b w:val="0"/>
          <w:color w:val="auto"/>
          <w:sz w:val="24"/>
          <w:szCs w:val="24"/>
          <w:highlight w:val="none"/>
        </w:rPr>
        <w:t>四、响应文件提交</w:t>
      </w:r>
      <w:bookmarkEnd w:id="18"/>
      <w:bookmarkEnd w:id="19"/>
      <w:bookmarkEnd w:id="20"/>
      <w:bookmarkEnd w:id="21"/>
    </w:p>
    <w:p w14:paraId="0818DE31">
      <w:pPr>
        <w:keepNext w:val="0"/>
        <w:keepLines w:val="0"/>
        <w:pageBreakBefore w:val="0"/>
        <w:widowControl w:val="0"/>
        <w:kinsoku/>
        <w:wordWrap/>
        <w:overflowPunct/>
        <w:topLinePunct w:val="0"/>
        <w:autoSpaceDE w:val="0"/>
        <w:autoSpaceDN w:val="0"/>
        <w:bidi w:val="0"/>
        <w:adjustRightInd/>
        <w:snapToGrid/>
        <w:spacing w:line="480" w:lineRule="exact"/>
        <w:ind w:firstLine="240" w:firstLineChars="100"/>
        <w:jc w:val="left"/>
        <w:textAlignment w:val="auto"/>
        <w:outlineLvl w:val="9"/>
        <w:rPr>
          <w:rFonts w:hint="eastAsia" w:ascii="宋体" w:hAnsi="宋体" w:eastAsia="宋体" w:cs="宋体"/>
          <w:b w:val="0"/>
          <w:i w:val="0"/>
          <w:iCs w:val="0"/>
          <w:color w:val="auto"/>
          <w:sz w:val="24"/>
          <w:szCs w:val="24"/>
          <w:highlight w:val="none"/>
        </w:rPr>
      </w:pPr>
      <w:bookmarkStart w:id="22" w:name="_Toc28359093"/>
      <w:bookmarkStart w:id="23" w:name="_Toc35393802"/>
      <w:bookmarkStart w:id="24" w:name="_Toc28359016"/>
      <w:bookmarkStart w:id="25" w:name="_Toc35393633"/>
      <w:r>
        <w:rPr>
          <w:rFonts w:hint="eastAsia" w:ascii="宋体" w:hAnsi="宋体" w:eastAsia="宋体" w:cs="宋体"/>
          <w:b w:val="0"/>
          <w:i w:val="0"/>
          <w:iCs w:val="0"/>
          <w:color w:val="auto"/>
          <w:sz w:val="24"/>
          <w:szCs w:val="24"/>
          <w:highlight w:val="none"/>
        </w:rPr>
        <w:t>1.截止时间：2025年</w:t>
      </w:r>
      <w:r>
        <w:rPr>
          <w:rFonts w:hint="eastAsia" w:cs="宋体"/>
          <w:b w:val="0"/>
          <w:i w:val="0"/>
          <w:iCs w:val="0"/>
          <w:color w:val="auto"/>
          <w:sz w:val="24"/>
          <w:szCs w:val="24"/>
          <w:highlight w:val="none"/>
          <w:lang w:val="en-US" w:eastAsia="zh-CN"/>
        </w:rPr>
        <w:t>7</w:t>
      </w:r>
      <w:r>
        <w:rPr>
          <w:rFonts w:hint="eastAsia" w:ascii="宋体" w:hAnsi="宋体" w:eastAsia="宋体" w:cs="宋体"/>
          <w:b w:val="0"/>
          <w:i w:val="0"/>
          <w:iCs w:val="0"/>
          <w:color w:val="auto"/>
          <w:sz w:val="24"/>
          <w:szCs w:val="24"/>
          <w:highlight w:val="none"/>
        </w:rPr>
        <w:t>月</w:t>
      </w:r>
      <w:r>
        <w:rPr>
          <w:rFonts w:hint="eastAsia" w:cs="宋体"/>
          <w:b w:val="0"/>
          <w:i w:val="0"/>
          <w:iCs w:val="0"/>
          <w:color w:val="auto"/>
          <w:sz w:val="24"/>
          <w:szCs w:val="24"/>
          <w:highlight w:val="none"/>
          <w:lang w:val="en-US" w:eastAsia="zh-CN"/>
        </w:rPr>
        <w:t>16</w:t>
      </w:r>
      <w:r>
        <w:rPr>
          <w:rFonts w:hint="eastAsia" w:ascii="宋体" w:hAnsi="宋体" w:eastAsia="宋体" w:cs="宋体"/>
          <w:b w:val="0"/>
          <w:i w:val="0"/>
          <w:iCs w:val="0"/>
          <w:color w:val="auto"/>
          <w:sz w:val="24"/>
          <w:szCs w:val="24"/>
          <w:highlight w:val="none"/>
        </w:rPr>
        <w:t>日10时00分（北京时间）</w:t>
      </w:r>
    </w:p>
    <w:p w14:paraId="1B431768">
      <w:pPr>
        <w:keepNext w:val="0"/>
        <w:keepLines w:val="0"/>
        <w:pageBreakBefore w:val="0"/>
        <w:widowControl w:val="0"/>
        <w:kinsoku/>
        <w:wordWrap/>
        <w:overflowPunct/>
        <w:topLinePunct w:val="0"/>
        <w:autoSpaceDE w:val="0"/>
        <w:autoSpaceDN w:val="0"/>
        <w:bidi w:val="0"/>
        <w:adjustRightInd/>
        <w:snapToGrid/>
        <w:spacing w:line="480" w:lineRule="exact"/>
        <w:ind w:firstLine="240" w:firstLineChars="100"/>
        <w:jc w:val="left"/>
        <w:textAlignment w:val="auto"/>
        <w:outlineLvl w:val="9"/>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2.地点：周口市公共资源交易中心网（网址http://jyzx.zhoukou.gov.cn/）</w:t>
      </w:r>
    </w:p>
    <w:p w14:paraId="7FD57545">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t>五、</w:t>
      </w:r>
      <w:bookmarkEnd w:id="22"/>
      <w:bookmarkEnd w:id="23"/>
      <w:bookmarkEnd w:id="24"/>
      <w:bookmarkEnd w:id="25"/>
      <w:r>
        <w:rPr>
          <w:rFonts w:hint="eastAsia" w:ascii="宋体" w:hAnsi="宋体" w:eastAsia="宋体" w:cs="宋体"/>
          <w:b w:val="0"/>
          <w:i w:val="0"/>
          <w:iCs w:val="0"/>
          <w:color w:val="auto"/>
          <w:sz w:val="24"/>
          <w:szCs w:val="24"/>
          <w:highlight w:val="none"/>
        </w:rPr>
        <w:t>响应文件开启</w:t>
      </w:r>
    </w:p>
    <w:p w14:paraId="4895612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9"/>
        <w:rPr>
          <w:rFonts w:hint="eastAsia" w:ascii="宋体" w:hAnsi="宋体" w:eastAsia="宋体" w:cs="宋体"/>
          <w:b w:val="0"/>
          <w:color w:val="auto"/>
          <w:sz w:val="24"/>
          <w:szCs w:val="24"/>
          <w:highlight w:val="none"/>
        </w:rPr>
      </w:pPr>
      <w:bookmarkStart w:id="26" w:name="_Toc28359094"/>
      <w:bookmarkStart w:id="27" w:name="_Toc35393803"/>
      <w:bookmarkStart w:id="28" w:name="_Toc35393634"/>
      <w:bookmarkStart w:id="29" w:name="_Toc28359017"/>
      <w:r>
        <w:rPr>
          <w:rFonts w:hint="eastAsia" w:ascii="宋体" w:hAnsi="宋体" w:eastAsia="宋体" w:cs="宋体"/>
          <w:b w:val="0"/>
          <w:color w:val="auto"/>
          <w:sz w:val="24"/>
          <w:szCs w:val="24"/>
          <w:highlight w:val="none"/>
        </w:rPr>
        <w:t>1.时间：</w:t>
      </w:r>
      <w:r>
        <w:rPr>
          <w:rFonts w:hint="eastAsia" w:ascii="宋体" w:hAnsi="宋体" w:eastAsia="宋体" w:cs="宋体"/>
          <w:b w:val="0"/>
          <w:i w:val="0"/>
          <w:iCs w:val="0"/>
          <w:color w:val="auto"/>
          <w:sz w:val="24"/>
          <w:szCs w:val="24"/>
          <w:highlight w:val="none"/>
        </w:rPr>
        <w:t>2025年</w:t>
      </w:r>
      <w:r>
        <w:rPr>
          <w:rFonts w:hint="eastAsia" w:cs="宋体"/>
          <w:b w:val="0"/>
          <w:i w:val="0"/>
          <w:iCs w:val="0"/>
          <w:color w:val="auto"/>
          <w:sz w:val="24"/>
          <w:szCs w:val="24"/>
          <w:highlight w:val="none"/>
          <w:lang w:val="en-US" w:eastAsia="zh-CN"/>
        </w:rPr>
        <w:t>7</w:t>
      </w:r>
      <w:r>
        <w:rPr>
          <w:rFonts w:hint="eastAsia" w:ascii="宋体" w:hAnsi="宋体" w:eastAsia="宋体" w:cs="宋体"/>
          <w:b w:val="0"/>
          <w:i w:val="0"/>
          <w:iCs w:val="0"/>
          <w:color w:val="auto"/>
          <w:sz w:val="24"/>
          <w:szCs w:val="24"/>
          <w:highlight w:val="none"/>
        </w:rPr>
        <w:t>月</w:t>
      </w:r>
      <w:r>
        <w:rPr>
          <w:rFonts w:hint="eastAsia" w:cs="宋体"/>
          <w:b w:val="0"/>
          <w:i w:val="0"/>
          <w:iCs w:val="0"/>
          <w:color w:val="auto"/>
          <w:sz w:val="24"/>
          <w:szCs w:val="24"/>
          <w:highlight w:val="none"/>
          <w:lang w:val="en-US" w:eastAsia="zh-CN"/>
        </w:rPr>
        <w:t>16</w:t>
      </w:r>
      <w:r>
        <w:rPr>
          <w:rFonts w:hint="eastAsia" w:ascii="宋体" w:hAnsi="宋体" w:eastAsia="宋体" w:cs="宋体"/>
          <w:b w:val="0"/>
          <w:i w:val="0"/>
          <w:iCs w:val="0"/>
          <w:color w:val="auto"/>
          <w:sz w:val="24"/>
          <w:szCs w:val="24"/>
          <w:highlight w:val="none"/>
        </w:rPr>
        <w:t>日10时00分</w:t>
      </w:r>
      <w:r>
        <w:rPr>
          <w:rFonts w:hint="eastAsia" w:ascii="宋体" w:hAnsi="宋体" w:eastAsia="宋体" w:cs="宋体"/>
          <w:b w:val="0"/>
          <w:color w:val="auto"/>
          <w:sz w:val="24"/>
          <w:szCs w:val="24"/>
          <w:highlight w:val="none"/>
        </w:rPr>
        <w:t>（北京时间）</w:t>
      </w:r>
    </w:p>
    <w:p w14:paraId="1E1736D3">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2.地点：周口市公共资源交易中心开标室</w:t>
      </w:r>
    </w:p>
    <w:p w14:paraId="4274BE5D">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w:t>
      </w:r>
      <w:bookmarkEnd w:id="26"/>
      <w:bookmarkEnd w:id="27"/>
      <w:bookmarkEnd w:id="28"/>
      <w:bookmarkEnd w:id="29"/>
      <w:r>
        <w:rPr>
          <w:rFonts w:hint="eastAsia" w:ascii="宋体" w:hAnsi="宋体" w:eastAsia="宋体" w:cs="宋体"/>
          <w:b w:val="0"/>
          <w:color w:val="auto"/>
          <w:sz w:val="24"/>
          <w:szCs w:val="24"/>
          <w:highlight w:val="none"/>
        </w:rPr>
        <w:t>发布公告的媒介及招标公告期限</w:t>
      </w:r>
    </w:p>
    <w:p w14:paraId="1B724AE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9"/>
        <w:rPr>
          <w:rFonts w:hint="eastAsia" w:ascii="宋体" w:hAnsi="宋体" w:eastAsia="宋体" w:cs="宋体"/>
          <w:b w:val="0"/>
          <w:color w:val="auto"/>
          <w:sz w:val="24"/>
          <w:szCs w:val="24"/>
          <w:highlight w:val="none"/>
        </w:rPr>
      </w:pPr>
      <w:bookmarkStart w:id="30" w:name="_Toc35393804"/>
      <w:bookmarkStart w:id="31" w:name="_Toc35393635"/>
      <w:r>
        <w:rPr>
          <w:rFonts w:hint="eastAsia" w:ascii="宋体" w:hAnsi="宋体" w:eastAsia="宋体" w:cs="宋体"/>
          <w:b w:val="0"/>
          <w:color w:val="auto"/>
          <w:sz w:val="24"/>
          <w:szCs w:val="24"/>
          <w:highlight w:val="none"/>
        </w:rPr>
        <w:t>次招标公告在《河南省政府采购网》《周口市公共资源交易中心网》上发布，招标公告期限为三个工作日。</w:t>
      </w:r>
    </w:p>
    <w:p w14:paraId="5A8A8D4D">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rPr>
        <w:t>七、其他补充事宜</w:t>
      </w:r>
      <w:bookmarkEnd w:id="30"/>
      <w:bookmarkEnd w:id="31"/>
      <w:r>
        <w:rPr>
          <w:rFonts w:hint="eastAsia" w:ascii="宋体" w:hAnsi="宋体" w:eastAsia="宋体" w:cs="宋体"/>
          <w:b w:val="0"/>
          <w:color w:val="auto"/>
          <w:sz w:val="24"/>
          <w:szCs w:val="24"/>
          <w:highlight w:val="none"/>
          <w:lang w:val="en-US" w:eastAsia="zh-CN"/>
        </w:rPr>
        <w:t xml:space="preserve">  无</w:t>
      </w:r>
    </w:p>
    <w:p w14:paraId="78B099AC">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outlineLvl w:val="9"/>
        <w:rPr>
          <w:rFonts w:hint="eastAsia" w:ascii="宋体" w:hAnsi="宋体" w:eastAsia="宋体" w:cs="宋体"/>
          <w:b w:val="0"/>
          <w:color w:val="auto"/>
          <w:sz w:val="24"/>
          <w:szCs w:val="24"/>
          <w:highlight w:val="none"/>
        </w:rPr>
      </w:pPr>
      <w:bookmarkStart w:id="32" w:name="_Toc35393805"/>
      <w:bookmarkStart w:id="33" w:name="_Toc28359095"/>
      <w:bookmarkStart w:id="34" w:name="_Toc35393636"/>
      <w:bookmarkStart w:id="35" w:name="_Toc28359018"/>
      <w:r>
        <w:rPr>
          <w:rFonts w:hint="eastAsia" w:ascii="宋体" w:hAnsi="宋体" w:eastAsia="宋体" w:cs="宋体"/>
          <w:b w:val="0"/>
          <w:color w:val="auto"/>
          <w:sz w:val="24"/>
          <w:szCs w:val="24"/>
          <w:highlight w:val="none"/>
        </w:rPr>
        <w:t>八、凡对本次采购提出询问，请按以下方式联系</w:t>
      </w:r>
      <w:bookmarkEnd w:id="32"/>
      <w:bookmarkEnd w:id="33"/>
      <w:bookmarkEnd w:id="34"/>
      <w:bookmarkEnd w:id="35"/>
    </w:p>
    <w:p w14:paraId="2E1C566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left"/>
        <w:textAlignment w:val="auto"/>
        <w:outlineLvl w:val="9"/>
        <w:rPr>
          <w:rFonts w:hint="eastAsia" w:ascii="宋体" w:hAnsi="宋体" w:eastAsia="宋体" w:cs="宋体"/>
          <w:b w:val="0"/>
          <w:color w:val="auto"/>
          <w:sz w:val="24"/>
          <w:szCs w:val="24"/>
          <w:highlight w:val="none"/>
        </w:rPr>
      </w:pPr>
      <w:bookmarkStart w:id="36" w:name="_Toc35393806"/>
      <w:bookmarkStart w:id="37" w:name="_Toc28359019"/>
      <w:bookmarkStart w:id="38" w:name="_Toc35393637"/>
      <w:bookmarkStart w:id="39" w:name="_Toc28359096"/>
      <w:r>
        <w:rPr>
          <w:rFonts w:hint="eastAsia" w:ascii="宋体" w:hAnsi="宋体" w:eastAsia="宋体" w:cs="宋体"/>
          <w:b w:val="0"/>
          <w:color w:val="auto"/>
          <w:sz w:val="24"/>
          <w:szCs w:val="24"/>
          <w:highlight w:val="none"/>
        </w:rPr>
        <w:t>1.采购人信息</w:t>
      </w:r>
      <w:bookmarkEnd w:id="36"/>
      <w:bookmarkEnd w:id="37"/>
      <w:bookmarkEnd w:id="38"/>
      <w:bookmarkEnd w:id="39"/>
    </w:p>
    <w:p w14:paraId="685D589D">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名    称：</w:t>
      </w:r>
      <w:r>
        <w:rPr>
          <w:rFonts w:ascii="宋体" w:hAnsi="宋体" w:eastAsia="宋体" w:cs="宋体"/>
          <w:color w:val="auto"/>
          <w:spacing w:val="1"/>
          <w:position w:val="1"/>
          <w:sz w:val="24"/>
          <w:szCs w:val="24"/>
        </w:rPr>
        <w:t>扶沟县曹里乡人民政府</w:t>
      </w:r>
    </w:p>
    <w:p w14:paraId="6C5BA885">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地    址：扶沟县境内</w:t>
      </w:r>
    </w:p>
    <w:p w14:paraId="3365AA75">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项目联系人：</w:t>
      </w:r>
      <w:r>
        <w:rPr>
          <w:rFonts w:hint="eastAsia" w:cs="宋体"/>
          <w:b w:val="0"/>
          <w:color w:val="auto"/>
          <w:sz w:val="24"/>
          <w:szCs w:val="24"/>
          <w:highlight w:val="none"/>
          <w:lang w:val="en-US" w:eastAsia="zh-CN"/>
        </w:rPr>
        <w:t>刘科</w:t>
      </w:r>
    </w:p>
    <w:p w14:paraId="78B3BC58">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jc w:val="left"/>
        <w:textAlignment w:val="auto"/>
        <w:outlineLvl w:val="9"/>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联系方式：13939427392</w:t>
      </w:r>
    </w:p>
    <w:p w14:paraId="59866CB2">
      <w:pPr>
        <w:keepNext w:val="0"/>
        <w:keepLines w:val="0"/>
        <w:pageBreakBefore w:val="0"/>
        <w:widowControl w:val="0"/>
        <w:kinsoku/>
        <w:wordWrap/>
        <w:overflowPunct/>
        <w:topLinePunct w:val="0"/>
        <w:autoSpaceDE w:val="0"/>
        <w:autoSpaceDN w:val="0"/>
        <w:bidi w:val="0"/>
        <w:adjustRightInd/>
        <w:snapToGrid/>
        <w:spacing w:line="480" w:lineRule="exact"/>
        <w:ind w:firstLine="240" w:firstLineChars="100"/>
        <w:jc w:val="left"/>
        <w:textAlignment w:val="auto"/>
        <w:outlineLvl w:val="9"/>
        <w:rPr>
          <w:rFonts w:hint="eastAsia" w:ascii="宋体" w:hAnsi="宋体" w:eastAsia="宋体" w:cs="宋体"/>
          <w:b w:val="0"/>
          <w:color w:val="auto"/>
          <w:sz w:val="24"/>
          <w:szCs w:val="24"/>
          <w:highlight w:val="none"/>
        </w:rPr>
      </w:pPr>
      <w:bookmarkStart w:id="40" w:name="_Toc35393638"/>
      <w:bookmarkStart w:id="41" w:name="_Toc28359020"/>
      <w:bookmarkStart w:id="42" w:name="_Toc35393807"/>
      <w:bookmarkStart w:id="43" w:name="_Toc28359097"/>
      <w:r>
        <w:rPr>
          <w:rFonts w:hint="eastAsia" w:ascii="宋体" w:hAnsi="宋体" w:eastAsia="宋体" w:cs="宋体"/>
          <w:b w:val="0"/>
          <w:color w:val="auto"/>
          <w:sz w:val="24"/>
          <w:szCs w:val="24"/>
          <w:highlight w:val="none"/>
        </w:rPr>
        <w:t>2.采购代理机构信息</w:t>
      </w:r>
      <w:bookmarkEnd w:id="40"/>
      <w:bookmarkEnd w:id="41"/>
      <w:bookmarkEnd w:id="42"/>
      <w:bookmarkEnd w:id="43"/>
    </w:p>
    <w:p w14:paraId="075D6B5F">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pacing w:val="-6"/>
          <w:sz w:val="24"/>
          <w:szCs w:val="24"/>
          <w:highlight w:val="none"/>
        </w:rPr>
        <w:t>周口市公共资源交易中心政府采购中心</w:t>
      </w:r>
    </w:p>
    <w:p w14:paraId="2B2C2420">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pacing w:val="-6"/>
          <w:sz w:val="24"/>
          <w:szCs w:val="24"/>
          <w:highlight w:val="none"/>
        </w:rPr>
        <w:t>周口市东新区光明路和政通路交叉口北100米路东</w:t>
      </w:r>
    </w:p>
    <w:p w14:paraId="0459A8D5">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项目联系人：</w:t>
      </w:r>
      <w:r>
        <w:rPr>
          <w:rFonts w:hint="eastAsia" w:cs="宋体"/>
          <w:b w:val="0"/>
          <w:color w:val="auto"/>
          <w:sz w:val="24"/>
          <w:szCs w:val="24"/>
          <w:highlight w:val="none"/>
          <w:lang w:val="en-US" w:eastAsia="zh-CN"/>
        </w:rPr>
        <w:t>郝冰</w:t>
      </w:r>
    </w:p>
    <w:p w14:paraId="6D0DF50E">
      <w:pPr>
        <w:keepNext w:val="0"/>
        <w:keepLines w:val="0"/>
        <w:pageBreakBefore w:val="0"/>
        <w:widowControl w:val="0"/>
        <w:kinsoku/>
        <w:wordWrap/>
        <w:overflowPunct/>
        <w:topLinePunct w:val="0"/>
        <w:autoSpaceDE w:val="0"/>
        <w:autoSpaceDN w:val="0"/>
        <w:bidi w:val="0"/>
        <w:adjustRightInd/>
        <w:snapToGrid/>
        <w:spacing w:line="480" w:lineRule="exact"/>
        <w:ind w:firstLine="720" w:firstLineChars="300"/>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0394-8106517、19913281817</w:t>
      </w:r>
    </w:p>
    <w:p w14:paraId="7F12978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outlineLvl w:val="9"/>
        <w:rPr>
          <w:rFonts w:hint="eastAsia" w:ascii="宋体" w:hAnsi="宋体" w:eastAsia="宋体" w:cs="宋体"/>
          <w:i w:val="0"/>
          <w:iCs w:val="0"/>
          <w:color w:val="auto"/>
          <w:sz w:val="24"/>
          <w:szCs w:val="24"/>
          <w:highlight w:val="none"/>
          <w:lang w:val="en-US" w:eastAsia="zh-CN"/>
        </w:rPr>
      </w:pPr>
      <w:bookmarkStart w:id="44" w:name="_Toc28359021"/>
      <w:bookmarkStart w:id="45" w:name="_Toc35393808"/>
      <w:bookmarkStart w:id="46" w:name="_Toc35393639"/>
      <w:bookmarkStart w:id="47" w:name="_Toc28359098"/>
      <w:r>
        <w:rPr>
          <w:rFonts w:hint="eastAsia" w:ascii="宋体" w:hAnsi="宋体" w:eastAsia="宋体" w:cs="宋体"/>
          <w:b w:val="0"/>
          <w:i w:val="0"/>
          <w:iCs w:val="0"/>
          <w:color w:val="auto"/>
          <w:sz w:val="24"/>
          <w:szCs w:val="24"/>
          <w:highlight w:val="none"/>
        </w:rPr>
        <w:t>3.</w:t>
      </w:r>
      <w:bookmarkEnd w:id="44"/>
      <w:bookmarkEnd w:id="45"/>
      <w:bookmarkEnd w:id="46"/>
      <w:bookmarkEnd w:id="47"/>
      <w:r>
        <w:rPr>
          <w:rFonts w:hint="eastAsia" w:ascii="宋体" w:hAnsi="宋体" w:eastAsia="宋体" w:cs="宋体"/>
          <w:i w:val="0"/>
          <w:iCs w:val="0"/>
          <w:color w:val="auto"/>
          <w:sz w:val="24"/>
          <w:szCs w:val="24"/>
          <w:highlight w:val="none"/>
          <w:lang w:val="en-US" w:eastAsia="zh-CN"/>
        </w:rPr>
        <w:t>监督单位：扶沟县财政局</w:t>
      </w:r>
    </w:p>
    <w:p w14:paraId="1BF14D40">
      <w:pPr>
        <w:pStyle w:val="2"/>
        <w:keepNext w:val="0"/>
        <w:keepLines w:val="0"/>
        <w:pageBreakBefore w:val="0"/>
        <w:widowControl w:val="0"/>
        <w:kinsoku/>
        <w:wordWrap/>
        <w:overflowPunct/>
        <w:topLinePunct w:val="0"/>
        <w:bidi w:val="0"/>
        <w:spacing w:line="480" w:lineRule="exact"/>
        <w:ind w:firstLine="720" w:firstLineChars="3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lang w:val="en-US" w:eastAsia="zh-CN"/>
        </w:rPr>
        <w:t>0394-6234634</w:t>
      </w:r>
    </w:p>
    <w:p w14:paraId="053BABB7">
      <w:pPr>
        <w:pStyle w:val="9"/>
        <w:keepNext w:val="0"/>
        <w:keepLines w:val="0"/>
        <w:pageBreakBefore w:val="0"/>
        <w:widowControl w:val="0"/>
        <w:kinsoku/>
        <w:wordWrap/>
        <w:overflowPunct/>
        <w:topLinePunct w:val="0"/>
        <w:bidi w:val="0"/>
        <w:adjustRightInd w:val="0"/>
        <w:snapToGrid w:val="0"/>
        <w:spacing w:line="480" w:lineRule="exact"/>
        <w:jc w:val="right"/>
        <w:textAlignment w:val="auto"/>
        <w:outlineLvl w:val="9"/>
        <w:rPr>
          <w:rFonts w:hint="eastAsia" w:ascii="宋体" w:hAnsi="宋体" w:eastAsia="宋体" w:cs="宋体"/>
          <w:color w:val="auto"/>
          <w:sz w:val="24"/>
          <w:szCs w:val="24"/>
          <w:highlight w:val="none"/>
        </w:rPr>
      </w:pPr>
    </w:p>
    <w:p w14:paraId="6A1675DF">
      <w:pPr>
        <w:pStyle w:val="9"/>
        <w:keepNext w:val="0"/>
        <w:keepLines w:val="0"/>
        <w:pageBreakBefore w:val="0"/>
        <w:widowControl w:val="0"/>
        <w:kinsoku/>
        <w:wordWrap/>
        <w:overflowPunct/>
        <w:topLinePunct w:val="0"/>
        <w:bidi w:val="0"/>
        <w:adjustRightInd w:val="0"/>
        <w:snapToGrid w:val="0"/>
        <w:spacing w:line="480" w:lineRule="exact"/>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周口市公共资源交易中心政府采购中心</w:t>
      </w:r>
    </w:p>
    <w:p w14:paraId="23F8C082">
      <w:pPr>
        <w:pStyle w:val="9"/>
        <w:keepNext w:val="0"/>
        <w:keepLines w:val="0"/>
        <w:pageBreakBefore w:val="0"/>
        <w:widowControl w:val="0"/>
        <w:kinsoku/>
        <w:wordWrap/>
        <w:overflowPunct/>
        <w:topLinePunct w:val="0"/>
        <w:bidi w:val="0"/>
        <w:adjustRightInd w:val="0"/>
        <w:snapToGrid w:val="0"/>
        <w:spacing w:line="480" w:lineRule="exact"/>
        <w:jc w:val="right"/>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shd w:val="clear" w:color="auto" w:fill="FFFFFF"/>
          <w:lang w:val="en-US" w:eastAsia="zh-CN"/>
        </w:rPr>
        <w:t>2025</w:t>
      </w:r>
      <w:r>
        <w:rPr>
          <w:rFonts w:hint="eastAsia" w:ascii="宋体" w:hAnsi="宋体" w:eastAsia="宋体" w:cs="宋体"/>
          <w:color w:val="auto"/>
          <w:sz w:val="24"/>
          <w:szCs w:val="24"/>
          <w:highlight w:val="none"/>
        </w:rPr>
        <w:t>年</w:t>
      </w:r>
      <w:r>
        <w:rPr>
          <w:rFonts w:hint="eastAsia"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9</w:t>
      </w:r>
      <w:bookmarkStart w:id="81" w:name="_GoBack"/>
      <w:bookmarkEnd w:id="81"/>
      <w:r>
        <w:rPr>
          <w:rFonts w:hint="eastAsia" w:ascii="宋体" w:hAnsi="宋体" w:eastAsia="宋体" w:cs="宋体"/>
          <w:color w:val="auto"/>
          <w:sz w:val="24"/>
          <w:szCs w:val="24"/>
          <w:highlight w:val="none"/>
        </w:rPr>
        <w:t>日</w:t>
      </w:r>
    </w:p>
    <w:p w14:paraId="5F8D32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4"/>
    <w:bookmarkEnd w:id="5"/>
    <w:p w14:paraId="4D6DD1E5">
      <w:pPr>
        <w:pStyle w:val="5"/>
        <w:keepNext w:val="0"/>
        <w:keepLines w:val="0"/>
        <w:pageBreakBefore w:val="0"/>
        <w:widowControl w:val="0"/>
        <w:tabs>
          <w:tab w:val="left" w:pos="1607"/>
        </w:tabs>
        <w:kinsoku/>
        <w:wordWrap/>
        <w:overflowPunct/>
        <w:topLinePunct w:val="0"/>
        <w:autoSpaceDE w:val="0"/>
        <w:autoSpaceDN w:val="0"/>
        <w:bidi w:val="0"/>
        <w:spacing w:before="100" w:line="520" w:lineRule="exact"/>
        <w:ind w:left="0" w:leftChars="0" w:firstLine="0" w:firstLineChars="0"/>
        <w:jc w:val="center"/>
        <w:textAlignment w:val="auto"/>
        <w:outlineLvl w:val="1"/>
        <w:rPr>
          <w:rFonts w:hint="eastAsia" w:ascii="宋体" w:hAnsi="宋体" w:eastAsia="宋体" w:cs="宋体"/>
          <w:color w:val="auto"/>
          <w:sz w:val="36"/>
          <w:szCs w:val="36"/>
          <w:highlight w:val="none"/>
        </w:rPr>
      </w:pPr>
      <w:bookmarkStart w:id="48" w:name="_Toc30631"/>
      <w:bookmarkStart w:id="49" w:name="_Toc19563"/>
      <w:r>
        <w:rPr>
          <w:rFonts w:hint="eastAsia" w:ascii="宋体" w:hAnsi="宋体" w:eastAsia="宋体" w:cs="宋体"/>
          <w:color w:val="auto"/>
          <w:sz w:val="36"/>
          <w:szCs w:val="36"/>
          <w:highlight w:val="none"/>
        </w:rPr>
        <w:t>第二部分</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项目内容及施工要求</w:t>
      </w:r>
      <w:bookmarkEnd w:id="48"/>
      <w:bookmarkEnd w:id="49"/>
    </w:p>
    <w:p w14:paraId="49AB97F5">
      <w:pPr>
        <w:pStyle w:val="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一、项目内容</w:t>
      </w:r>
    </w:p>
    <w:p w14:paraId="085EB086">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79"/>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根据</w:t>
      </w:r>
      <w:r>
        <w:rPr>
          <w:rFonts w:hint="eastAsia"/>
          <w:color w:val="auto"/>
          <w:vertAlign w:val="baseline"/>
        </w:rPr>
        <w:t>2025年扶沟县曹里乡畜禽养殖及蔬菜大棚产业发展融合项目</w:t>
      </w:r>
      <w:r>
        <w:rPr>
          <w:rFonts w:hint="eastAsia" w:ascii="宋体" w:hAnsi="宋体" w:eastAsia="宋体" w:cs="宋体"/>
          <w:color w:val="auto"/>
          <w:spacing w:val="-13"/>
          <w:highlight w:val="none"/>
        </w:rPr>
        <w:t>采购需求，本次谈判内容如下：工程量清单及有关附表包括的全部内容。</w:t>
      </w:r>
    </w:p>
    <w:p w14:paraId="751802B0">
      <w:pPr>
        <w:pStyle w:val="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pacing w:val="-13"/>
          <w:highlight w:val="none"/>
        </w:rPr>
      </w:pPr>
      <w:bookmarkStart w:id="50" w:name="_bookmark2"/>
      <w:bookmarkEnd w:id="50"/>
      <w:r>
        <w:rPr>
          <w:rFonts w:hint="eastAsia" w:ascii="宋体" w:hAnsi="宋体" w:eastAsia="宋体" w:cs="宋体"/>
          <w:color w:val="auto"/>
          <w:spacing w:val="-13"/>
          <w:highlight w:val="none"/>
        </w:rPr>
        <w:t>二、施工要求</w:t>
      </w:r>
    </w:p>
    <w:p w14:paraId="78E12262">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1、承包方式：包工包料。所需材料符合国家相关标准；整体要求结实、美观、耐用，质量优良。</w:t>
      </w:r>
    </w:p>
    <w:p w14:paraId="7812DDC1">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2、质量标准：合格。</w:t>
      </w:r>
    </w:p>
    <w:p w14:paraId="357F4E28">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3、工期：</w:t>
      </w:r>
      <w:r>
        <w:rPr>
          <w:rFonts w:hint="eastAsia" w:cs="宋体"/>
          <w:color w:val="auto"/>
          <w:spacing w:val="-13"/>
          <w:highlight w:val="none"/>
          <w:lang w:val="en-US" w:eastAsia="zh-CN"/>
        </w:rPr>
        <w:t>60</w:t>
      </w:r>
      <w:r>
        <w:rPr>
          <w:rFonts w:hint="eastAsia" w:ascii="宋体" w:hAnsi="宋体" w:eastAsia="宋体" w:cs="宋体"/>
          <w:color w:val="auto"/>
          <w:spacing w:val="-13"/>
          <w:highlight w:val="none"/>
        </w:rPr>
        <w:t>日历天。</w:t>
      </w:r>
    </w:p>
    <w:p w14:paraId="6949F252">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4、保修期：按相关行业标准或双方签订合同时约定。</w:t>
      </w:r>
    </w:p>
    <w:p w14:paraId="74F4CBEB">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5、提供</w:t>
      </w:r>
      <w:r>
        <w:rPr>
          <w:rFonts w:hint="eastAsia" w:ascii="宋体" w:hAnsi="宋体" w:eastAsia="宋体" w:cs="宋体"/>
          <w:color w:val="auto"/>
          <w:spacing w:val="-13"/>
          <w:highlight w:val="none"/>
          <w:lang w:val="en-US" w:eastAsia="zh-CN"/>
        </w:rPr>
        <w:t>12</w:t>
      </w:r>
      <w:r>
        <w:rPr>
          <w:rFonts w:hint="eastAsia" w:ascii="宋体" w:hAnsi="宋体" w:eastAsia="宋体" w:cs="宋体"/>
          <w:color w:val="auto"/>
          <w:spacing w:val="-13"/>
          <w:highlight w:val="none"/>
        </w:rPr>
        <w:t>小时工程服务，接到服务请求后，</w:t>
      </w:r>
      <w:r>
        <w:rPr>
          <w:rFonts w:hint="eastAsia" w:ascii="宋体" w:hAnsi="宋体" w:eastAsia="宋体" w:cs="宋体"/>
          <w:color w:val="auto"/>
          <w:spacing w:val="-13"/>
          <w:highlight w:val="none"/>
          <w:lang w:val="en-US" w:eastAsia="zh-CN"/>
        </w:rPr>
        <w:t>2</w:t>
      </w:r>
      <w:r>
        <w:rPr>
          <w:rFonts w:hint="eastAsia" w:ascii="宋体" w:hAnsi="宋体" w:eastAsia="宋体" w:cs="宋体"/>
          <w:color w:val="auto"/>
          <w:spacing w:val="-13"/>
          <w:highlight w:val="none"/>
        </w:rPr>
        <w:t>小时响应，</w:t>
      </w:r>
      <w:r>
        <w:rPr>
          <w:rFonts w:hint="eastAsia" w:ascii="宋体" w:hAnsi="宋体" w:eastAsia="宋体" w:cs="宋体"/>
          <w:color w:val="auto"/>
          <w:spacing w:val="-13"/>
          <w:highlight w:val="none"/>
          <w:lang w:val="en-US" w:eastAsia="zh-CN"/>
        </w:rPr>
        <w:t>6</w:t>
      </w:r>
      <w:r>
        <w:rPr>
          <w:rFonts w:hint="eastAsia" w:ascii="宋体" w:hAnsi="宋体" w:eastAsia="宋体" w:cs="宋体"/>
          <w:color w:val="auto"/>
          <w:spacing w:val="-13"/>
          <w:highlight w:val="none"/>
        </w:rPr>
        <w:t>小时内上门并视情况解决问题。</w:t>
      </w:r>
    </w:p>
    <w:p w14:paraId="49930831">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6、施工的具体要求见施工图纸及工程效果图。</w:t>
      </w:r>
    </w:p>
    <w:p w14:paraId="0C46B013">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7、投标人工程预算以现场勘察、施工图纸、工程量清单、所需材料及工期等要求综合考虑。</w:t>
      </w:r>
    </w:p>
    <w:p w14:paraId="48FBEC86">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t>8、严格落实安全措施，周密组织，文明施工。</w:t>
      </w:r>
    </w:p>
    <w:p w14:paraId="26398E83">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eastAsia" w:ascii="宋体" w:hAnsi="宋体" w:eastAsia="宋体" w:cs="宋体"/>
          <w:color w:val="auto"/>
          <w:spacing w:val="-13"/>
          <w:highlight w:val="none"/>
          <w:lang w:eastAsia="zh-CN"/>
        </w:rPr>
      </w:pPr>
      <w:r>
        <w:rPr>
          <w:rFonts w:hint="eastAsia" w:ascii="宋体" w:hAnsi="宋体" w:eastAsia="宋体" w:cs="宋体"/>
          <w:color w:val="auto"/>
          <w:spacing w:val="-13"/>
          <w:highlight w:val="none"/>
        </w:rPr>
        <w:t>9、</w:t>
      </w:r>
      <w:r>
        <w:rPr>
          <w:rFonts w:hint="eastAsia" w:cs="宋体"/>
          <w:color w:val="auto"/>
          <w:spacing w:val="-13"/>
          <w:highlight w:val="none"/>
          <w:lang w:val="en-US" w:eastAsia="zh-CN"/>
        </w:rPr>
        <w:t>(本项目要求投标人充分进行现场踏勘，了解项目现场情况后进行报价。经招标人证实投标人确实已到现场勘察，并开具勘察现场证明函。勘察时间报名截止后第1个工作日工作时间、业主联系人及联系电话：刘科、19913403133）投标人将勘察现场证明函原件扫描件放在投标文件中，并单独做出真实性承诺。</w:t>
      </w:r>
    </w:p>
    <w:p w14:paraId="7C1C7B15">
      <w:pPr>
        <w:pStyle w:val="9"/>
        <w:keepNext w:val="0"/>
        <w:keepLines w:val="0"/>
        <w:pageBreakBefore w:val="0"/>
        <w:widowControl w:val="0"/>
        <w:kinsoku/>
        <w:wordWrap/>
        <w:overflowPunct/>
        <w:topLinePunct w:val="0"/>
        <w:autoSpaceDE w:val="0"/>
        <w:autoSpaceDN w:val="0"/>
        <w:bidi w:val="0"/>
        <w:adjustRightInd w:val="0"/>
        <w:snapToGrid w:val="0"/>
        <w:spacing w:line="520" w:lineRule="exact"/>
        <w:ind w:firstLine="428" w:firstLineChars="200"/>
        <w:textAlignment w:val="auto"/>
        <w:rPr>
          <w:rFonts w:hint="default" w:ascii="宋体" w:hAnsi="宋体" w:eastAsia="宋体" w:cs="宋体"/>
          <w:color w:val="auto"/>
          <w:spacing w:val="-13"/>
          <w:highlight w:val="none"/>
          <w:lang w:val="en-US" w:eastAsia="zh-CN"/>
        </w:rPr>
      </w:pPr>
      <w:r>
        <w:rPr>
          <w:rFonts w:hint="eastAsia" w:ascii="宋体" w:hAnsi="宋体" w:eastAsia="宋体" w:cs="宋体"/>
          <w:color w:val="auto"/>
          <w:spacing w:val="-13"/>
          <w:highlight w:val="none"/>
          <w:lang w:val="en-US" w:eastAsia="zh-CN"/>
        </w:rPr>
        <w:t>10、本项目所属行业为：</w:t>
      </w:r>
      <w:r>
        <w:rPr>
          <w:rFonts w:hint="eastAsia" w:cs="宋体"/>
          <w:color w:val="auto"/>
          <w:spacing w:val="-13"/>
          <w:highlight w:val="none"/>
          <w:lang w:val="en-US" w:eastAsia="zh-CN"/>
        </w:rPr>
        <w:t>建筑业</w:t>
      </w:r>
    </w:p>
    <w:p w14:paraId="2786BC5D">
      <w:pPr>
        <w:pStyle w:val="9"/>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pacing w:val="-13"/>
          <w:highlight w:val="none"/>
        </w:rPr>
      </w:pPr>
      <w:bookmarkStart w:id="51" w:name="第三部分__谈判项目要求"/>
      <w:bookmarkEnd w:id="51"/>
      <w:bookmarkStart w:id="52" w:name="_bookmark3"/>
      <w:bookmarkEnd w:id="52"/>
      <w:r>
        <w:rPr>
          <w:rFonts w:hint="eastAsia" w:ascii="宋体" w:hAnsi="宋体" w:eastAsia="宋体" w:cs="宋体"/>
          <w:color w:val="auto"/>
          <w:spacing w:val="-13"/>
          <w:highlight w:val="none"/>
        </w:rPr>
        <w:t>三、工程量清单</w:t>
      </w:r>
    </w:p>
    <w:p w14:paraId="5D68895D">
      <w:pPr>
        <w:jc w:val="center"/>
        <w:rPr>
          <w:rFonts w:hint="eastAsia" w:eastAsia="宋体"/>
          <w:b/>
          <w:bCs/>
          <w:color w:val="auto"/>
          <w:highlight w:val="none"/>
          <w:lang w:eastAsia="zh-CN"/>
        </w:rPr>
      </w:pPr>
      <w:r>
        <w:rPr>
          <w:rFonts w:hint="eastAsia" w:ascii="宋体" w:hAnsi="宋体" w:eastAsia="宋体" w:cs="宋体"/>
          <w:b/>
          <w:bCs/>
          <w:color w:val="auto"/>
          <w:spacing w:val="-13"/>
          <w:highlight w:val="none"/>
          <w:lang w:eastAsia="zh-CN"/>
        </w:rPr>
        <w:t>（</w:t>
      </w:r>
      <w:r>
        <w:rPr>
          <w:rFonts w:hint="eastAsia" w:ascii="宋体" w:hAnsi="宋体" w:eastAsia="宋体" w:cs="宋体"/>
          <w:b/>
          <w:bCs/>
          <w:color w:val="auto"/>
          <w:spacing w:val="-13"/>
          <w:highlight w:val="none"/>
          <w:lang w:val="en-US" w:eastAsia="zh-CN"/>
        </w:rPr>
        <w:t>详见附件</w:t>
      </w:r>
      <w:r>
        <w:rPr>
          <w:rFonts w:hint="eastAsia" w:ascii="宋体" w:hAnsi="宋体" w:eastAsia="宋体" w:cs="宋体"/>
          <w:b/>
          <w:bCs/>
          <w:color w:val="auto"/>
          <w:spacing w:val="-13"/>
          <w:highlight w:val="none"/>
          <w:lang w:eastAsia="zh-CN"/>
        </w:rPr>
        <w:t>）</w:t>
      </w:r>
    </w:p>
    <w:p w14:paraId="693C2F57">
      <w:pPr>
        <w:rPr>
          <w:rFonts w:hint="eastAsia" w:ascii="宋体" w:hAnsi="宋体" w:eastAsia="宋体" w:cs="宋体"/>
          <w:color w:val="auto"/>
          <w:spacing w:val="-13"/>
          <w:highlight w:val="none"/>
        </w:rPr>
      </w:pPr>
      <w:r>
        <w:rPr>
          <w:rFonts w:hint="eastAsia" w:ascii="宋体" w:hAnsi="宋体" w:eastAsia="宋体" w:cs="宋体"/>
          <w:color w:val="auto"/>
          <w:spacing w:val="-13"/>
          <w:highlight w:val="none"/>
        </w:rPr>
        <w:br w:type="page"/>
      </w:r>
    </w:p>
    <w:p w14:paraId="1B759DB6">
      <w:pPr>
        <w:pStyle w:val="5"/>
        <w:keepNext w:val="0"/>
        <w:keepLines w:val="0"/>
        <w:pageBreakBefore w:val="0"/>
        <w:tabs>
          <w:tab w:val="left" w:pos="1607"/>
        </w:tabs>
        <w:kinsoku/>
        <w:wordWrap/>
        <w:overflowPunct/>
        <w:topLinePunct w:val="0"/>
        <w:bidi w:val="0"/>
        <w:spacing w:before="41" w:line="600" w:lineRule="exact"/>
        <w:textAlignment w:val="auto"/>
        <w:outlineLvl w:val="1"/>
        <w:rPr>
          <w:rFonts w:hint="eastAsia" w:ascii="宋体" w:hAnsi="宋体" w:eastAsia="宋体" w:cs="宋体"/>
          <w:color w:val="auto"/>
          <w:sz w:val="36"/>
          <w:szCs w:val="36"/>
          <w:highlight w:val="none"/>
        </w:rPr>
      </w:pPr>
      <w:bookmarkStart w:id="53" w:name="_Toc4690"/>
      <w:bookmarkStart w:id="54" w:name="_Toc19431"/>
      <w:r>
        <w:rPr>
          <w:rFonts w:hint="eastAsia" w:ascii="宋体" w:hAnsi="宋体" w:eastAsia="宋体" w:cs="宋体"/>
          <w:color w:val="auto"/>
          <w:sz w:val="36"/>
          <w:szCs w:val="36"/>
          <w:highlight w:val="none"/>
        </w:rPr>
        <w:t>第三部分</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谈判项目要求</w:t>
      </w:r>
      <w:bookmarkEnd w:id="53"/>
      <w:bookmarkEnd w:id="54"/>
    </w:p>
    <w:p w14:paraId="1C677D47">
      <w:pPr>
        <w:pStyle w:val="9"/>
        <w:keepNext w:val="0"/>
        <w:keepLines w:val="0"/>
        <w:pageBreakBefore w:val="0"/>
        <w:kinsoku/>
        <w:wordWrap/>
        <w:overflowPunct/>
        <w:topLinePunct w:val="0"/>
        <w:bidi w:val="0"/>
        <w:adjustRightInd w:val="0"/>
        <w:snapToGrid w:val="0"/>
        <w:spacing w:line="600" w:lineRule="exact"/>
        <w:ind w:firstLine="424" w:firstLineChars="200"/>
        <w:textAlignment w:val="auto"/>
        <w:rPr>
          <w:rFonts w:hint="eastAsia" w:ascii="宋体" w:hAnsi="宋体" w:eastAsia="宋体" w:cs="宋体"/>
          <w:color w:val="auto"/>
          <w:highlight w:val="none"/>
        </w:rPr>
      </w:pPr>
      <w:r>
        <w:rPr>
          <w:rFonts w:hint="eastAsia" w:ascii="宋体" w:hAnsi="宋体" w:eastAsia="宋体" w:cs="宋体"/>
          <w:color w:val="auto"/>
          <w:spacing w:val="-14"/>
          <w:highlight w:val="none"/>
          <w:lang w:eastAsia="zh-CN"/>
        </w:rPr>
        <w:t>一</w:t>
      </w:r>
      <w:r>
        <w:rPr>
          <w:rFonts w:hint="eastAsia" w:ascii="宋体" w:hAnsi="宋体" w:eastAsia="宋体" w:cs="宋体"/>
          <w:color w:val="auto"/>
          <w:spacing w:val="-14"/>
          <w:highlight w:val="none"/>
        </w:rPr>
        <w:t>、谈判响应文件应按要求递交，因未按要求造成的泄密，由谈判供应商负责。</w:t>
      </w:r>
      <w:r>
        <w:rPr>
          <w:rFonts w:hint="eastAsia" w:ascii="宋体" w:hAnsi="宋体" w:eastAsia="宋体" w:cs="宋体"/>
          <w:color w:val="auto"/>
          <w:highlight w:val="none"/>
        </w:rPr>
        <w:t>除谈判文件有规定外，谈判供应商对项目每次只允许有一个报价，谈判组织人和采购人不接受有任何选择的报价响应。</w:t>
      </w:r>
    </w:p>
    <w:p w14:paraId="4460234D">
      <w:pPr>
        <w:pStyle w:val="9"/>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w:t>
      </w:r>
      <w:r>
        <w:rPr>
          <w:rFonts w:hint="eastAsia" w:ascii="宋体" w:hAnsi="宋体" w:eastAsia="宋体" w:cs="宋体"/>
          <w:color w:val="auto"/>
          <w:spacing w:val="-14"/>
          <w:highlight w:val="none"/>
        </w:rPr>
        <w:t>采购人与成交供应商应当在成交通知书发出之日起三十日内，按照采购文件确定的事项签订政府采购合同，并在合同签订后2个工作日内负责将合同及验收结果在河南省政府采购网进行公示。</w:t>
      </w:r>
    </w:p>
    <w:p w14:paraId="56F15B13">
      <w:pPr>
        <w:pStyle w:val="9"/>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、施工地点：采购人指定地点。</w:t>
      </w:r>
    </w:p>
    <w:p w14:paraId="3CB841E3">
      <w:pPr>
        <w:pStyle w:val="9"/>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、验收：由</w:t>
      </w:r>
      <w:r>
        <w:rPr>
          <w:rFonts w:hint="eastAsia" w:ascii="宋体" w:hAnsi="宋体" w:eastAsia="宋体" w:cs="宋体"/>
          <w:color w:val="auto"/>
          <w:highlight w:val="none"/>
          <w:lang w:val="en-US"/>
        </w:rPr>
        <w:t>采购人</w:t>
      </w:r>
      <w:r>
        <w:rPr>
          <w:rFonts w:hint="eastAsia" w:ascii="宋体" w:hAnsi="宋体" w:eastAsia="宋体" w:cs="宋体"/>
          <w:color w:val="auto"/>
          <w:highlight w:val="none"/>
        </w:rPr>
        <w:t>组织验收。</w:t>
      </w:r>
    </w:p>
    <w:p w14:paraId="451E76F3">
      <w:pPr>
        <w:pStyle w:val="18"/>
        <w:keepNext w:val="0"/>
        <w:keepLines w:val="0"/>
        <w:pageBreakBefore w:val="0"/>
        <w:kinsoku/>
        <w:wordWrap/>
        <w:overflowPunct/>
        <w:topLinePunct w:val="0"/>
        <w:bidi w:val="0"/>
        <w:snapToGrid w:val="0"/>
        <w:spacing w:before="0" w:beforeAutospacing="0" w:after="0" w:afterAutospacing="0" w:line="600" w:lineRule="exact"/>
        <w:ind w:firstLine="48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、付款方式：</w:t>
      </w:r>
      <w:r>
        <w:rPr>
          <w:rFonts w:hint="eastAsia" w:ascii="宋体" w:hAnsi="宋体" w:eastAsia="宋体" w:cs="宋体"/>
          <w:color w:val="auto"/>
          <w:kern w:val="2"/>
          <w:sz w:val="24"/>
          <w:szCs w:val="24"/>
          <w:highlight w:val="none"/>
          <w:lang w:val="en-US" w:eastAsia="zh-CN" w:bidi="ar-SA"/>
        </w:rPr>
        <w:t>承包人按照监理工程师下发的开工指令进场施工，项目开工后按照相关要求完善资金拨付报账手续，发包人拨付项目合同价格30%的预付款；工程完工验收合格后再拨付的97%工程款。剩余3%为该项目竣工一年后，经过复验合格后支付。</w:t>
      </w:r>
    </w:p>
    <w:p w14:paraId="2030E080">
      <w:pPr>
        <w:rPr>
          <w:rFonts w:hint="eastAsia" w:ascii="宋体" w:hAnsi="宋体" w:eastAsia="宋体" w:cs="宋体"/>
          <w:color w:val="auto"/>
          <w:sz w:val="32"/>
          <w:szCs w:val="32"/>
          <w:highlight w:val="none"/>
        </w:rPr>
      </w:pPr>
      <w:bookmarkStart w:id="55" w:name="_Toc24108"/>
      <w:bookmarkStart w:id="56" w:name="_Toc24700"/>
      <w:r>
        <w:rPr>
          <w:rFonts w:hint="eastAsia" w:ascii="宋体" w:hAnsi="宋体" w:eastAsia="宋体" w:cs="宋体"/>
          <w:color w:val="auto"/>
          <w:sz w:val="32"/>
          <w:szCs w:val="32"/>
          <w:highlight w:val="none"/>
        </w:rPr>
        <w:br w:type="page"/>
      </w:r>
    </w:p>
    <w:p w14:paraId="09E54761">
      <w:pPr>
        <w:pStyle w:val="5"/>
        <w:tabs>
          <w:tab w:val="left" w:pos="1607"/>
        </w:tabs>
        <w:outlineLvl w:val="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谈判供应商须知</w:t>
      </w:r>
      <w:bookmarkEnd w:id="55"/>
      <w:bookmarkEnd w:id="56"/>
    </w:p>
    <w:p w14:paraId="2040A5A1">
      <w:pPr>
        <w:pStyle w:val="9"/>
        <w:rPr>
          <w:rFonts w:hint="eastAsia" w:ascii="宋体" w:hAnsi="宋体" w:eastAsia="宋体" w:cs="宋体"/>
          <w:b/>
          <w:color w:val="auto"/>
          <w:sz w:val="20"/>
          <w:highlight w:val="none"/>
        </w:rPr>
      </w:pPr>
    </w:p>
    <w:p w14:paraId="737A3998">
      <w:pPr>
        <w:pStyle w:val="6"/>
        <w:numPr>
          <w:ilvl w:val="0"/>
          <w:numId w:val="1"/>
        </w:numPr>
        <w:adjustRightInd w:val="0"/>
        <w:snapToGrid w:val="0"/>
        <w:spacing w:line="360" w:lineRule="auto"/>
        <w:ind w:left="0" w:firstLine="602" w:firstLineChars="200"/>
        <w:rPr>
          <w:rFonts w:hint="eastAsia" w:ascii="宋体" w:hAnsi="宋体" w:eastAsia="宋体" w:cs="宋体"/>
          <w:color w:val="auto"/>
          <w:highlight w:val="none"/>
        </w:rPr>
      </w:pPr>
      <w:bookmarkStart w:id="57" w:name="_Toc14016"/>
      <w:bookmarkStart w:id="58" w:name="_Toc1039"/>
      <w:r>
        <w:rPr>
          <w:rFonts w:hint="eastAsia" w:ascii="宋体" w:hAnsi="宋体" w:eastAsia="宋体" w:cs="宋体"/>
          <w:color w:val="auto"/>
          <w:highlight w:val="none"/>
        </w:rPr>
        <w:t>说明</w:t>
      </w:r>
      <w:bookmarkEnd w:id="57"/>
      <w:bookmarkEnd w:id="58"/>
    </w:p>
    <w:p w14:paraId="2D0C6666">
      <w:pPr>
        <w:pStyle w:val="6"/>
        <w:adjustRightInd w:val="0"/>
        <w:snapToGrid w:val="0"/>
        <w:spacing w:line="360" w:lineRule="auto"/>
        <w:ind w:left="0" w:firstLine="482" w:firstLineChars="200"/>
        <w:rPr>
          <w:rFonts w:hint="eastAsia" w:ascii="宋体" w:hAnsi="宋体" w:eastAsia="宋体" w:cs="宋体"/>
          <w:color w:val="auto"/>
          <w:sz w:val="24"/>
          <w:szCs w:val="24"/>
          <w:highlight w:val="none"/>
        </w:rPr>
      </w:pPr>
      <w:bookmarkStart w:id="59" w:name="_Toc26131"/>
      <w:bookmarkStart w:id="60" w:name="_Toc2442"/>
      <w:r>
        <w:rPr>
          <w:rFonts w:hint="eastAsia" w:ascii="宋体" w:hAnsi="宋体" w:eastAsia="宋体" w:cs="宋体"/>
          <w:color w:val="auto"/>
          <w:sz w:val="24"/>
          <w:szCs w:val="24"/>
          <w:highlight w:val="none"/>
        </w:rPr>
        <w:t>1、适用范围</w:t>
      </w:r>
      <w:bookmarkEnd w:id="59"/>
      <w:bookmarkEnd w:id="60"/>
    </w:p>
    <w:p w14:paraId="43937755">
      <w:pPr>
        <w:pStyle w:val="9"/>
        <w:adjustRightInd w:val="0"/>
        <w:snapToGrid w:val="0"/>
        <w:spacing w:line="360" w:lineRule="auto"/>
        <w:ind w:firstLine="492" w:firstLineChars="200"/>
        <w:jc w:val="both"/>
        <w:rPr>
          <w:rFonts w:hint="eastAsia" w:ascii="宋体" w:hAnsi="宋体" w:eastAsia="宋体" w:cs="宋体"/>
          <w:color w:val="auto"/>
          <w:highlight w:val="none"/>
        </w:rPr>
      </w:pPr>
      <w:r>
        <w:rPr>
          <w:rFonts w:hint="eastAsia" w:ascii="宋体" w:hAnsi="宋体" w:eastAsia="宋体" w:cs="宋体"/>
          <w:color w:val="auto"/>
          <w:spacing w:val="3"/>
          <w:highlight w:val="none"/>
        </w:rPr>
        <w:t>本采购文件仅适用于本次邀请函中所述的</w:t>
      </w:r>
      <w:r>
        <w:rPr>
          <w:rFonts w:hint="eastAsia" w:ascii="宋体" w:hAnsi="宋体" w:eastAsia="宋体" w:cs="宋体"/>
          <w:color w:val="auto"/>
          <w:spacing w:val="-6"/>
          <w:highlight w:val="none"/>
        </w:rPr>
        <w:t>项目的</w:t>
      </w:r>
      <w:r>
        <w:rPr>
          <w:rFonts w:hint="eastAsia" w:ascii="宋体" w:hAnsi="宋体" w:eastAsia="宋体" w:cs="宋体"/>
          <w:color w:val="auto"/>
          <w:spacing w:val="3"/>
          <w:highlight w:val="none"/>
        </w:rPr>
        <w:t>谈判。</w:t>
      </w:r>
    </w:p>
    <w:p w14:paraId="74879C43">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2、定义</w:t>
      </w:r>
    </w:p>
    <w:p w14:paraId="1A1E4FFA">
      <w:pPr>
        <w:pStyle w:val="35"/>
        <w:numPr>
          <w:ilvl w:val="1"/>
          <w:numId w:val="2"/>
        </w:numPr>
        <w:tabs>
          <w:tab w:val="left" w:pos="826"/>
        </w:tabs>
        <w:adjustRightInd w:val="0"/>
        <w:snapToGrid w:val="0"/>
        <w:spacing w:line="360" w:lineRule="auto"/>
        <w:ind w:left="0" w:firstLine="496" w:firstLineChars="20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谈判组织人——指组织本次谈判的周口市公共资源交易中心政府采购中</w:t>
      </w:r>
      <w:r>
        <w:rPr>
          <w:rFonts w:hint="eastAsia" w:ascii="宋体" w:hAnsi="宋体" w:eastAsia="宋体" w:cs="宋体"/>
          <w:color w:val="auto"/>
          <w:sz w:val="24"/>
          <w:highlight w:val="none"/>
        </w:rPr>
        <w:t>心。</w:t>
      </w:r>
    </w:p>
    <w:p w14:paraId="68436345">
      <w:pPr>
        <w:pStyle w:val="35"/>
        <w:numPr>
          <w:ilvl w:val="1"/>
          <w:numId w:val="2"/>
        </w:numPr>
        <w:tabs>
          <w:tab w:val="left" w:pos="81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谈判供应商——指向谈判组织人提交谈判文件的供应商。</w:t>
      </w:r>
    </w:p>
    <w:p w14:paraId="027B545B">
      <w:pPr>
        <w:pStyle w:val="35"/>
        <w:numPr>
          <w:ilvl w:val="1"/>
          <w:numId w:val="2"/>
        </w:numPr>
        <w:tabs>
          <w:tab w:val="left" w:pos="81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r>
        <w:rPr>
          <w:rFonts w:ascii="宋体" w:hAnsi="宋体" w:eastAsia="宋体" w:cs="宋体"/>
          <w:color w:val="auto"/>
          <w:spacing w:val="1"/>
          <w:position w:val="1"/>
          <w:sz w:val="24"/>
          <w:szCs w:val="24"/>
        </w:rPr>
        <w:t>扶沟县曹里乡人民政府</w:t>
      </w:r>
    </w:p>
    <w:p w14:paraId="6EF07EBE">
      <w:pPr>
        <w:pStyle w:val="35"/>
        <w:numPr>
          <w:ilvl w:val="1"/>
          <w:numId w:val="2"/>
        </w:numPr>
        <w:tabs>
          <w:tab w:val="left" w:pos="819"/>
        </w:tabs>
        <w:adjustRightInd w:val="0"/>
        <w:snapToGrid w:val="0"/>
        <w:spacing w:line="360" w:lineRule="auto"/>
        <w:ind w:left="0" w:firstLine="468" w:firstLineChars="200"/>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工程——指谈判供应商按谈判文件规定，须为采购人提供的工程施工及服</w:t>
      </w:r>
      <w:r>
        <w:rPr>
          <w:rFonts w:hint="eastAsia" w:ascii="宋体" w:hAnsi="宋体" w:eastAsia="宋体" w:cs="宋体"/>
          <w:color w:val="auto"/>
          <w:sz w:val="24"/>
          <w:highlight w:val="none"/>
        </w:rPr>
        <w:t>务。</w:t>
      </w:r>
    </w:p>
    <w:p w14:paraId="2F52C994">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3、谈判供应商条件</w:t>
      </w:r>
    </w:p>
    <w:p w14:paraId="1B086F38">
      <w:pPr>
        <w:pStyle w:val="35"/>
        <w:numPr>
          <w:ilvl w:val="1"/>
          <w:numId w:val="3"/>
        </w:numPr>
        <w:tabs>
          <w:tab w:val="left" w:pos="819"/>
        </w:tabs>
        <w:adjustRightInd w:val="0"/>
        <w:snapToGrid w:val="0"/>
        <w:spacing w:line="360" w:lineRule="auto"/>
        <w:ind w:left="0" w:firstLine="468"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具有独立承担民事责任的能力；具有良好的商业信誉和健全的财务会计制</w:t>
      </w:r>
      <w:r>
        <w:rPr>
          <w:rFonts w:hint="eastAsia" w:ascii="宋体" w:hAnsi="宋体" w:eastAsia="宋体" w:cs="宋体"/>
          <w:color w:val="auto"/>
          <w:sz w:val="24"/>
          <w:highlight w:val="none"/>
        </w:rPr>
        <w:t>度；具有完成本次谈判项目所必需的设备和专业技术能力；有依法缴纳税收和社会保障资金的良好记录。</w:t>
      </w:r>
    </w:p>
    <w:p w14:paraId="5D95BBF7">
      <w:pPr>
        <w:pStyle w:val="35"/>
        <w:numPr>
          <w:ilvl w:val="1"/>
          <w:numId w:val="3"/>
        </w:numPr>
        <w:tabs>
          <w:tab w:val="left" w:pos="819"/>
        </w:tabs>
        <w:adjustRightInd w:val="0"/>
        <w:snapToGrid w:val="0"/>
        <w:spacing w:line="360" w:lineRule="auto"/>
        <w:ind w:left="0" w:firstLine="468" w:firstLineChars="200"/>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凡符合“谈判项目要求”条件，承认本谈判文件所有内容的供应商均为合</w:t>
      </w:r>
      <w:r>
        <w:rPr>
          <w:rFonts w:hint="eastAsia" w:ascii="宋体" w:hAnsi="宋体" w:eastAsia="宋体" w:cs="宋体"/>
          <w:color w:val="auto"/>
          <w:sz w:val="24"/>
          <w:highlight w:val="none"/>
        </w:rPr>
        <w:t>格的谈判供应商。</w:t>
      </w:r>
    </w:p>
    <w:p w14:paraId="4EC30BA9">
      <w:pPr>
        <w:pStyle w:val="35"/>
        <w:numPr>
          <w:ilvl w:val="1"/>
          <w:numId w:val="3"/>
        </w:numPr>
        <w:tabs>
          <w:tab w:val="left" w:pos="819"/>
        </w:tabs>
        <w:adjustRightInd w:val="0"/>
        <w:snapToGrid w:val="0"/>
        <w:spacing w:line="360" w:lineRule="auto"/>
        <w:ind w:left="0" w:firstLine="468" w:firstLineChars="200"/>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谈判供应商应遵守中华人民共和国法律、法规和谈判组织人有关谈判的规</w:t>
      </w:r>
      <w:r>
        <w:rPr>
          <w:rFonts w:hint="eastAsia" w:ascii="宋体" w:hAnsi="宋体" w:eastAsia="宋体" w:cs="宋体"/>
          <w:color w:val="auto"/>
          <w:sz w:val="24"/>
          <w:highlight w:val="none"/>
        </w:rPr>
        <w:t>定。</w:t>
      </w:r>
    </w:p>
    <w:p w14:paraId="4860A4F7">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4、谈判费用</w:t>
      </w:r>
    </w:p>
    <w:p w14:paraId="31CC43E9">
      <w:pPr>
        <w:pStyle w:val="35"/>
        <w:numPr>
          <w:ilvl w:val="1"/>
          <w:numId w:val="4"/>
        </w:numPr>
        <w:tabs>
          <w:tab w:val="left" w:pos="819"/>
        </w:tabs>
        <w:adjustRightInd w:val="0"/>
        <w:snapToGrid w:val="0"/>
        <w:spacing w:line="360" w:lineRule="auto"/>
        <w:ind w:left="0" w:firstLine="472" w:firstLineChars="200"/>
        <w:rPr>
          <w:rFonts w:hint="eastAsia" w:ascii="宋体" w:hAnsi="宋体" w:eastAsia="宋体" w:cs="宋体"/>
          <w:color w:val="auto"/>
          <w:highlight w:val="none"/>
        </w:rPr>
      </w:pPr>
      <w:r>
        <w:rPr>
          <w:rFonts w:hint="eastAsia" w:ascii="宋体" w:hAnsi="宋体" w:eastAsia="宋体" w:cs="宋体"/>
          <w:color w:val="auto"/>
          <w:spacing w:val="-2"/>
          <w:sz w:val="24"/>
          <w:highlight w:val="none"/>
        </w:rPr>
        <w:t>谈判供应商应自行承担参加谈判活动有关的全部费用，谈判组织人在任何</w:t>
      </w:r>
      <w:r>
        <w:rPr>
          <w:rFonts w:hint="eastAsia" w:ascii="宋体" w:hAnsi="宋体" w:eastAsia="宋体" w:cs="宋体"/>
          <w:color w:val="auto"/>
          <w:sz w:val="24"/>
          <w:highlight w:val="none"/>
        </w:rPr>
        <w:t>情况下均无义务和责任承担上述费用。</w:t>
      </w:r>
    </w:p>
    <w:p w14:paraId="49A992B1">
      <w:pPr>
        <w:pStyle w:val="7"/>
        <w:numPr>
          <w:ilvl w:val="1"/>
          <w:numId w:val="4"/>
        </w:numPr>
        <w:tabs>
          <w:tab w:val="left" w:pos="823"/>
        </w:tabs>
        <w:adjustRightInd w:val="0"/>
        <w:snapToGrid w:val="0"/>
        <w:spacing w:line="360" w:lineRule="auto"/>
        <w:ind w:left="0" w:firstLine="482" w:firstLineChars="200"/>
        <w:rPr>
          <w:rFonts w:hint="eastAsia" w:ascii="宋体" w:hAnsi="宋体" w:eastAsia="宋体" w:cs="宋体"/>
          <w:color w:val="auto"/>
          <w:sz w:val="22"/>
          <w:highlight w:val="none"/>
        </w:rPr>
      </w:pPr>
      <w:r>
        <w:rPr>
          <w:rFonts w:hint="eastAsia" w:ascii="宋体" w:hAnsi="宋体" w:eastAsia="宋体" w:cs="宋体"/>
          <w:color w:val="auto"/>
          <w:highlight w:val="none"/>
        </w:rPr>
        <w:t>本项目免收成交服务费，</w:t>
      </w:r>
      <w:r>
        <w:rPr>
          <w:rFonts w:hint="eastAsia" w:ascii="宋体" w:hAnsi="宋体" w:eastAsia="宋体" w:cs="宋体"/>
          <w:color w:val="auto"/>
          <w:highlight w:val="none"/>
          <w:lang w:val="en-US"/>
        </w:rPr>
        <w:t>评标费用由采购人自行解决</w:t>
      </w:r>
      <w:r>
        <w:rPr>
          <w:rFonts w:hint="eastAsia" w:ascii="宋体" w:hAnsi="宋体" w:eastAsia="宋体" w:cs="宋体"/>
          <w:color w:val="auto"/>
          <w:highlight w:val="none"/>
        </w:rPr>
        <w:t>。</w:t>
      </w:r>
    </w:p>
    <w:p w14:paraId="57A14DDF">
      <w:pPr>
        <w:adjustRightInd w:val="0"/>
        <w:snapToGrid w:val="0"/>
        <w:spacing w:line="360" w:lineRule="auto"/>
        <w:ind w:firstLine="440" w:firstLineChars="200"/>
        <w:rPr>
          <w:rFonts w:hint="eastAsia" w:ascii="宋体" w:hAnsi="宋体" w:eastAsia="宋体" w:cs="宋体"/>
          <w:color w:val="auto"/>
          <w:highlight w:val="none"/>
        </w:rPr>
        <w:sectPr>
          <w:footerReference r:id="rId3" w:type="default"/>
          <w:pgSz w:w="11906" w:h="16838"/>
          <w:pgMar w:top="1440" w:right="1800" w:bottom="1440" w:left="1800" w:header="0" w:footer="721" w:gutter="0"/>
          <w:cols w:space="720" w:num="1"/>
        </w:sectPr>
      </w:pPr>
    </w:p>
    <w:p w14:paraId="2379DEAD">
      <w:pPr>
        <w:numPr>
          <w:ilvl w:val="0"/>
          <w:numId w:val="1"/>
        </w:numPr>
        <w:adjustRightInd w:val="0"/>
        <w:snapToGrid w:val="0"/>
        <w:spacing w:line="360" w:lineRule="auto"/>
        <w:ind w:firstLine="572" w:firstLineChars="200"/>
        <w:rPr>
          <w:rFonts w:hint="eastAsia" w:ascii="宋体" w:hAnsi="宋体" w:eastAsia="宋体" w:cs="宋体"/>
          <w:b/>
          <w:color w:val="auto"/>
          <w:w w:val="95"/>
          <w:sz w:val="30"/>
          <w:highlight w:val="none"/>
        </w:rPr>
      </w:pPr>
      <w:r>
        <w:rPr>
          <w:rFonts w:hint="eastAsia" w:ascii="宋体" w:hAnsi="宋体" w:eastAsia="宋体" w:cs="宋体"/>
          <w:b/>
          <w:color w:val="auto"/>
          <w:w w:val="95"/>
          <w:sz w:val="30"/>
          <w:highlight w:val="none"/>
        </w:rPr>
        <w:t>谈判文件说明</w:t>
      </w:r>
    </w:p>
    <w:p w14:paraId="0CD55DEE">
      <w:pPr>
        <w:adjustRightInd w:val="0"/>
        <w:snapToGrid w:val="0"/>
        <w:spacing w:line="360" w:lineRule="auto"/>
        <w:ind w:left="440" w:leftChars="200"/>
        <w:rPr>
          <w:rFonts w:hint="eastAsia" w:ascii="宋体" w:hAnsi="宋体" w:eastAsia="宋体" w:cs="宋体"/>
          <w:b/>
          <w:color w:val="auto"/>
          <w:sz w:val="24"/>
          <w:highlight w:val="none"/>
        </w:rPr>
      </w:pPr>
      <w:r>
        <w:rPr>
          <w:rFonts w:hint="eastAsia" w:ascii="宋体" w:hAnsi="宋体" w:eastAsia="宋体" w:cs="宋体"/>
          <w:b/>
          <w:color w:val="auto"/>
          <w:w w:val="95"/>
          <w:sz w:val="24"/>
          <w:highlight w:val="none"/>
        </w:rPr>
        <w:t>5、谈判文件的构成：</w:t>
      </w:r>
    </w:p>
    <w:p w14:paraId="7D59FA8E">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5.1谈判文件用以阐明所采购工程的内容、要求及谈判程序。谈判文件由下述部分组成：</w:t>
      </w:r>
    </w:p>
    <w:p w14:paraId="70546782">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谈判邀请函</w:t>
      </w:r>
    </w:p>
    <w:p w14:paraId="13B5F707">
      <w:pPr>
        <w:pStyle w:val="9"/>
        <w:adjustRightInd w:val="0"/>
        <w:snapToGrid w:val="0"/>
        <w:spacing w:line="360" w:lineRule="auto"/>
        <w:ind w:firstLine="47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项目内容及施工要求</w:t>
      </w:r>
      <w:r>
        <w:rPr>
          <w:rFonts w:hint="eastAsia" w:ascii="宋体" w:hAnsi="宋体" w:eastAsia="宋体" w:cs="宋体"/>
          <w:color w:val="auto"/>
          <w:highlight w:val="none"/>
        </w:rPr>
        <w:t>谈判项目要求</w:t>
      </w:r>
    </w:p>
    <w:p w14:paraId="0FCB37F3">
      <w:pPr>
        <w:pStyle w:val="9"/>
        <w:adjustRightInd w:val="0"/>
        <w:snapToGrid w:val="0"/>
        <w:spacing w:line="360" w:lineRule="auto"/>
        <w:ind w:firstLine="468" w:firstLineChars="200"/>
        <w:rPr>
          <w:rFonts w:hint="eastAsia" w:ascii="宋体" w:hAnsi="宋体" w:eastAsia="宋体" w:cs="宋体"/>
          <w:color w:val="auto"/>
          <w:highlight w:val="none"/>
        </w:rPr>
      </w:pPr>
      <w:r>
        <w:rPr>
          <w:rFonts w:hint="eastAsia" w:ascii="宋体" w:hAnsi="宋体" w:eastAsia="宋体" w:cs="宋体"/>
          <w:color w:val="auto"/>
          <w:spacing w:val="-3"/>
          <w:highlight w:val="none"/>
        </w:rPr>
        <w:t>谈判供应商须知</w:t>
      </w:r>
      <w:r>
        <w:rPr>
          <w:rFonts w:hint="eastAsia" w:ascii="宋体" w:hAnsi="宋体" w:eastAsia="宋体" w:cs="宋体"/>
          <w:color w:val="auto"/>
          <w:highlight w:val="none"/>
        </w:rPr>
        <w:t>谈判文件格式</w:t>
      </w:r>
    </w:p>
    <w:p w14:paraId="6D5ACE45">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6、谈判文件的澄清</w:t>
      </w:r>
    </w:p>
    <w:p w14:paraId="4508CCE5">
      <w:pPr>
        <w:pStyle w:val="35"/>
        <w:numPr>
          <w:ilvl w:val="1"/>
          <w:numId w:val="5"/>
        </w:numPr>
        <w:tabs>
          <w:tab w:val="left" w:pos="82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参加谈判的供应商对谈判文件如有需要澄清的疑问，应在谈判截止时间前按谈判邀请函中载明的地址以书面形式通知到</w:t>
      </w: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采购</w:t>
      </w:r>
      <w:r>
        <w:rPr>
          <w:rFonts w:hint="eastAsia" w:ascii="宋体" w:hAnsi="宋体" w:eastAsia="宋体" w:cs="宋体"/>
          <w:color w:val="auto"/>
          <w:sz w:val="24"/>
          <w:highlight w:val="none"/>
        </w:rPr>
        <w:t>人将视情况确定采用适当方式予以澄清或以书面形式予以答复，并在其认为必要时，将不标明查询来源的书面答复</w:t>
      </w:r>
      <w:r>
        <w:rPr>
          <w:rFonts w:hint="eastAsia" w:ascii="宋体" w:hAnsi="宋体" w:eastAsia="宋体" w:cs="宋体"/>
          <w:color w:val="auto"/>
          <w:sz w:val="24"/>
          <w:highlight w:val="none"/>
          <w:lang w:val="en-US"/>
        </w:rPr>
        <w:t>以网上公告的形式告知</w:t>
      </w:r>
      <w:r>
        <w:rPr>
          <w:rFonts w:hint="eastAsia" w:ascii="宋体" w:hAnsi="宋体" w:eastAsia="宋体" w:cs="宋体"/>
          <w:color w:val="auto"/>
          <w:sz w:val="24"/>
          <w:highlight w:val="none"/>
        </w:rPr>
        <w:t>谈判文件的所有潜在谈判供应商。</w:t>
      </w:r>
    </w:p>
    <w:p w14:paraId="2BA62F9A">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7、谈判文件的修改</w:t>
      </w:r>
    </w:p>
    <w:p w14:paraId="1E0F9579">
      <w:pPr>
        <w:pStyle w:val="9"/>
        <w:adjustRightInd w:val="0"/>
        <w:snapToGrid w:val="0"/>
        <w:spacing w:line="360" w:lineRule="auto"/>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7.1谈判文件的修改将构成谈判文件的一部分，对所有参加谈判的供应商均有约束力。</w:t>
      </w:r>
    </w:p>
    <w:p w14:paraId="7E9D3F6F">
      <w:pPr>
        <w:spacing w:line="360" w:lineRule="auto"/>
        <w:ind w:firstLine="55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7.2</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val="en-US"/>
        </w:rPr>
        <w:t>或采购中心</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rPr>
        <w:t>谈判</w:t>
      </w:r>
      <w:r>
        <w:rPr>
          <w:rFonts w:hint="eastAsia" w:ascii="宋体" w:hAnsi="宋体" w:eastAsia="宋体" w:cs="宋体"/>
          <w:color w:val="auto"/>
          <w:sz w:val="24"/>
          <w:highlight w:val="none"/>
        </w:rPr>
        <w:t>文件进行的澄清、更正或更改，将在</w:t>
      </w:r>
      <w:r>
        <w:rPr>
          <w:rFonts w:hint="eastAsia" w:ascii="宋体" w:hAnsi="宋体" w:eastAsia="宋体" w:cs="宋体"/>
          <w:color w:val="auto"/>
          <w:sz w:val="24"/>
          <w:highlight w:val="none"/>
          <w:lang w:val="en-US"/>
        </w:rPr>
        <w:t>河南省政府采购</w:t>
      </w:r>
      <w:r>
        <w:rPr>
          <w:rFonts w:hint="eastAsia" w:ascii="宋体" w:hAnsi="宋体" w:eastAsia="宋体" w:cs="宋体"/>
          <w:color w:val="auto"/>
          <w:sz w:val="24"/>
          <w:highlight w:val="none"/>
        </w:rPr>
        <w:t>网站</w:t>
      </w:r>
      <w:r>
        <w:rPr>
          <w:rFonts w:hint="eastAsia" w:ascii="宋体" w:hAnsi="宋体" w:eastAsia="宋体" w:cs="宋体"/>
          <w:color w:val="auto"/>
          <w:sz w:val="24"/>
          <w:highlight w:val="none"/>
          <w:lang w:val="en-US"/>
        </w:rPr>
        <w:t>及周口市公共资源交易中心网站</w:t>
      </w:r>
      <w:r>
        <w:rPr>
          <w:rFonts w:hint="eastAsia" w:ascii="宋体" w:hAnsi="宋体" w:eastAsia="宋体" w:cs="宋体"/>
          <w:color w:val="auto"/>
          <w:sz w:val="24"/>
          <w:highlight w:val="none"/>
        </w:rPr>
        <w:t>上及时发布，投标人应主动上网查询。周口市公共资源交易中心政府采购中心或采购人不承担投标人未及时关注相关信息引发的相关责任。对竞争性</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文件进行的澄清，以网上公告的方式通知供应商。澄清或修改的内容可能影响响应文件编制的，采购人、采购代理机构应当在提交响应文件截止时间至少</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日前。</w:t>
      </w:r>
    </w:p>
    <w:p w14:paraId="743FC6FB">
      <w:pPr>
        <w:spacing w:line="360" w:lineRule="auto"/>
        <w:ind w:firstLine="55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7.3</w:t>
      </w:r>
      <w:r>
        <w:rPr>
          <w:rFonts w:hint="eastAsia" w:ascii="宋体" w:hAnsi="宋体" w:eastAsia="宋体" w:cs="宋体"/>
          <w:color w:val="auto"/>
          <w:sz w:val="24"/>
          <w:highlight w:val="none"/>
        </w:rPr>
        <w:t>在投标截止时间前，采购人可以视采购具体情况，延长投标截止时间和开标时间，并在</w:t>
      </w:r>
      <w:r>
        <w:rPr>
          <w:rFonts w:hint="eastAsia" w:ascii="宋体" w:hAnsi="宋体" w:eastAsia="宋体" w:cs="宋体"/>
          <w:color w:val="auto"/>
          <w:sz w:val="24"/>
          <w:highlight w:val="none"/>
          <w:lang w:val="en-US"/>
        </w:rPr>
        <w:t>谈判</w:t>
      </w:r>
      <w:r>
        <w:rPr>
          <w:rFonts w:hint="eastAsia" w:ascii="宋体" w:hAnsi="宋体" w:eastAsia="宋体" w:cs="宋体"/>
          <w:color w:val="auto"/>
          <w:sz w:val="24"/>
          <w:highlight w:val="none"/>
        </w:rPr>
        <w:t>文件要求提交投标文件的截止时间前，在网站上发布变更公告。在上述情况下，采购人和投标人在投标截止期方面的全部权力、责任和义务，将适用于延长后新的投标截止期。</w:t>
      </w:r>
    </w:p>
    <w:p w14:paraId="6EDC38D4">
      <w:pPr>
        <w:pStyle w:val="6"/>
        <w:adjustRightInd w:val="0"/>
        <w:snapToGrid w:val="0"/>
        <w:spacing w:line="360" w:lineRule="auto"/>
        <w:ind w:left="0" w:firstLine="602" w:firstLineChars="200"/>
        <w:rPr>
          <w:rFonts w:hint="eastAsia" w:ascii="宋体" w:hAnsi="宋体" w:eastAsia="宋体" w:cs="宋体"/>
          <w:color w:val="auto"/>
          <w:highlight w:val="none"/>
        </w:rPr>
      </w:pPr>
      <w:bookmarkStart w:id="61" w:name="_Toc7048"/>
      <w:bookmarkStart w:id="62" w:name="_Toc13568"/>
      <w:r>
        <w:rPr>
          <w:rFonts w:hint="eastAsia" w:ascii="宋体" w:hAnsi="宋体" w:eastAsia="宋体" w:cs="宋体"/>
          <w:color w:val="auto"/>
          <w:highlight w:val="none"/>
        </w:rPr>
        <w:t>C、谈判响应文件的编写</w:t>
      </w:r>
      <w:bookmarkEnd w:id="61"/>
      <w:bookmarkEnd w:id="62"/>
    </w:p>
    <w:p w14:paraId="72E1C6BE">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8、要求</w:t>
      </w:r>
    </w:p>
    <w:p w14:paraId="5C5172B9">
      <w:pPr>
        <w:pStyle w:val="35"/>
        <w:numPr>
          <w:ilvl w:val="1"/>
          <w:numId w:val="6"/>
        </w:numPr>
        <w:tabs>
          <w:tab w:val="left" w:pos="819"/>
        </w:tabs>
        <w:adjustRightInd w:val="0"/>
        <w:snapToGrid w:val="0"/>
        <w:spacing w:line="360" w:lineRule="auto"/>
        <w:ind w:left="0" w:firstLine="468"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谈判的供应商应仔细阅读谈判文件的所有内容，按谈判文件的要求提供响</w:t>
      </w:r>
      <w:r>
        <w:rPr>
          <w:rFonts w:hint="eastAsia" w:ascii="宋体" w:hAnsi="宋体" w:eastAsia="宋体" w:cs="宋体"/>
          <w:color w:val="auto"/>
          <w:sz w:val="24"/>
          <w:highlight w:val="none"/>
        </w:rPr>
        <w:t>应文件，并</w:t>
      </w:r>
      <w:r>
        <w:rPr>
          <w:rFonts w:hint="eastAsia" w:cs="宋体"/>
          <w:color w:val="auto"/>
          <w:sz w:val="24"/>
          <w:highlight w:val="none"/>
          <w:lang w:val="en-US" w:eastAsia="zh-CN"/>
        </w:rPr>
        <w:t>书面</w:t>
      </w:r>
      <w:r>
        <w:rPr>
          <w:rFonts w:hint="eastAsia" w:ascii="宋体" w:hAnsi="宋体" w:eastAsia="宋体" w:cs="宋体"/>
          <w:color w:val="auto"/>
          <w:sz w:val="24"/>
          <w:highlight w:val="none"/>
        </w:rPr>
        <w:t>保证所提供的全部资料的真实性，以使其投标对谈判文件做出实质性响应，否则，其响应可能被拒绝。</w:t>
      </w:r>
    </w:p>
    <w:p w14:paraId="2E5AB94F">
      <w:pPr>
        <w:pStyle w:val="35"/>
        <w:numPr>
          <w:ilvl w:val="1"/>
          <w:numId w:val="6"/>
        </w:numPr>
        <w:tabs>
          <w:tab w:val="left" w:pos="805"/>
        </w:tabs>
        <w:adjustRightInd w:val="0"/>
        <w:snapToGrid w:val="0"/>
        <w:spacing w:line="360" w:lineRule="auto"/>
        <w:ind w:left="0" w:firstLine="468"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3"/>
          <w:sz w:val="24"/>
          <w:highlight w:val="none"/>
        </w:rPr>
        <w:t>谈判文件格式、内容：</w:t>
      </w:r>
      <w:r>
        <w:rPr>
          <w:rFonts w:hint="eastAsia" w:cs="宋体"/>
          <w:color w:val="auto"/>
          <w:spacing w:val="-3"/>
          <w:sz w:val="24"/>
          <w:highlight w:val="none"/>
          <w:lang w:val="en-US" w:eastAsia="zh-CN"/>
        </w:rPr>
        <w:t>严格</w:t>
      </w:r>
      <w:r>
        <w:rPr>
          <w:rFonts w:hint="eastAsia" w:ascii="宋体" w:hAnsi="宋体" w:eastAsia="宋体" w:cs="宋体"/>
          <w:color w:val="auto"/>
          <w:spacing w:val="-3"/>
          <w:sz w:val="24"/>
          <w:highlight w:val="none"/>
        </w:rPr>
        <w:t>顺序制作响应性文件，并编制目录及分页码总页码，否则可能将影响对响应性文件的评价。谈判文件均以中文印刷体，中文以外的文字应附以中文译</w:t>
      </w:r>
      <w:r>
        <w:rPr>
          <w:rFonts w:hint="eastAsia" w:ascii="宋体" w:hAnsi="宋体" w:eastAsia="宋体" w:cs="宋体"/>
          <w:color w:val="auto"/>
          <w:sz w:val="24"/>
          <w:highlight w:val="none"/>
        </w:rPr>
        <w:t>文，中外文不符时，以中文为准。</w:t>
      </w:r>
    </w:p>
    <w:p w14:paraId="7999DB82">
      <w:pPr>
        <w:pStyle w:val="35"/>
        <w:tabs>
          <w:tab w:val="left" w:pos="580"/>
        </w:tabs>
        <w:adjustRightInd w:val="0"/>
        <w:snapToGrid w:val="0"/>
        <w:spacing w:line="360" w:lineRule="auto"/>
        <w:ind w:left="440" w:leftChars="200" w:firstLine="0"/>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lang w:val="en-US"/>
        </w:rPr>
        <w:t>8.3</w:t>
      </w:r>
      <w:r>
        <w:rPr>
          <w:rFonts w:hint="eastAsia" w:ascii="宋体" w:hAnsi="宋体" w:eastAsia="宋体" w:cs="宋体"/>
          <w:color w:val="auto"/>
          <w:spacing w:val="-3"/>
          <w:sz w:val="24"/>
          <w:highlight w:val="none"/>
        </w:rPr>
        <w:t>谈判文件中计量单位：除在谈判文件的技术规格中另有规定外，计量单位使用中</w:t>
      </w:r>
    </w:p>
    <w:p w14:paraId="30B60986">
      <w:pPr>
        <w:pStyle w:val="35"/>
        <w:tabs>
          <w:tab w:val="left" w:pos="580"/>
        </w:tabs>
        <w:adjustRightInd w:val="0"/>
        <w:snapToGrid w:val="0"/>
        <w:spacing w:line="360" w:lineRule="auto"/>
        <w:ind w:left="0" w:firstLine="0"/>
        <w:rPr>
          <w:rFonts w:hint="eastAsia" w:ascii="宋体" w:hAnsi="宋体" w:eastAsia="宋体" w:cs="宋体"/>
          <w:color w:val="auto"/>
          <w:spacing w:val="-3"/>
          <w:sz w:val="24"/>
          <w:highlight w:val="none"/>
        </w:rPr>
      </w:pPr>
      <w:r>
        <w:rPr>
          <w:rFonts w:hint="eastAsia" w:ascii="宋体" w:hAnsi="宋体" w:eastAsia="宋体" w:cs="宋体"/>
          <w:color w:val="auto"/>
          <w:spacing w:val="-3"/>
          <w:sz w:val="24"/>
          <w:highlight w:val="none"/>
        </w:rPr>
        <w:t>华人民共和国法定计量单位。</w:t>
      </w:r>
    </w:p>
    <w:p w14:paraId="1BCE2D2B">
      <w:pPr>
        <w:pStyle w:val="35"/>
        <w:tabs>
          <w:tab w:val="left" w:pos="710"/>
        </w:tabs>
        <w:adjustRightInd w:val="0"/>
        <w:snapToGrid w:val="0"/>
        <w:spacing w:line="360" w:lineRule="auto"/>
        <w:ind w:left="0" w:firstLine="472" w:firstLineChars="200"/>
        <w:jc w:val="both"/>
        <w:rPr>
          <w:rFonts w:hint="eastAsia" w:cs="宋体"/>
          <w:color w:val="auto"/>
          <w:spacing w:val="-2"/>
          <w:sz w:val="24"/>
          <w:highlight w:val="none"/>
          <w:lang w:eastAsia="zh-CN"/>
        </w:rPr>
      </w:pPr>
      <w:r>
        <w:rPr>
          <w:rFonts w:hint="eastAsia" w:ascii="宋体" w:hAnsi="宋体" w:eastAsia="宋体" w:cs="宋体"/>
          <w:color w:val="auto"/>
          <w:spacing w:val="-2"/>
          <w:sz w:val="24"/>
          <w:highlight w:val="none"/>
        </w:rPr>
        <w:t>8.4谈判供应商的谈判响应文件必须加盖谈判供应商公章（指投标人的行政章），采购人不接受加盖其他印鉴（如合同章、投标专用章等印鉴）的谈判文件。生成后的电子响应文件需要供应商法定代表人或委托代理人逐页签字盖章</w:t>
      </w:r>
      <w:r>
        <w:rPr>
          <w:rFonts w:hint="eastAsia" w:cs="宋体"/>
          <w:color w:val="auto"/>
          <w:spacing w:val="-2"/>
          <w:sz w:val="24"/>
          <w:highlight w:val="none"/>
          <w:lang w:eastAsia="zh-CN"/>
        </w:rPr>
        <w:t>。</w:t>
      </w:r>
    </w:p>
    <w:p w14:paraId="523308CE">
      <w:pPr>
        <w:pStyle w:val="35"/>
        <w:tabs>
          <w:tab w:val="left" w:pos="710"/>
        </w:tabs>
        <w:adjustRightInd w:val="0"/>
        <w:snapToGrid w:val="0"/>
        <w:spacing w:line="360" w:lineRule="auto"/>
        <w:ind w:left="0" w:firstLine="472" w:firstLineChars="200"/>
        <w:jc w:val="both"/>
        <w:rPr>
          <w:rFonts w:hint="eastAsia" w:cs="宋体"/>
          <w:color w:val="auto"/>
          <w:spacing w:val="-2"/>
          <w:sz w:val="24"/>
          <w:highlight w:val="none"/>
          <w:lang w:eastAsia="zh-CN"/>
        </w:rPr>
      </w:pPr>
      <w:r>
        <w:rPr>
          <w:rFonts w:hint="eastAsia"/>
          <w:color w:val="auto"/>
          <w:spacing w:val="-2"/>
          <w:sz w:val="24"/>
          <w:highlight w:val="none"/>
          <w:lang w:val="en-US" w:eastAsia="zh-CN"/>
        </w:rPr>
        <w:t>8.5</w:t>
      </w:r>
      <w:r>
        <w:rPr>
          <w:rFonts w:hint="eastAsia" w:ascii="宋体" w:hAnsi="宋体" w:cs="宋体"/>
          <w:color w:val="auto"/>
          <w:sz w:val="24"/>
          <w:highlight w:val="none"/>
        </w:rPr>
        <w:t>投标人应认真阅读招标文件中所有的事项、格式、条件、条款和规范等要求。</w:t>
      </w:r>
      <w:r>
        <w:rPr>
          <w:rFonts w:hint="eastAsia" w:ascii="宋体" w:hAnsi="宋体" w:eastAsia="宋体"/>
          <w:color w:val="auto"/>
          <w:sz w:val="24"/>
          <w:highlight w:val="none"/>
        </w:rPr>
        <w:t>如果有异议在规定的时间内提出，没有异议需做出“无异议”承诺书，承诺书作为响应文件的组织部分，否则为无效响应文件</w:t>
      </w:r>
    </w:p>
    <w:p w14:paraId="39291587">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9、谈判文件的组成</w:t>
      </w:r>
    </w:p>
    <w:p w14:paraId="1C4E2307">
      <w:pPr>
        <w:pStyle w:val="35"/>
        <w:numPr>
          <w:ilvl w:val="1"/>
          <w:numId w:val="7"/>
        </w:numPr>
        <w:tabs>
          <w:tab w:val="left" w:pos="819"/>
        </w:tabs>
        <w:adjustRightInd w:val="0"/>
        <w:snapToGrid w:val="0"/>
        <w:spacing w:line="360" w:lineRule="auto"/>
        <w:ind w:left="0" w:firstLine="472" w:firstLineChars="200"/>
        <w:rPr>
          <w:rFonts w:hint="eastAsia" w:ascii="宋体" w:hAnsi="宋体" w:eastAsia="宋体" w:cs="宋体"/>
          <w:color w:val="auto"/>
          <w:sz w:val="24"/>
          <w:highlight w:val="none"/>
        </w:rPr>
      </w:pPr>
      <w:r>
        <w:rPr>
          <w:rFonts w:hint="eastAsia" w:ascii="宋体" w:hAnsi="宋体" w:eastAsia="宋体" w:cs="宋体"/>
          <w:color w:val="auto"/>
          <w:spacing w:val="-2"/>
          <w:sz w:val="24"/>
          <w:highlight w:val="none"/>
        </w:rPr>
        <w:t>谈判文件应包括下列部分。</w:t>
      </w:r>
    </w:p>
    <w:p w14:paraId="2526B218">
      <w:pPr>
        <w:pStyle w:val="9"/>
        <w:spacing w:before="5" w:line="364" w:lineRule="auto"/>
        <w:ind w:left="218" w:right="616" w:firstLine="71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）谈判响应函(附件一)按统一格式填写，由投标单位加盖公章，并由投标单位法定代表人或其授权代表人签字盖章。</w:t>
      </w:r>
    </w:p>
    <w:p w14:paraId="11CAD689">
      <w:pPr>
        <w:pStyle w:val="9"/>
        <w:spacing w:line="306" w:lineRule="exact"/>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）谈判价格一览表</w:t>
      </w:r>
    </w:p>
    <w:p w14:paraId="2A8652AF">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）优惠条件及服务承诺</w:t>
      </w:r>
    </w:p>
    <w:p w14:paraId="2AE298B0">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）施工图预算书</w:t>
      </w:r>
    </w:p>
    <w:p w14:paraId="722F0937">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）施工组织设计</w:t>
      </w:r>
    </w:p>
    <w:p w14:paraId="2F155871">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）劳动力计划表</w:t>
      </w:r>
    </w:p>
    <w:p w14:paraId="0A68C36A">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）计划开、竣工日期和施工进度表</w:t>
      </w:r>
    </w:p>
    <w:p w14:paraId="048DE8FC">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）项目管理机构配备情况表</w:t>
      </w:r>
    </w:p>
    <w:p w14:paraId="3EF37FCA">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）项目负责人简历表</w:t>
      </w:r>
    </w:p>
    <w:p w14:paraId="4DCE1C04">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）项目管理机构配备情况辅助说明资料</w:t>
      </w:r>
    </w:p>
    <w:p w14:paraId="036B0610">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）关于资格的声明函</w:t>
      </w:r>
    </w:p>
    <w:p w14:paraId="574A2AC3">
      <w:pPr>
        <w:pStyle w:val="9"/>
        <w:spacing w:before="159"/>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）授权委托书</w:t>
      </w:r>
    </w:p>
    <w:p w14:paraId="16F865BF">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）其它相关资料</w:t>
      </w:r>
    </w:p>
    <w:p w14:paraId="08048052">
      <w:pPr>
        <w:pStyle w:val="35"/>
        <w:numPr>
          <w:ilvl w:val="1"/>
          <w:numId w:val="7"/>
        </w:numPr>
        <w:tabs>
          <w:tab w:val="left" w:pos="938"/>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资格证明文件包括:</w:t>
      </w:r>
    </w:p>
    <w:p w14:paraId="558E4DA1">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加盖单位公章的营业执照复印件。</w:t>
      </w:r>
    </w:p>
    <w:p w14:paraId="5443B58F">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法人授权委托书。</w:t>
      </w:r>
    </w:p>
    <w:p w14:paraId="5CC8B25B">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授权代表身份证复印件。</w:t>
      </w:r>
    </w:p>
    <w:p w14:paraId="6F292EE2">
      <w:pPr>
        <w:pStyle w:val="9"/>
        <w:adjustRightInd w:val="0"/>
        <w:snapToGrid w:val="0"/>
        <w:spacing w:line="360" w:lineRule="auto"/>
        <w:ind w:firstLine="480" w:firstLineChars="200"/>
        <w:rPr>
          <w:rFonts w:hint="eastAsia" w:ascii="宋体" w:hAnsi="宋体" w:eastAsia="宋体" w:cs="宋体"/>
          <w:color w:val="auto"/>
          <w:sz w:val="28"/>
          <w:highlight w:val="none"/>
        </w:rPr>
      </w:pPr>
      <w:r>
        <w:rPr>
          <w:rFonts w:hint="eastAsia" w:ascii="宋体" w:hAnsi="宋体" w:eastAsia="宋体" w:cs="宋体"/>
          <w:color w:val="auto"/>
          <w:highlight w:val="none"/>
        </w:rPr>
        <w:t>其他有关证明复印件</w:t>
      </w:r>
      <w:r>
        <w:rPr>
          <w:rFonts w:hint="eastAsia" w:ascii="宋体" w:hAnsi="宋体" w:eastAsia="宋体" w:cs="宋体"/>
          <w:color w:val="auto"/>
          <w:sz w:val="28"/>
          <w:highlight w:val="none"/>
        </w:rPr>
        <w:t>。</w:t>
      </w:r>
    </w:p>
    <w:p w14:paraId="67DA76A1">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10、谈判文件格式</w:t>
      </w:r>
    </w:p>
    <w:p w14:paraId="2C83E691">
      <w:pPr>
        <w:pStyle w:val="9"/>
        <w:adjustRightInd w:val="0"/>
        <w:snapToGrid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10.1谈判人应按谈判文件中第五部分谈判文件格式填写，谈判供应商认为需加以说明的其它内容可列备注栏。不按谈判文件内容填写或填写不完整视为无效响应。</w:t>
      </w:r>
    </w:p>
    <w:p w14:paraId="71919B44">
      <w:pPr>
        <w:spacing w:line="360" w:lineRule="auto"/>
        <w:ind w:firstLine="220" w:firstLineChars="100"/>
        <w:rPr>
          <w:rFonts w:hint="eastAsia"/>
          <w:color w:val="auto"/>
        </w:rPr>
      </w:pPr>
      <w:r>
        <w:rPr>
          <w:rFonts w:hint="eastAsia"/>
          <w:color w:val="auto"/>
        </w:rPr>
        <w:t>1</w:t>
      </w:r>
      <w:r>
        <w:rPr>
          <w:rFonts w:hint="eastAsia" w:ascii="宋体" w:hAnsi="宋体" w:eastAsia="宋体" w:cs="宋体"/>
          <w:color w:val="auto"/>
          <w:sz w:val="24"/>
          <w:szCs w:val="24"/>
          <w:highlight w:val="none"/>
          <w:lang w:val="zh-CN" w:eastAsia="zh-CN" w:bidi="zh-CN"/>
        </w:rPr>
        <w:t>0.2投标人应当按照招标文件的要求编制投标文件。投标文件应对招标文件提出的要求和条件作出实质性响应。并保证所提供的全部资料的真实性，以使其投标对谈判文件做出实质性响应，否则，其响应可能被拒绝。供应商提交的资料应证明其满足招标文件要求并在材料上面标注“与原件一致”字样，该文件包括资格材料、文字资料、图纸和数据等详细描述的资料,否则视为不响应招标文件。</w:t>
      </w:r>
    </w:p>
    <w:p w14:paraId="19848664">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11、谈判报价</w:t>
      </w:r>
    </w:p>
    <w:p w14:paraId="406702E8">
      <w:pPr>
        <w:pStyle w:val="35"/>
        <w:numPr>
          <w:ilvl w:val="1"/>
          <w:numId w:val="8"/>
        </w:numPr>
        <w:tabs>
          <w:tab w:val="left" w:pos="939"/>
        </w:tabs>
        <w:adjustRightInd w:val="0"/>
        <w:snapToGrid w:val="0"/>
        <w:spacing w:line="360" w:lineRule="auto"/>
        <w:ind w:left="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highlight w:val="none"/>
        </w:rPr>
        <w:t>谈判报价为工程交付使用前的所有费用</w:t>
      </w:r>
      <w:r>
        <w:rPr>
          <w:rFonts w:hint="eastAsia" w:ascii="宋体" w:hAnsi="宋体" w:eastAsia="宋体" w:cs="宋体"/>
          <w:color w:val="auto"/>
          <w:sz w:val="24"/>
          <w:highlight w:val="none"/>
        </w:rPr>
        <w:t>（</w:t>
      </w:r>
      <w:r>
        <w:rPr>
          <w:rFonts w:hint="eastAsia" w:ascii="宋体" w:hAnsi="宋体" w:eastAsia="宋体" w:cs="宋体"/>
          <w:color w:val="auto"/>
          <w:spacing w:val="-3"/>
          <w:sz w:val="24"/>
          <w:highlight w:val="none"/>
        </w:rPr>
        <w:t>含材料费、施工费、税金等</w:t>
      </w:r>
      <w:r>
        <w:rPr>
          <w:rFonts w:hint="eastAsia" w:ascii="宋体" w:hAnsi="宋体" w:eastAsia="宋体" w:cs="宋体"/>
          <w:color w:val="auto"/>
          <w:spacing w:val="-12"/>
          <w:sz w:val="24"/>
          <w:highlight w:val="none"/>
        </w:rPr>
        <w:t>），</w:t>
      </w:r>
      <w:r>
        <w:rPr>
          <w:rFonts w:hint="eastAsia" w:ascii="宋体" w:hAnsi="宋体" w:eastAsia="宋体" w:cs="宋体"/>
          <w:color w:val="auto"/>
          <w:sz w:val="24"/>
          <w:highlight w:val="none"/>
        </w:rPr>
        <w:t>以人民币为单位</w:t>
      </w:r>
      <w:r>
        <w:rPr>
          <w:rFonts w:hint="eastAsia" w:ascii="宋体" w:hAnsi="宋体" w:eastAsia="宋体" w:cs="宋体"/>
          <w:color w:val="auto"/>
          <w:sz w:val="24"/>
          <w:szCs w:val="24"/>
          <w:highlight w:val="none"/>
        </w:rPr>
        <w:t>。投标人应当在投标文件中列出完成本项目并通过验收所需的所有各项服务等明细表及全部费用。中标人必须确保整体通过用户方及有关主管部门验收,所发生的验收费用由中标人承担；投标人</w:t>
      </w:r>
      <w:r>
        <w:rPr>
          <w:rFonts w:hint="eastAsia" w:cs="宋体"/>
          <w:color w:val="auto"/>
          <w:sz w:val="24"/>
          <w:szCs w:val="24"/>
          <w:highlight w:val="none"/>
          <w:lang w:eastAsia="zh-CN"/>
        </w:rPr>
        <w:t>应</w:t>
      </w:r>
      <w:r>
        <w:rPr>
          <w:rFonts w:hint="eastAsia" w:ascii="宋体" w:hAnsi="宋体" w:eastAsia="宋体" w:cs="宋体"/>
          <w:color w:val="auto"/>
          <w:sz w:val="24"/>
          <w:szCs w:val="24"/>
          <w:highlight w:val="none"/>
        </w:rPr>
        <w:t>踏勘现场，如投标人因未及时踏勘现场而导致的报价缺项漏项废标、或中标后无法完工，投标人自行承担一切后果。</w:t>
      </w:r>
    </w:p>
    <w:p w14:paraId="60625651">
      <w:pPr>
        <w:pStyle w:val="35"/>
        <w:numPr>
          <w:ilvl w:val="1"/>
          <w:numId w:val="8"/>
        </w:numPr>
        <w:tabs>
          <w:tab w:val="left" w:pos="939"/>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color w:val="auto"/>
          <w:sz w:val="24"/>
          <w:highlight w:val="none"/>
        </w:rPr>
        <w:t>谈判供应商应填写谈判价格一览表、工程施工预算表，如果分项报价与单价不符，则以单价为准；其它表格与谈判报价一览表不符，以谈判报价一览表为准；小写与大写不符，以大写为准</w:t>
      </w:r>
      <w:r>
        <w:rPr>
          <w:rFonts w:hint="eastAsia"/>
          <w:color w:val="auto"/>
          <w:sz w:val="24"/>
          <w:highlight w:val="none"/>
          <w:lang w:eastAsia="zh-CN"/>
        </w:rPr>
        <w:t>，</w:t>
      </w:r>
      <w:r>
        <w:rPr>
          <w:rFonts w:hint="eastAsia" w:cs="宋体"/>
          <w:color w:val="auto"/>
          <w:sz w:val="24"/>
          <w:highlight w:val="none"/>
          <w:lang w:eastAsia="zh-CN"/>
        </w:rPr>
        <w:t>并在最终投标报价处加盖公章</w:t>
      </w:r>
      <w:r>
        <w:rPr>
          <w:rFonts w:hint="eastAsia" w:ascii="宋体" w:hAnsi="宋体" w:eastAsia="宋体" w:cs="宋体"/>
          <w:color w:val="auto"/>
          <w:sz w:val="24"/>
          <w:szCs w:val="24"/>
          <w:highlight w:val="none"/>
        </w:rPr>
        <w:t>。</w:t>
      </w:r>
    </w:p>
    <w:p w14:paraId="7F8885DD">
      <w:pPr>
        <w:pStyle w:val="35"/>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谈判供应商应填写谈判价格一览表、工程施工预算表，如果分项报价与单价不符，则以单价为准；其它表格与谈判报价一览表不符，以谈判报价一览表为准；小写与大写不符，以大写为准；</w:t>
      </w:r>
    </w:p>
    <w:p w14:paraId="634408A6">
      <w:pPr>
        <w:pStyle w:val="35"/>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谈判报价执行政府采购政策，被认定为小微企业最终报价按扣除</w:t>
      </w:r>
      <w:r>
        <w:rPr>
          <w:rFonts w:hint="eastAsia" w:cs="宋体"/>
          <w:color w:val="auto"/>
          <w:sz w:val="24"/>
          <w:highlight w:val="none"/>
          <w:lang w:val="en-US" w:eastAsia="zh-CN"/>
        </w:rPr>
        <w:t>5</w:t>
      </w:r>
      <w:r>
        <w:rPr>
          <w:rFonts w:hint="eastAsia" w:ascii="宋体" w:hAnsi="宋体" w:eastAsia="宋体" w:cs="宋体"/>
          <w:color w:val="auto"/>
          <w:sz w:val="24"/>
          <w:highlight w:val="none"/>
        </w:rPr>
        <w:t>%作为评审报价。</w:t>
      </w:r>
    </w:p>
    <w:p w14:paraId="5E3C3CC5">
      <w:pPr>
        <w:pStyle w:val="35"/>
        <w:numPr>
          <w:ilvl w:val="1"/>
          <w:numId w:val="8"/>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小微企业认定：投标人提供小微企业声明函。</w:t>
      </w:r>
    </w:p>
    <w:p w14:paraId="319061C5">
      <w:pPr>
        <w:pStyle w:val="35"/>
        <w:numPr>
          <w:ilvl w:val="0"/>
          <w:numId w:val="0"/>
        </w:numPr>
        <w:tabs>
          <w:tab w:val="left" w:pos="941"/>
        </w:tabs>
        <w:adjustRightInd w:val="0"/>
        <w:snapToGrid w:val="0"/>
        <w:spacing w:line="360" w:lineRule="auto"/>
        <w:ind w:left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11.5网上报价，见周口市公共资源交易中心网站下载中心版块《投标单位-电子投标文件视频制作手册》中的《周口市公共资源交易系统政府采购供应商操作手册》相关规定。</w:t>
      </w:r>
    </w:p>
    <w:p w14:paraId="3F7CBE24">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12、谈判供应商资格证明文件</w:t>
      </w:r>
    </w:p>
    <w:p w14:paraId="084D5C16">
      <w:pPr>
        <w:pStyle w:val="35"/>
        <w:numPr>
          <w:ilvl w:val="1"/>
          <w:numId w:val="9"/>
        </w:numPr>
        <w:tabs>
          <w:tab w:val="left" w:pos="934"/>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谈判供应商资格证明文件，证明谈判供应商是合格的，且一旦其响应被接受，谈判供应商有能力履行合同。</w:t>
      </w:r>
    </w:p>
    <w:p w14:paraId="0F96A76E">
      <w:pPr>
        <w:pStyle w:val="35"/>
        <w:numPr>
          <w:ilvl w:val="1"/>
          <w:numId w:val="9"/>
        </w:numPr>
        <w:tabs>
          <w:tab w:val="left" w:pos="934"/>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谈判工程符合谈判文件规定的证明文件，证明谈判供应商提供的施工服务是合格的，且符合国家有关标准、谈判文件规定</w:t>
      </w:r>
    </w:p>
    <w:p w14:paraId="1627B538">
      <w:pPr>
        <w:pStyle w:val="35"/>
        <w:numPr>
          <w:ilvl w:val="1"/>
          <w:numId w:val="9"/>
        </w:numPr>
        <w:tabs>
          <w:tab w:val="left" w:pos="934"/>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及谈判供应商认为需加以说明的其它内容。</w:t>
      </w:r>
    </w:p>
    <w:p w14:paraId="403BE39F">
      <w:pPr>
        <w:pStyle w:val="35"/>
        <w:numPr>
          <w:ilvl w:val="1"/>
          <w:numId w:val="9"/>
        </w:numPr>
        <w:tabs>
          <w:tab w:val="left" w:pos="932"/>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谈判供应商有履行合同所需的财务、技术、施工能力。</w:t>
      </w:r>
    </w:p>
    <w:p w14:paraId="37EF59FE">
      <w:pPr>
        <w:pStyle w:val="35"/>
        <w:numPr>
          <w:ilvl w:val="1"/>
          <w:numId w:val="9"/>
        </w:numPr>
        <w:tabs>
          <w:tab w:val="left" w:pos="934"/>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谈判供应商有能力履行谈判文件中合同条款和施工要求规定的由谈判供应商履行的服务义务。</w:t>
      </w:r>
    </w:p>
    <w:p w14:paraId="66D74922">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13、谈判保证金</w:t>
      </w:r>
    </w:p>
    <w:p w14:paraId="4516043F">
      <w:pPr>
        <w:pStyle w:val="7"/>
        <w:adjustRightInd w:val="0"/>
        <w:snapToGrid w:val="0"/>
        <w:spacing w:line="360" w:lineRule="auto"/>
        <w:ind w:left="0" w:firstLine="480" w:firstLineChars="200"/>
        <w:rPr>
          <w:rFonts w:hint="eastAsia" w:ascii="宋体" w:hAnsi="宋体" w:eastAsia="宋体" w:cs="宋体"/>
          <w:b w:val="0"/>
          <w:bCs w:val="0"/>
          <w:color w:val="auto"/>
          <w:szCs w:val="22"/>
          <w:highlight w:val="none"/>
          <w:lang w:val="en-US"/>
        </w:rPr>
      </w:pPr>
      <w:r>
        <w:rPr>
          <w:rFonts w:hint="eastAsia" w:ascii="宋体" w:hAnsi="宋体" w:eastAsia="宋体" w:cs="宋体"/>
          <w:b w:val="0"/>
          <w:bCs w:val="0"/>
          <w:color w:val="auto"/>
          <w:szCs w:val="22"/>
          <w:highlight w:val="none"/>
          <w:lang w:val="en-US"/>
        </w:rPr>
        <w:t>不需要缴纳谈判保证金</w:t>
      </w:r>
    </w:p>
    <w:p w14:paraId="341E52AB">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14、投标有效期</w:t>
      </w:r>
    </w:p>
    <w:p w14:paraId="5BCD5F63">
      <w:pPr>
        <w:pStyle w:val="35"/>
        <w:numPr>
          <w:ilvl w:val="1"/>
          <w:numId w:val="10"/>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谈判响应文件有效期为自谈判之日起60天内，成交的谈判文件其有效期应延续至合同执行结束，有效期短于这个规定期限的谈判供应商将被拒绝。</w:t>
      </w:r>
    </w:p>
    <w:p w14:paraId="6E24CF37">
      <w:pPr>
        <w:pStyle w:val="35"/>
        <w:numPr>
          <w:ilvl w:val="1"/>
          <w:numId w:val="10"/>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特殊情况下，</w:t>
      </w: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3D4242AA">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15、谈判响应文件的签署及规定</w:t>
      </w:r>
    </w:p>
    <w:p w14:paraId="7F5697F1">
      <w:pPr>
        <w:pStyle w:val="35"/>
        <w:numPr>
          <w:ilvl w:val="1"/>
          <w:numId w:val="11"/>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谈判响应文件中不应有加行、涂抹或改写。如有修改错漏处，必须由谈判供应商法定代表人或其委托代理人签字并加盖公章。</w:t>
      </w:r>
    </w:p>
    <w:p w14:paraId="318C4FCE">
      <w:pPr>
        <w:pStyle w:val="35"/>
        <w:numPr>
          <w:ilvl w:val="1"/>
          <w:numId w:val="11"/>
        </w:numPr>
        <w:tabs>
          <w:tab w:val="left" w:pos="93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电报、电话、传真、电子邮件形式的投标概不接受。</w:t>
      </w:r>
    </w:p>
    <w:p w14:paraId="753F550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rPr>
        <w:t>15.3按照谈判文件规定签署、签章（</w:t>
      </w:r>
      <w:r>
        <w:rPr>
          <w:rFonts w:hint="eastAsia" w:ascii="宋体" w:hAnsi="宋体" w:eastAsia="宋体" w:cs="宋体"/>
          <w:bCs/>
          <w:color w:val="auto"/>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宋体" w:hAnsi="宋体" w:eastAsia="宋体" w:cs="宋体"/>
          <w:bCs/>
          <w:color w:val="auto"/>
          <w:sz w:val="24"/>
          <w:highlight w:val="none"/>
          <w:lang w:val="en-US"/>
        </w:rPr>
        <w:t>谈判文件所有要求授权代表签字的位置，</w:t>
      </w:r>
      <w:r>
        <w:rPr>
          <w:rFonts w:hint="eastAsia" w:ascii="宋体" w:hAnsi="宋体" w:eastAsia="宋体" w:cs="宋体"/>
          <w:bCs/>
          <w:color w:val="auto"/>
          <w:sz w:val="24"/>
          <w:highlight w:val="none"/>
        </w:rPr>
        <w:t>授权代表的</w:t>
      </w:r>
      <w:r>
        <w:rPr>
          <w:rFonts w:hint="eastAsia" w:ascii="宋体" w:hAnsi="宋体" w:eastAsia="宋体" w:cs="宋体"/>
          <w:bCs/>
          <w:color w:val="auto"/>
          <w:sz w:val="24"/>
          <w:highlight w:val="none"/>
          <w:lang w:val="en-US"/>
        </w:rPr>
        <w:t>签字手写或机打均可</w:t>
      </w:r>
      <w:r>
        <w:rPr>
          <w:rFonts w:hint="eastAsia" w:ascii="宋体" w:hAnsi="宋体" w:eastAsia="宋体" w:cs="宋体"/>
          <w:bCs/>
          <w:color w:val="auto"/>
          <w:sz w:val="24"/>
          <w:highlight w:val="none"/>
        </w:rPr>
        <w:t>）；</w:t>
      </w:r>
    </w:p>
    <w:p w14:paraId="2F4D7D70">
      <w:pPr>
        <w:pStyle w:val="6"/>
        <w:adjustRightInd w:val="0"/>
        <w:snapToGrid w:val="0"/>
        <w:spacing w:line="360" w:lineRule="auto"/>
        <w:ind w:left="0" w:firstLine="602" w:firstLineChars="200"/>
        <w:rPr>
          <w:rFonts w:hint="eastAsia" w:ascii="宋体" w:hAnsi="宋体" w:eastAsia="宋体" w:cs="宋体"/>
          <w:color w:val="auto"/>
          <w:highlight w:val="none"/>
        </w:rPr>
      </w:pPr>
      <w:bookmarkStart w:id="63" w:name="_Toc6077"/>
      <w:bookmarkStart w:id="64" w:name="_Toc9902"/>
      <w:r>
        <w:rPr>
          <w:rFonts w:hint="eastAsia" w:ascii="宋体" w:hAnsi="宋体" w:eastAsia="宋体" w:cs="宋体"/>
          <w:color w:val="auto"/>
          <w:highlight w:val="none"/>
        </w:rPr>
        <w:t>D、谈判响应文件的递交</w:t>
      </w:r>
      <w:bookmarkEnd w:id="63"/>
      <w:bookmarkEnd w:id="64"/>
    </w:p>
    <w:p w14:paraId="311ECA55">
      <w:pPr>
        <w:pStyle w:val="9"/>
        <w:adjustRightInd w:val="0"/>
        <w:snapToGrid w:val="0"/>
        <w:spacing w:line="360" w:lineRule="auto"/>
        <w:ind w:firstLine="480" w:firstLineChars="200"/>
        <w:jc w:val="both"/>
        <w:rPr>
          <w:rFonts w:hint="eastAsia" w:ascii="宋体" w:hAnsi="宋体" w:eastAsia="宋体" w:cs="宋体"/>
          <w:color w:val="auto"/>
          <w:highlight w:val="none"/>
          <w:lang w:val="en-US"/>
        </w:rPr>
      </w:pPr>
      <w:r>
        <w:rPr>
          <w:rFonts w:hint="eastAsia" w:ascii="宋体" w:hAnsi="宋体" w:eastAsia="宋体" w:cs="宋体"/>
          <w:color w:val="auto"/>
          <w:sz w:val="24"/>
          <w:highlight w:val="none"/>
        </w:rPr>
        <w:t>16、加密的电子投标文件的递交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w:t>
      </w:r>
      <w:r>
        <w:rPr>
          <w:rFonts w:hint="eastAsia" w:ascii="宋体" w:hAnsi="宋体" w:eastAsia="宋体" w:cs="宋体"/>
          <w:color w:val="auto"/>
          <w:sz w:val="24"/>
          <w:highlight w:val="none"/>
          <w:lang w:val="en-US" w:eastAsia="zh-CN"/>
        </w:rPr>
        <w:t>中的《周口市公共资源交易系统政府采购供应商操作手册》相关规定</w:t>
      </w:r>
      <w:r>
        <w:rPr>
          <w:rFonts w:hint="eastAsia" w:ascii="宋体" w:hAnsi="宋体" w:eastAsia="宋体" w:cs="宋体"/>
          <w:color w:val="auto"/>
          <w:sz w:val="24"/>
          <w:highlight w:val="none"/>
        </w:rPr>
        <w:t>。如未在招标文件规定的投标时间截止前上传网上</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文件，投标无效。</w:t>
      </w:r>
    </w:p>
    <w:p w14:paraId="0CA40DC1">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17、递交谈判响应文件的截止时间</w:t>
      </w:r>
    </w:p>
    <w:p w14:paraId="5CE6294D">
      <w:pPr>
        <w:pStyle w:val="35"/>
        <w:numPr>
          <w:ilvl w:val="1"/>
          <w:numId w:val="12"/>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谈判响应文件须按谈判邀请函中规定的</w:t>
      </w:r>
      <w:r>
        <w:rPr>
          <w:rFonts w:hint="eastAsia" w:ascii="宋体" w:hAnsi="宋体" w:eastAsia="宋体" w:cs="宋体"/>
          <w:color w:val="auto"/>
          <w:sz w:val="24"/>
          <w:highlight w:val="none"/>
          <w:lang w:val="en-US"/>
        </w:rPr>
        <w:t>在</w:t>
      </w:r>
      <w:r>
        <w:rPr>
          <w:rFonts w:hint="eastAsia" w:ascii="宋体" w:hAnsi="宋体" w:eastAsia="宋体" w:cs="宋体"/>
          <w:color w:val="auto"/>
          <w:sz w:val="24"/>
          <w:highlight w:val="none"/>
        </w:rPr>
        <w:t>谈判截止时间之前</w:t>
      </w:r>
      <w:r>
        <w:rPr>
          <w:rFonts w:hint="eastAsia" w:ascii="宋体" w:hAnsi="宋体" w:eastAsia="宋体" w:cs="宋体"/>
          <w:color w:val="auto"/>
          <w:sz w:val="24"/>
          <w:highlight w:val="none"/>
          <w:lang w:val="en-US"/>
        </w:rPr>
        <w:t>成功上传到指定位置</w:t>
      </w:r>
      <w:r>
        <w:rPr>
          <w:rFonts w:hint="eastAsia" w:ascii="宋体" w:hAnsi="宋体" w:eastAsia="宋体" w:cs="宋体"/>
          <w:color w:val="auto"/>
          <w:sz w:val="24"/>
          <w:highlight w:val="none"/>
        </w:rPr>
        <w:t>。</w:t>
      </w:r>
    </w:p>
    <w:p w14:paraId="2A710D8C">
      <w:pPr>
        <w:pStyle w:val="35"/>
        <w:numPr>
          <w:ilvl w:val="1"/>
          <w:numId w:val="12"/>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推迟谈判截止时间时，应以</w:t>
      </w:r>
      <w:r>
        <w:rPr>
          <w:rFonts w:hint="eastAsia" w:ascii="宋体" w:hAnsi="宋体" w:eastAsia="宋体" w:cs="宋体"/>
          <w:color w:val="auto"/>
          <w:sz w:val="24"/>
          <w:highlight w:val="none"/>
          <w:lang w:val="en-US"/>
        </w:rPr>
        <w:t>网上</w:t>
      </w:r>
      <w:r>
        <w:rPr>
          <w:rFonts w:hint="eastAsia" w:ascii="宋体" w:hAnsi="宋体" w:eastAsia="宋体" w:cs="宋体"/>
          <w:color w:val="auto"/>
          <w:sz w:val="24"/>
          <w:highlight w:val="none"/>
        </w:rPr>
        <w:t>公告的形式，通知所有潜在的谈判供应商，在这种情况下，谈判组织人和谈判供应商的权利和义务将受到新的截止期的约束。</w:t>
      </w:r>
    </w:p>
    <w:p w14:paraId="74BF672B">
      <w:pPr>
        <w:pStyle w:val="35"/>
        <w:numPr>
          <w:ilvl w:val="1"/>
          <w:numId w:val="12"/>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在谈判截止时间前，谈判供应商可以补充、修改或撤回已递交的谈判响应文件。补充、修改的内容为谈判响应文件的组成部分。上述补充或修改若涉及谈判报价，将视为有选择性报价。</w:t>
      </w:r>
    </w:p>
    <w:p w14:paraId="7DC180B1">
      <w:pPr>
        <w:pStyle w:val="35"/>
        <w:numPr>
          <w:ilvl w:val="1"/>
          <w:numId w:val="12"/>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补充、修改后的谈判响应文件须</w:t>
      </w:r>
      <w:r>
        <w:rPr>
          <w:rFonts w:hint="eastAsia" w:ascii="宋体" w:hAnsi="宋体" w:eastAsia="宋体" w:cs="宋体"/>
          <w:color w:val="auto"/>
          <w:sz w:val="24"/>
          <w:highlight w:val="none"/>
        </w:rPr>
        <w:t>在投标截止时间前</w:t>
      </w:r>
      <w:r>
        <w:rPr>
          <w:rFonts w:hint="eastAsia" w:ascii="宋体" w:hAnsi="宋体" w:eastAsia="宋体" w:cs="宋体"/>
          <w:color w:val="auto"/>
          <w:sz w:val="24"/>
          <w:highlight w:val="none"/>
          <w:lang w:val="en-US"/>
        </w:rPr>
        <w:t>再</w:t>
      </w:r>
      <w:r>
        <w:rPr>
          <w:rFonts w:hint="eastAsia" w:ascii="宋体" w:hAnsi="宋体" w:eastAsia="宋体" w:cs="宋体"/>
          <w:color w:val="auto"/>
          <w:sz w:val="24"/>
          <w:highlight w:val="none"/>
        </w:rPr>
        <w:t>次成功上传</w:t>
      </w:r>
      <w:r>
        <w:rPr>
          <w:rFonts w:hint="eastAsia" w:ascii="宋体" w:hAnsi="宋体" w:eastAsia="宋体" w:cs="宋体"/>
          <w:color w:val="auto"/>
          <w:sz w:val="24"/>
          <w:highlight w:val="none"/>
          <w:lang w:val="en-US"/>
        </w:rPr>
        <w:t>到网上指定位置</w:t>
      </w:r>
    </w:p>
    <w:p w14:paraId="6847EFD9">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18、迟交的谈判响应文件</w:t>
      </w:r>
    </w:p>
    <w:p w14:paraId="174789DC">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18.1在</w:t>
      </w:r>
      <w:r>
        <w:rPr>
          <w:rFonts w:hint="eastAsia" w:ascii="宋体" w:hAnsi="宋体" w:eastAsia="宋体" w:cs="宋体"/>
          <w:color w:val="auto"/>
          <w:highlight w:val="none"/>
          <w:lang w:val="en-US"/>
        </w:rPr>
        <w:t>谈判</w:t>
      </w:r>
      <w:r>
        <w:rPr>
          <w:rFonts w:hint="eastAsia" w:ascii="宋体" w:hAnsi="宋体" w:eastAsia="宋体" w:cs="宋体"/>
          <w:color w:val="auto"/>
          <w:highlight w:val="none"/>
        </w:rPr>
        <w:t>文件要求提交</w:t>
      </w:r>
      <w:r>
        <w:rPr>
          <w:rFonts w:hint="eastAsia" w:ascii="宋体" w:hAnsi="宋体" w:eastAsia="宋体" w:cs="宋体"/>
          <w:color w:val="auto"/>
          <w:highlight w:val="none"/>
          <w:lang w:val="en-US"/>
        </w:rPr>
        <w:t>响应</w:t>
      </w:r>
      <w:r>
        <w:rPr>
          <w:rFonts w:hint="eastAsia" w:ascii="宋体" w:hAnsi="宋体" w:eastAsia="宋体" w:cs="宋体"/>
          <w:color w:val="auto"/>
          <w:highlight w:val="none"/>
        </w:rPr>
        <w:t>文件的截止时间之后制作上传的投标文件为无效投标文件，</w:t>
      </w:r>
      <w:r>
        <w:rPr>
          <w:rFonts w:hint="eastAsia" w:ascii="宋体" w:hAnsi="宋体" w:eastAsia="宋体" w:cs="宋体"/>
          <w:bCs/>
          <w:color w:val="auto"/>
          <w:highlight w:val="none"/>
        </w:rPr>
        <w:t>采购人</w:t>
      </w:r>
      <w:r>
        <w:rPr>
          <w:rFonts w:hint="eastAsia" w:ascii="宋体" w:hAnsi="宋体" w:eastAsia="宋体" w:cs="宋体"/>
          <w:bCs/>
          <w:color w:val="auto"/>
          <w:highlight w:val="none"/>
          <w:lang w:val="en-US"/>
        </w:rPr>
        <w:t>和网上开评标系统</w:t>
      </w:r>
      <w:r>
        <w:rPr>
          <w:rFonts w:hint="eastAsia" w:ascii="宋体" w:hAnsi="宋体" w:eastAsia="宋体" w:cs="宋体"/>
          <w:color w:val="auto"/>
          <w:highlight w:val="none"/>
        </w:rPr>
        <w:t>将拒绝接收。</w:t>
      </w:r>
    </w:p>
    <w:p w14:paraId="74BCAEE8">
      <w:pPr>
        <w:pStyle w:val="6"/>
        <w:adjustRightInd w:val="0"/>
        <w:snapToGrid w:val="0"/>
        <w:spacing w:line="360" w:lineRule="auto"/>
        <w:ind w:left="0" w:firstLine="602" w:firstLineChars="200"/>
        <w:rPr>
          <w:rFonts w:hint="eastAsia" w:ascii="宋体" w:hAnsi="宋体" w:eastAsia="宋体" w:cs="宋体"/>
          <w:color w:val="auto"/>
          <w:highlight w:val="none"/>
        </w:rPr>
      </w:pPr>
      <w:bookmarkStart w:id="65" w:name="_Toc13734"/>
      <w:bookmarkStart w:id="66" w:name="_Toc24904"/>
      <w:r>
        <w:rPr>
          <w:rFonts w:hint="eastAsia" w:ascii="宋体" w:hAnsi="宋体" w:eastAsia="宋体" w:cs="宋体"/>
          <w:color w:val="auto"/>
          <w:highlight w:val="none"/>
        </w:rPr>
        <w:t>E、开始和谈判</w:t>
      </w:r>
      <w:bookmarkEnd w:id="65"/>
      <w:bookmarkEnd w:id="66"/>
    </w:p>
    <w:p w14:paraId="53BF7FAB">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19、开始</w:t>
      </w:r>
    </w:p>
    <w:p w14:paraId="469A5957">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rPr>
        <w:t>19.1</w:t>
      </w:r>
      <w:r>
        <w:rPr>
          <w:rFonts w:hint="eastAsia" w:ascii="宋体" w:hAnsi="宋体" w:eastAsia="宋体" w:cs="宋体"/>
          <w:color w:val="auto"/>
          <w:highlight w:val="none"/>
        </w:rPr>
        <w:t>本项目施行网上远程开标</w:t>
      </w:r>
      <w:r>
        <w:rPr>
          <w:rFonts w:hint="eastAsia" w:ascii="宋体" w:hAnsi="宋体" w:eastAsia="宋体" w:cs="宋体"/>
          <w:color w:val="auto"/>
          <w:highlight w:val="none"/>
          <w:lang w:val="en-US"/>
        </w:rPr>
        <w:t>并依法</w:t>
      </w:r>
      <w:r>
        <w:rPr>
          <w:rFonts w:hint="eastAsia" w:ascii="宋体" w:hAnsi="宋体" w:eastAsia="宋体" w:cs="宋体"/>
          <w:color w:val="auto"/>
          <w:highlight w:val="none"/>
        </w:rPr>
        <w:t>按照相关程序进行开标。</w:t>
      </w:r>
    </w:p>
    <w:p w14:paraId="002B98CA">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rPr>
        <w:t>19.2</w:t>
      </w:r>
      <w:r>
        <w:rPr>
          <w:rFonts w:hint="eastAsia" w:ascii="宋体" w:hAnsi="宋体" w:eastAsia="宋体" w:cs="宋体"/>
          <w:color w:val="auto"/>
          <w:highlight w:val="none"/>
        </w:rPr>
        <w:t>请各投标人在开标规定时间内进行网上远程响应文件解密，远程响应文件解密程序见“周口市公共资</w:t>
      </w:r>
      <w:r>
        <w:rPr>
          <w:rFonts w:hint="eastAsia" w:ascii="宋体" w:hAnsi="宋体" w:eastAsia="宋体" w:cs="宋体"/>
          <w:color w:val="auto"/>
          <w:spacing w:val="-4"/>
          <w:highlight w:val="none"/>
        </w:rPr>
        <w:t>源电子交易服务平台</w:t>
      </w:r>
      <w:r>
        <w:rPr>
          <w:rFonts w:hint="eastAsia" w:ascii="宋体" w:hAnsi="宋体" w:eastAsia="宋体" w:cs="宋体"/>
          <w:color w:val="auto"/>
          <w:highlight w:val="none"/>
        </w:rPr>
        <w:t>（</w:t>
      </w:r>
      <w:r>
        <w:rPr>
          <w:rFonts w:hint="eastAsia" w:ascii="宋体" w:hAnsi="宋体" w:eastAsia="宋体" w:cs="宋体"/>
          <w:color w:val="auto"/>
          <w:spacing w:val="-20"/>
          <w:highlight w:val="none"/>
        </w:rPr>
        <w:t>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"http://jyzx.zhoukou.gov.cn/"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http://jyzx.zhoukou.gov.cn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）下载</w:t>
      </w:r>
      <w:r>
        <w:rPr>
          <w:rFonts w:hint="eastAsia" w:ascii="宋体" w:hAnsi="宋体" w:eastAsia="宋体" w:cs="宋体"/>
          <w:color w:val="auto"/>
          <w:spacing w:val="-8"/>
          <w:highlight w:val="none"/>
        </w:rPr>
        <w:t>中心</w:t>
      </w:r>
      <w:r>
        <w:rPr>
          <w:rFonts w:hint="eastAsia" w:ascii="宋体" w:hAnsi="宋体" w:eastAsia="宋体" w:cs="宋体"/>
          <w:color w:val="auto"/>
          <w:spacing w:val="3"/>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"http://www.zkggzyjy.gov.cn/TPFront/infodetail/?infoid=47eea74d-b982-411d-875f-1b63772b7810&amp;amp;categoryNum=010"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远程在线解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"http://www.zkggzyjy.gov.cn/TPFront/infodetail/?infoid=47eea74d-b982-411d-875f-1b63772b7810&amp;amp;categoryNum=010"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密操作手册</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）”。在规定时间内（</w:t>
      </w:r>
      <w:r>
        <w:rPr>
          <w:rFonts w:hint="eastAsia" w:ascii="宋体" w:hAnsi="宋体" w:eastAsia="宋体" w:cs="宋体"/>
          <w:color w:val="auto"/>
          <w:highlight w:val="none"/>
          <w:lang w:val="en-US"/>
        </w:rPr>
        <w:t>半个小时</w:t>
      </w:r>
      <w:r>
        <w:rPr>
          <w:rFonts w:hint="eastAsia" w:ascii="宋体" w:hAnsi="宋体" w:eastAsia="宋体" w:cs="宋体"/>
          <w:color w:val="auto"/>
          <w:highlight w:val="none"/>
        </w:rPr>
        <w:t>）不进行解密的视为不提交响应文件。</w:t>
      </w:r>
    </w:p>
    <w:p w14:paraId="743472B5">
      <w:pPr>
        <w:spacing w:line="360" w:lineRule="auto"/>
        <w:ind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19.3采购中心</w:t>
      </w:r>
      <w:r>
        <w:rPr>
          <w:rFonts w:hint="eastAsia" w:ascii="宋体" w:hAnsi="宋体" w:eastAsia="宋体" w:cs="宋体"/>
          <w:color w:val="auto"/>
          <w:sz w:val="24"/>
          <w:szCs w:val="24"/>
          <w:highlight w:val="none"/>
        </w:rPr>
        <w:t>项目负责人在</w:t>
      </w:r>
      <w:r>
        <w:rPr>
          <w:rFonts w:hint="eastAsia" w:ascii="宋体" w:hAnsi="宋体" w:eastAsia="宋体" w:cs="宋体"/>
          <w:color w:val="auto"/>
          <w:sz w:val="24"/>
          <w:szCs w:val="24"/>
          <w:highlight w:val="none"/>
          <w:lang w:val="en-US"/>
        </w:rPr>
        <w:t>采购人和财政监督</w:t>
      </w:r>
      <w:r>
        <w:rPr>
          <w:rFonts w:hint="eastAsia" w:ascii="宋体" w:hAnsi="宋体" w:eastAsia="宋体" w:cs="宋体"/>
          <w:color w:val="auto"/>
          <w:sz w:val="24"/>
          <w:szCs w:val="24"/>
          <w:highlight w:val="none"/>
        </w:rPr>
        <w:t>下解密所有投标文件。</w:t>
      </w:r>
      <w:r>
        <w:rPr>
          <w:rFonts w:hint="eastAsia" w:ascii="宋体" w:hAnsi="宋体" w:eastAsia="宋体" w:cs="宋体"/>
          <w:color w:val="auto"/>
          <w:sz w:val="24"/>
          <w:szCs w:val="24"/>
          <w:highlight w:val="none"/>
          <w:lang w:val="en-US"/>
        </w:rPr>
        <w:t>并</w:t>
      </w:r>
      <w:r>
        <w:rPr>
          <w:rFonts w:hint="eastAsia" w:ascii="宋体" w:hAnsi="宋体" w:eastAsia="宋体" w:cs="宋体"/>
          <w:color w:val="auto"/>
          <w:sz w:val="24"/>
          <w:szCs w:val="24"/>
          <w:highlight w:val="none"/>
        </w:rPr>
        <w:t>通过网上开标系统公布投标人名称、投标价格，以及采购中心认为合适的其它详细内容。</w:t>
      </w:r>
    </w:p>
    <w:p w14:paraId="49FFCA29">
      <w:pPr>
        <w:pStyle w:val="7"/>
        <w:adjustRightInd w:val="0"/>
        <w:snapToGrid w:val="0"/>
        <w:spacing w:line="360" w:lineRule="auto"/>
        <w:ind w:left="0" w:firstLine="458" w:firstLineChars="200"/>
        <w:rPr>
          <w:rFonts w:hint="eastAsia" w:ascii="宋体" w:hAnsi="宋体" w:eastAsia="宋体" w:cs="宋体"/>
          <w:color w:val="auto"/>
          <w:highlight w:val="none"/>
        </w:rPr>
      </w:pPr>
      <w:r>
        <w:rPr>
          <w:rFonts w:hint="eastAsia" w:ascii="宋体" w:hAnsi="宋体" w:eastAsia="宋体" w:cs="宋体"/>
          <w:color w:val="auto"/>
          <w:w w:val="95"/>
          <w:highlight w:val="none"/>
        </w:rPr>
        <w:t>20、谈判小组</w:t>
      </w:r>
    </w:p>
    <w:p w14:paraId="1E07899A">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20.1</w:t>
      </w:r>
      <w:r>
        <w:rPr>
          <w:rFonts w:hint="eastAsia" w:ascii="宋体" w:hAnsi="宋体" w:eastAsia="宋体" w:cs="宋体"/>
          <w:color w:val="auto"/>
          <w:highlight w:val="none"/>
          <w:lang w:val="en-US"/>
        </w:rPr>
        <w:t>采购人</w:t>
      </w:r>
      <w:r>
        <w:rPr>
          <w:rFonts w:hint="eastAsia" w:ascii="宋体" w:hAnsi="宋体" w:eastAsia="宋体" w:cs="宋体"/>
          <w:color w:val="auto"/>
          <w:highlight w:val="none"/>
        </w:rPr>
        <w:t>将根据所采购工程的特点组建谈判小组，其成员由采购方代</w:t>
      </w:r>
      <w:r>
        <w:rPr>
          <w:rFonts w:hint="eastAsia" w:ascii="宋体" w:hAnsi="宋体" w:eastAsia="宋体" w:cs="宋体"/>
          <w:color w:val="auto"/>
          <w:spacing w:val="-5"/>
          <w:highlight w:val="none"/>
        </w:rPr>
        <w:t>表和技术、经济等方面的专家组成。谈判小组对谈判响应文件进行审查、质疑、</w:t>
      </w:r>
      <w:r>
        <w:rPr>
          <w:rFonts w:hint="eastAsia" w:ascii="宋体" w:hAnsi="宋体" w:eastAsia="宋体" w:cs="宋体"/>
          <w:color w:val="auto"/>
          <w:highlight w:val="none"/>
        </w:rPr>
        <w:t>评估和比较。</w:t>
      </w:r>
    </w:p>
    <w:p w14:paraId="6D2A5045">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21、谈判响应文件的审查</w:t>
      </w:r>
    </w:p>
    <w:p w14:paraId="0EBA60ED">
      <w:pPr>
        <w:pStyle w:val="35"/>
        <w:numPr>
          <w:ilvl w:val="1"/>
          <w:numId w:val="13"/>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谈判开始后，谈判组织人将组织审查谈判响应文件是否完整，是否有计</w:t>
      </w:r>
      <w:r>
        <w:rPr>
          <w:rFonts w:hint="eastAsia" w:ascii="宋体" w:hAnsi="宋体" w:eastAsia="宋体" w:cs="宋体"/>
          <w:color w:val="auto"/>
          <w:spacing w:val="-1"/>
          <w:sz w:val="24"/>
          <w:highlight w:val="none"/>
        </w:rPr>
        <w:t>算错误，文件是否已恰当地签署。不按谈判文件规定要求的响应为无效响应</w:t>
      </w:r>
      <w:r>
        <w:rPr>
          <w:rFonts w:hint="eastAsia" w:ascii="宋体" w:hAnsi="宋体" w:eastAsia="宋体" w:cs="宋体"/>
          <w:color w:val="auto"/>
          <w:sz w:val="24"/>
          <w:highlight w:val="none"/>
        </w:rPr>
        <w:t>。</w:t>
      </w:r>
    </w:p>
    <w:p w14:paraId="0ACC600B">
      <w:pPr>
        <w:pStyle w:val="35"/>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在对谈判响应文件进行详细评估之前，谈判小组将依据谈判供应商提供</w:t>
      </w:r>
      <w:r>
        <w:rPr>
          <w:rFonts w:hint="eastAsia" w:ascii="宋体" w:hAnsi="宋体" w:eastAsia="宋体" w:cs="宋体"/>
          <w:color w:val="auto"/>
          <w:spacing w:val="-3"/>
          <w:sz w:val="24"/>
          <w:highlight w:val="none"/>
        </w:rPr>
        <w:t>的证明文件进行资格审查。如果确定谈判供应商不符合谈判文件对资格的要求，</w:t>
      </w:r>
      <w:r>
        <w:rPr>
          <w:rFonts w:hint="eastAsia" w:ascii="宋体" w:hAnsi="宋体" w:eastAsia="宋体" w:cs="宋体"/>
          <w:color w:val="auto"/>
          <w:sz w:val="24"/>
          <w:highlight w:val="none"/>
        </w:rPr>
        <w:t>其谈判将被拒绝。</w:t>
      </w:r>
    </w:p>
    <w:p w14:paraId="030FF799">
      <w:pPr>
        <w:pStyle w:val="35"/>
        <w:numPr>
          <w:ilvl w:val="1"/>
          <w:numId w:val="13"/>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623FA815">
      <w:pPr>
        <w:pStyle w:val="35"/>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谈判小组判断谈判文件的响应性仅基于谈判响应文件本身内容而不靠外部证据。</w:t>
      </w:r>
    </w:p>
    <w:p w14:paraId="59FF868D">
      <w:pPr>
        <w:pStyle w:val="35"/>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谈判小组将拒绝被确定为非实质性响应的谈判供应商，谈判供应商不能通过修正或撤消不符之处而使其成为实质性响应的谈判供应商。</w:t>
      </w:r>
    </w:p>
    <w:p w14:paraId="3C4B8ACD">
      <w:pPr>
        <w:pStyle w:val="35"/>
        <w:numPr>
          <w:ilvl w:val="1"/>
          <w:numId w:val="13"/>
        </w:numPr>
        <w:tabs>
          <w:tab w:val="left" w:pos="941"/>
        </w:tabs>
        <w:adjustRightInd w:val="0"/>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谈判小组允许修改谈判响应中不构成重大偏离的、微小的、非正规、不一致或不规则的地方。</w:t>
      </w:r>
    </w:p>
    <w:p w14:paraId="022ECB37">
      <w:pPr>
        <w:pStyle w:val="35"/>
        <w:tabs>
          <w:tab w:val="left" w:pos="819"/>
        </w:tabs>
        <w:adjustRightInd w:val="0"/>
        <w:snapToGrid w:val="0"/>
        <w:spacing w:line="360" w:lineRule="auto"/>
        <w:ind w:left="440" w:leftChars="20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21.7</w:t>
      </w:r>
      <w:r>
        <w:rPr>
          <w:rFonts w:hint="eastAsia" w:ascii="宋体" w:hAnsi="宋体" w:eastAsia="宋体" w:cs="宋体"/>
          <w:b/>
          <w:bCs/>
          <w:color w:val="auto"/>
          <w:sz w:val="24"/>
          <w:szCs w:val="24"/>
          <w:highlight w:val="none"/>
        </w:rPr>
        <w:t>无效投标</w:t>
      </w:r>
    </w:p>
    <w:p w14:paraId="2E6D9DB5">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遇到下列情况之一时,投标人的投标将被视为无效投标:</w:t>
      </w:r>
    </w:p>
    <w:p w14:paraId="18E326BF">
      <w:pPr>
        <w:pStyle w:val="35"/>
        <w:tabs>
          <w:tab w:val="left" w:pos="1179"/>
        </w:tabs>
        <w:adjustRightInd w:val="0"/>
        <w:snapToGrid w:val="0"/>
        <w:spacing w:line="360" w:lineRule="auto"/>
        <w:ind w:left="44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21.7.1</w:t>
      </w:r>
      <w:r>
        <w:rPr>
          <w:rFonts w:hint="eastAsia" w:ascii="宋体" w:hAnsi="宋体" w:eastAsia="宋体" w:cs="宋体"/>
          <w:color w:val="auto"/>
          <w:sz w:val="24"/>
          <w:highlight w:val="none"/>
        </w:rPr>
        <w:t>投标文件无投标人公章和法人或者法人委托人的印章或签字的；</w:t>
      </w:r>
    </w:p>
    <w:p w14:paraId="15889F52">
      <w:pPr>
        <w:pStyle w:val="35"/>
        <w:tabs>
          <w:tab w:val="left" w:pos="1190"/>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rPr>
        <w:t>21.7</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投标文件未按照招标文件规定的格式填写，或者填写的内容不全，或者涂改</w:t>
      </w:r>
    </w:p>
    <w:p w14:paraId="1AA05569">
      <w:pPr>
        <w:pStyle w:val="35"/>
        <w:tabs>
          <w:tab w:val="left" w:pos="1190"/>
        </w:tabs>
        <w:adjustRightInd w:val="0"/>
        <w:snapToGrid w:val="0"/>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处未加盖投标人公章及法人或法人授权的代理人的印章或签字的。</w:t>
      </w:r>
    </w:p>
    <w:p w14:paraId="517BD37C">
      <w:pPr>
        <w:pStyle w:val="35"/>
        <w:tabs>
          <w:tab w:val="left" w:pos="1190"/>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rPr>
        <w:t>.7.3</w:t>
      </w:r>
      <w:r>
        <w:rPr>
          <w:rFonts w:hint="eastAsia" w:ascii="宋体" w:hAnsi="宋体" w:eastAsia="宋体" w:cs="宋体"/>
          <w:color w:val="auto"/>
          <w:sz w:val="24"/>
          <w:szCs w:val="24"/>
          <w:highlight w:val="none"/>
        </w:rPr>
        <w:t>投标文件中有两个及两个以上的方案进行投标的（招标文件另有规定的除</w:t>
      </w:r>
    </w:p>
    <w:p w14:paraId="52443921">
      <w:pPr>
        <w:pStyle w:val="35"/>
        <w:tabs>
          <w:tab w:val="left" w:pos="1190"/>
        </w:tabs>
        <w:adjustRightInd w:val="0"/>
        <w:snapToGrid w:val="0"/>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w:t>
      </w:r>
    </w:p>
    <w:p w14:paraId="4EF0D48F">
      <w:pPr>
        <w:pStyle w:val="35"/>
        <w:tabs>
          <w:tab w:val="left" w:pos="1190"/>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21.7.4</w:t>
      </w:r>
      <w:r>
        <w:rPr>
          <w:rFonts w:hint="eastAsia" w:ascii="宋体" w:hAnsi="宋体" w:eastAsia="宋体" w:cs="宋体"/>
          <w:color w:val="auto"/>
          <w:sz w:val="24"/>
          <w:szCs w:val="24"/>
          <w:highlight w:val="none"/>
        </w:rPr>
        <w:t>投标人资格条件不符合国家有关规定和招标文件要求的，或者拒不按照要求</w:t>
      </w:r>
    </w:p>
    <w:p w14:paraId="6187E47A">
      <w:pPr>
        <w:pStyle w:val="35"/>
        <w:tabs>
          <w:tab w:val="left" w:pos="1190"/>
        </w:tabs>
        <w:adjustRightInd w:val="0"/>
        <w:snapToGrid w:val="0"/>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对投标文件进行澄清、说明或者补正的；</w:t>
      </w:r>
    </w:p>
    <w:p w14:paraId="46A3447D">
      <w:pPr>
        <w:pStyle w:val="35"/>
        <w:tabs>
          <w:tab w:val="left" w:pos="117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21.7.5</w:t>
      </w:r>
      <w:r>
        <w:rPr>
          <w:rFonts w:hint="eastAsia" w:ascii="宋体" w:hAnsi="宋体" w:eastAsia="宋体" w:cs="宋体"/>
          <w:color w:val="auto"/>
          <w:sz w:val="24"/>
          <w:szCs w:val="24"/>
          <w:highlight w:val="none"/>
        </w:rPr>
        <w:t>投标文件附有招标人不能接受的条件的；</w:t>
      </w:r>
    </w:p>
    <w:p w14:paraId="73CEC296">
      <w:pPr>
        <w:pStyle w:val="35"/>
        <w:tabs>
          <w:tab w:val="left" w:pos="1190"/>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21.7.6</w:t>
      </w:r>
      <w:r>
        <w:rPr>
          <w:rFonts w:hint="eastAsia" w:ascii="宋体" w:hAnsi="宋体" w:eastAsia="宋体" w:cs="宋体"/>
          <w:color w:val="auto"/>
          <w:sz w:val="24"/>
          <w:szCs w:val="24"/>
          <w:highlight w:val="none"/>
        </w:rPr>
        <w:t>投标人以他人名义投标、串通投标、以行贿手段谋取中标或者以弄虚作假等</w:t>
      </w:r>
    </w:p>
    <w:p w14:paraId="276626CD">
      <w:pPr>
        <w:pStyle w:val="35"/>
        <w:tabs>
          <w:tab w:val="left" w:pos="1190"/>
        </w:tabs>
        <w:adjustRightInd w:val="0"/>
        <w:snapToGrid w:val="0"/>
        <w:spacing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方式投标的；</w:t>
      </w:r>
    </w:p>
    <w:p w14:paraId="0C784F99">
      <w:pPr>
        <w:pStyle w:val="35"/>
        <w:tabs>
          <w:tab w:val="left" w:pos="117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21.7.7</w:t>
      </w:r>
      <w:r>
        <w:rPr>
          <w:rFonts w:hint="eastAsia" w:ascii="宋体" w:hAnsi="宋体" w:eastAsia="宋体" w:cs="宋体"/>
          <w:color w:val="auto"/>
          <w:sz w:val="24"/>
          <w:szCs w:val="24"/>
          <w:highlight w:val="none"/>
        </w:rPr>
        <w:t>经核实两个或两个以上投标人的投标文件有雷同或有抄袭行为的；</w:t>
      </w:r>
    </w:p>
    <w:p w14:paraId="3DFA0642">
      <w:pPr>
        <w:pStyle w:val="35"/>
        <w:tabs>
          <w:tab w:val="left" w:pos="129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21.7.8</w:t>
      </w:r>
      <w:r>
        <w:rPr>
          <w:rFonts w:hint="eastAsia" w:ascii="宋体" w:hAnsi="宋体" w:eastAsia="宋体" w:cs="宋体"/>
          <w:color w:val="auto"/>
          <w:sz w:val="24"/>
          <w:szCs w:val="24"/>
          <w:highlight w:val="none"/>
        </w:rPr>
        <w:t>投标人出现技术</w:t>
      </w:r>
      <w:r>
        <w:rPr>
          <w:rFonts w:hint="eastAsia" w:ascii="宋体" w:hAnsi="宋体" w:eastAsia="宋体" w:cs="宋体"/>
          <w:color w:val="auto"/>
          <w:sz w:val="24"/>
          <w:szCs w:val="24"/>
          <w:highlight w:val="none"/>
          <w:lang w:val="en-US"/>
        </w:rPr>
        <w:t>和</w:t>
      </w:r>
      <w:r>
        <w:rPr>
          <w:rFonts w:hint="eastAsia" w:ascii="宋体" w:hAnsi="宋体" w:eastAsia="宋体" w:cs="宋体"/>
          <w:color w:val="auto"/>
          <w:sz w:val="24"/>
          <w:szCs w:val="24"/>
          <w:highlight w:val="none"/>
        </w:rPr>
        <w:t>参数不符合采购要求的及不响应</w:t>
      </w:r>
      <w:r>
        <w:rPr>
          <w:rFonts w:hint="eastAsia" w:ascii="宋体" w:hAnsi="宋体" w:eastAsia="宋体" w:cs="宋体"/>
          <w:color w:val="auto"/>
          <w:sz w:val="24"/>
          <w:szCs w:val="24"/>
          <w:highlight w:val="none"/>
          <w:lang w:val="en-US"/>
        </w:rPr>
        <w:t>谈判</w:t>
      </w:r>
      <w:r>
        <w:rPr>
          <w:rFonts w:hint="eastAsia" w:ascii="宋体" w:hAnsi="宋体" w:eastAsia="宋体" w:cs="宋体"/>
          <w:color w:val="auto"/>
          <w:sz w:val="24"/>
          <w:szCs w:val="24"/>
          <w:highlight w:val="none"/>
        </w:rPr>
        <w:t>文件的；</w:t>
      </w:r>
    </w:p>
    <w:p w14:paraId="5CFBD309">
      <w:pPr>
        <w:pStyle w:val="35"/>
        <w:tabs>
          <w:tab w:val="left" w:pos="129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21.7.9</w:t>
      </w:r>
      <w:r>
        <w:rPr>
          <w:rFonts w:hint="eastAsia" w:ascii="宋体" w:hAnsi="宋体" w:eastAsia="宋体" w:cs="宋体"/>
          <w:color w:val="auto"/>
          <w:sz w:val="24"/>
          <w:szCs w:val="24"/>
          <w:highlight w:val="none"/>
        </w:rPr>
        <w:t>违反《中华人民共和国政府采购法》等法律的投标；</w:t>
      </w:r>
    </w:p>
    <w:p w14:paraId="5F3E9D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1CCA01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4F2411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06DFA6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不同供应商的投标（响应）文件的内容存在两处以上细节错误一致；</w:t>
      </w:r>
    </w:p>
    <w:p w14:paraId="469AB6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5E21CE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61E411EA">
      <w:pPr>
        <w:pStyle w:val="35"/>
        <w:tabs>
          <w:tab w:val="left" w:pos="129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其它未响应招标文件而可能导致废标；</w:t>
      </w:r>
    </w:p>
    <w:p w14:paraId="2FF3CA81">
      <w:pPr>
        <w:pStyle w:val="35"/>
        <w:tabs>
          <w:tab w:val="left" w:pos="1299"/>
        </w:tabs>
        <w:adjustRightInd w:val="0"/>
        <w:snapToGrid w:val="0"/>
        <w:spacing w:line="360" w:lineRule="auto"/>
        <w:ind w:left="44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21.7.1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所有投标人的投标报价均超出采购人预算的；</w:t>
      </w:r>
    </w:p>
    <w:p w14:paraId="64DF8831">
      <w:pPr>
        <w:pStyle w:val="35"/>
        <w:tabs>
          <w:tab w:val="left" w:pos="1155"/>
        </w:tabs>
        <w:adjustRightInd w:val="0"/>
        <w:snapToGrid w:val="0"/>
        <w:spacing w:line="360" w:lineRule="auto"/>
        <w:ind w:left="440" w:leftChars="200" w:firstLine="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21.7.1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具备合格投标人资格的公司不能将其资格授予下属公司使用参与投标</w:t>
      </w:r>
      <w:r>
        <w:rPr>
          <w:rFonts w:hint="eastAsia" w:ascii="宋体" w:hAnsi="宋体" w:eastAsia="宋体" w:cs="宋体"/>
          <w:color w:val="auto"/>
          <w:sz w:val="24"/>
          <w:szCs w:val="24"/>
          <w:highlight w:val="none"/>
          <w:lang w:val="en-US"/>
        </w:rPr>
        <w:t>的；</w:t>
      </w:r>
    </w:p>
    <w:p w14:paraId="64C2D8A9">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22、谈判文响应件的澄清</w:t>
      </w:r>
    </w:p>
    <w:p w14:paraId="1198149A">
      <w:pPr>
        <w:pStyle w:val="35"/>
        <w:numPr>
          <w:ilvl w:val="1"/>
          <w:numId w:val="14"/>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39162A7E">
      <w:pPr>
        <w:pStyle w:val="35"/>
        <w:numPr>
          <w:ilvl w:val="1"/>
          <w:numId w:val="14"/>
        </w:numPr>
        <w:tabs>
          <w:tab w:val="left" w:pos="93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重要澄清的答复应是书面的，并由法定代表人或其委托代理人签字。</w:t>
      </w:r>
    </w:p>
    <w:p w14:paraId="20EF84FB">
      <w:pPr>
        <w:pStyle w:val="35"/>
        <w:numPr>
          <w:ilvl w:val="1"/>
          <w:numId w:val="14"/>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谈判供应商的澄清文件是其谈判响应文件的组成部分，并取代谈判响应文件中被澄清的部分。</w:t>
      </w:r>
    </w:p>
    <w:p w14:paraId="5788D715">
      <w:pPr>
        <w:pStyle w:val="35"/>
        <w:numPr>
          <w:ilvl w:val="1"/>
          <w:numId w:val="14"/>
        </w:numPr>
        <w:tabs>
          <w:tab w:val="left" w:pos="93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谈判响应文件的澄清不得对谈判响应内容进行实质性修改。</w:t>
      </w:r>
    </w:p>
    <w:p w14:paraId="16596627">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23、谈判原则和方法</w:t>
      </w:r>
    </w:p>
    <w:p w14:paraId="7E4EBC42">
      <w:pPr>
        <w:pStyle w:val="35"/>
        <w:numPr>
          <w:ilvl w:val="1"/>
          <w:numId w:val="15"/>
        </w:numPr>
        <w:tabs>
          <w:tab w:val="left" w:pos="939"/>
        </w:tabs>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坚持公平、公正的原则。</w:t>
      </w:r>
    </w:p>
    <w:p w14:paraId="180EB845">
      <w:pPr>
        <w:pStyle w:val="35"/>
        <w:numPr>
          <w:ilvl w:val="1"/>
          <w:numId w:val="15"/>
        </w:numPr>
        <w:tabs>
          <w:tab w:val="left" w:pos="941"/>
        </w:tabs>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谈判工作在谈判小组内独立进行，遵照谈判原则，按照谈判程序及方法公正、平等地对待所有谈判响应人。</w:t>
      </w:r>
    </w:p>
    <w:p w14:paraId="7F90FDCD">
      <w:pPr>
        <w:pStyle w:val="7"/>
        <w:tabs>
          <w:tab w:val="left" w:pos="944"/>
        </w:tabs>
        <w:adjustRightInd w:val="0"/>
        <w:snapToGrid w:val="0"/>
        <w:spacing w:line="360" w:lineRule="auto"/>
        <w:ind w:left="440" w:left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rPr>
        <w:t>23.3</w:t>
      </w:r>
      <w:r>
        <w:rPr>
          <w:rFonts w:hint="eastAsia" w:ascii="宋体" w:hAnsi="宋体" w:eastAsia="宋体" w:cs="宋体"/>
          <w:b w:val="0"/>
          <w:bCs w:val="0"/>
          <w:color w:val="auto"/>
          <w:highlight w:val="none"/>
        </w:rPr>
        <w:t>谈判方法</w:t>
      </w:r>
    </w:p>
    <w:p w14:paraId="60657257">
      <w:pPr>
        <w:pStyle w:val="35"/>
        <w:adjustRightInd w:val="0"/>
        <w:snapToGrid w:val="0"/>
        <w:spacing w:line="360" w:lineRule="auto"/>
        <w:ind w:left="440" w:leftChars="200" w:firstLine="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采用最低价评审法。</w:t>
      </w:r>
      <w:r>
        <w:rPr>
          <w:rFonts w:hint="eastAsia" w:ascii="宋体" w:hAnsi="宋体" w:eastAsia="宋体" w:cs="宋体"/>
          <w:color w:val="auto"/>
          <w:sz w:val="24"/>
          <w:highlight w:val="none"/>
        </w:rPr>
        <w:t>响应文件满足谈判文件全部实质性要求的且报价最低的谈判供</w:t>
      </w:r>
    </w:p>
    <w:p w14:paraId="24CF1050">
      <w:pPr>
        <w:pStyle w:val="35"/>
        <w:adjustRightInd w:val="0"/>
        <w:snapToGrid w:val="0"/>
        <w:spacing w:line="360" w:lineRule="auto"/>
        <w:ind w:left="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应商为中标人。</w:t>
      </w:r>
    </w:p>
    <w:p w14:paraId="084861FB">
      <w:pPr>
        <w:pStyle w:val="35"/>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439C4E5F">
      <w:pPr>
        <w:pStyle w:val="9"/>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通过资格审查和符合性审查的供应商须在谈判小组设定的时间内使用本单位CA证书在网上进行二次（多次）报价。</w:t>
      </w:r>
    </w:p>
    <w:p w14:paraId="370E0EFF">
      <w:pPr>
        <w:pStyle w:val="44"/>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bidi="zh-CN"/>
        </w:rPr>
        <w:t>注：开标后请供应商在计算前等待报价。</w:t>
      </w:r>
    </w:p>
    <w:p w14:paraId="1B4299C0">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24、保密及其它注意事项</w:t>
      </w:r>
    </w:p>
    <w:p w14:paraId="51C7B7AB">
      <w:pPr>
        <w:pStyle w:val="35"/>
        <w:numPr>
          <w:ilvl w:val="1"/>
          <w:numId w:val="16"/>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0CBBD943">
      <w:pPr>
        <w:pStyle w:val="35"/>
        <w:numPr>
          <w:ilvl w:val="1"/>
          <w:numId w:val="16"/>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w:t>
      </w:r>
    </w:p>
    <w:p w14:paraId="4D92D3B1">
      <w:pPr>
        <w:pStyle w:val="35"/>
        <w:numPr>
          <w:ilvl w:val="1"/>
          <w:numId w:val="16"/>
        </w:numPr>
        <w:tabs>
          <w:tab w:val="left" w:pos="934"/>
        </w:tabs>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为保证谈判的公正性，谈判后直至授予成交供应商合同，谈判小组成员不得与谈判供应商私下交换意见。</w:t>
      </w:r>
    </w:p>
    <w:p w14:paraId="4C979AD1">
      <w:pPr>
        <w:pStyle w:val="35"/>
        <w:numPr>
          <w:ilvl w:val="1"/>
          <w:numId w:val="16"/>
        </w:numPr>
        <w:tabs>
          <w:tab w:val="left" w:pos="932"/>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在谈判过程中，如有谈判供应商联合故意抬高报价或其他不正当行为，谈判组织人有权终止谈判。</w:t>
      </w:r>
    </w:p>
    <w:p w14:paraId="71F6EDDD">
      <w:pPr>
        <w:pStyle w:val="6"/>
        <w:adjustRightInd w:val="0"/>
        <w:snapToGrid w:val="0"/>
        <w:spacing w:line="360" w:lineRule="auto"/>
        <w:ind w:left="0" w:firstLine="572" w:firstLineChars="200"/>
        <w:rPr>
          <w:rFonts w:hint="eastAsia" w:ascii="宋体" w:hAnsi="宋体" w:eastAsia="宋体" w:cs="宋体"/>
          <w:color w:val="auto"/>
          <w:highlight w:val="none"/>
        </w:rPr>
      </w:pPr>
      <w:bookmarkStart w:id="67" w:name="_Toc32517"/>
      <w:bookmarkStart w:id="68" w:name="_Toc11134"/>
      <w:r>
        <w:rPr>
          <w:rFonts w:hint="eastAsia" w:ascii="宋体" w:hAnsi="宋体" w:eastAsia="宋体" w:cs="宋体"/>
          <w:color w:val="auto"/>
          <w:w w:val="95"/>
          <w:highlight w:val="none"/>
        </w:rPr>
        <w:t>F、授予合同</w:t>
      </w:r>
      <w:bookmarkEnd w:id="67"/>
      <w:bookmarkEnd w:id="68"/>
    </w:p>
    <w:p w14:paraId="18C61F8B">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25、成交原则</w:t>
      </w:r>
    </w:p>
    <w:p w14:paraId="2DB406E7">
      <w:pPr>
        <w:pStyle w:val="35"/>
        <w:numPr>
          <w:ilvl w:val="1"/>
          <w:numId w:val="17"/>
        </w:numPr>
        <w:tabs>
          <w:tab w:val="left" w:pos="939"/>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严格按照谈判文件的要求和条件进行谈判，择优确定成交供应商。</w:t>
      </w:r>
    </w:p>
    <w:p w14:paraId="2AB6560C">
      <w:pPr>
        <w:pStyle w:val="35"/>
        <w:numPr>
          <w:ilvl w:val="1"/>
          <w:numId w:val="17"/>
        </w:numPr>
        <w:tabs>
          <w:tab w:val="left" w:pos="934"/>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本次谈判，合同将授予符合谈判文件要求，能提供最佳服务、综合评价最优且报价最低的谈判供应商。</w:t>
      </w:r>
    </w:p>
    <w:p w14:paraId="41692EF1">
      <w:pPr>
        <w:pStyle w:val="7"/>
        <w:numPr>
          <w:ilvl w:val="0"/>
          <w:numId w:val="18"/>
        </w:numPr>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成交通知</w:t>
      </w:r>
    </w:p>
    <w:p w14:paraId="1AE09F39">
      <w:pPr>
        <w:pStyle w:val="35"/>
        <w:numPr>
          <w:ilvl w:val="0"/>
          <w:numId w:val="0"/>
        </w:numPr>
        <w:tabs>
          <w:tab w:val="left" w:pos="939"/>
        </w:tabs>
        <w:adjustRightInd w:val="0"/>
        <w:snapToGrid w:val="0"/>
        <w:spacing w:line="360" w:lineRule="auto"/>
        <w:ind w:left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成交供应商确定后，</w:t>
      </w:r>
      <w:r>
        <w:rPr>
          <w:rFonts w:hint="eastAsia" w:ascii="宋体" w:hAnsi="宋体" w:eastAsia="宋体" w:cs="宋体"/>
          <w:color w:val="auto"/>
          <w:sz w:val="24"/>
          <w:highlight w:val="none"/>
          <w:lang w:val="en-US"/>
        </w:rPr>
        <w:t>采购中心</w:t>
      </w:r>
      <w:r>
        <w:rPr>
          <w:rFonts w:hint="eastAsia" w:ascii="宋体" w:hAnsi="宋体" w:eastAsia="宋体" w:cs="宋体"/>
          <w:color w:val="auto"/>
          <w:sz w:val="24"/>
          <w:highlight w:val="none"/>
        </w:rPr>
        <w:t>将</w:t>
      </w:r>
      <w:r>
        <w:rPr>
          <w:rFonts w:hint="eastAsia" w:ascii="宋体" w:hAnsi="宋体" w:eastAsia="宋体" w:cs="宋体"/>
          <w:color w:val="auto"/>
          <w:sz w:val="24"/>
          <w:highlight w:val="none"/>
          <w:lang w:val="en-US"/>
        </w:rPr>
        <w:t>成交</w:t>
      </w:r>
      <w:r>
        <w:rPr>
          <w:rFonts w:hint="eastAsia" w:ascii="宋体" w:hAnsi="宋体" w:eastAsia="宋体" w:cs="宋体"/>
          <w:color w:val="auto"/>
          <w:sz w:val="24"/>
          <w:highlight w:val="none"/>
        </w:rPr>
        <w:t>结果在河南省政府采购网进行公</w:t>
      </w:r>
      <w:r>
        <w:rPr>
          <w:rFonts w:hint="eastAsia" w:ascii="宋体" w:hAnsi="宋体" w:eastAsia="宋体" w:cs="宋体"/>
          <w:color w:val="auto"/>
          <w:sz w:val="24"/>
          <w:highlight w:val="none"/>
          <w:lang w:val="en-US" w:eastAsia="zh-CN"/>
        </w:rPr>
        <w:t>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在发出成交公告后请采购人、中标人登录</w:t>
      </w:r>
      <w:r>
        <w:rPr>
          <w:rFonts w:hint="eastAsia" w:ascii="宋体" w:hAnsi="宋体" w:eastAsia="宋体" w:cs="宋体"/>
          <w:color w:val="auto"/>
          <w:sz w:val="24"/>
          <w:highlight w:val="none"/>
        </w:rPr>
        <w:t>周口市公共资源</w:t>
      </w:r>
      <w:r>
        <w:rPr>
          <w:rFonts w:hint="eastAsia" w:ascii="宋体" w:hAnsi="宋体" w:eastAsia="宋体" w:cs="宋体"/>
          <w:color w:val="auto"/>
          <w:sz w:val="24"/>
          <w:szCs w:val="24"/>
          <w:highlight w:val="none"/>
        </w:rPr>
        <w:t>交易</w:t>
      </w:r>
      <w:r>
        <w:rPr>
          <w:rFonts w:hint="eastAsia" w:ascii="宋体" w:hAnsi="宋体" w:eastAsia="宋体" w:cs="宋体"/>
          <w:color w:val="auto"/>
          <w:sz w:val="24"/>
          <w:highlight w:val="none"/>
          <w:lang w:eastAsia="zh-CN"/>
        </w:rPr>
        <w:t>中心网</w:t>
      </w:r>
      <w:r>
        <w:rPr>
          <w:rFonts w:hint="eastAsia" w:ascii="宋体" w:hAnsi="宋体" w:eastAsia="宋体" w:cs="宋体"/>
          <w:color w:val="auto"/>
          <w:sz w:val="24"/>
          <w:szCs w:val="24"/>
          <w:highlight w:val="none"/>
        </w:rPr>
        <w:t>（http://jyzx.zhoukou.gov.cn）</w:t>
      </w:r>
      <w:r>
        <w:rPr>
          <w:rFonts w:hint="eastAsia" w:ascii="宋体" w:hAnsi="宋体" w:eastAsia="宋体" w:cs="宋体"/>
          <w:color w:val="auto"/>
          <w:sz w:val="24"/>
          <w:szCs w:val="24"/>
          <w:highlight w:val="none"/>
          <w:lang w:val="en-US" w:eastAsia="zh-CN"/>
        </w:rPr>
        <w:t>自行下载</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通知书。</w:t>
      </w:r>
    </w:p>
    <w:p w14:paraId="56480EBF">
      <w:pPr>
        <w:numPr>
          <w:ilvl w:val="0"/>
          <w:numId w:val="0"/>
        </w:numPr>
        <w:rPr>
          <w:rFonts w:hint="eastAsia" w:ascii="宋体" w:hAnsi="宋体" w:eastAsia="宋体" w:cs="宋体"/>
          <w:color w:val="auto"/>
          <w:highlight w:val="none"/>
        </w:rPr>
      </w:pPr>
    </w:p>
    <w:p w14:paraId="7B52403D">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27、质疑处理</w:t>
      </w:r>
    </w:p>
    <w:p w14:paraId="5A90B162">
      <w:pPr>
        <w:pStyle w:val="35"/>
        <w:numPr>
          <w:ilvl w:val="1"/>
          <w:numId w:val="19"/>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谈判供应商若对谈判文件、谈判结果等采购过程有疑问，在知道或应当知道自己的权益受到损害之日起7个工作日内，有权按照《中华人民共和国政府采购法》、《政府采购质疑和投诉办法》</w:t>
      </w:r>
      <w:r>
        <w:rPr>
          <w:rFonts w:hint="eastAsia" w:ascii="宋体" w:hAnsi="宋体" w:eastAsia="宋体" w:cs="宋体"/>
          <w:color w:val="auto"/>
          <w:sz w:val="24"/>
          <w:highlight w:val="none"/>
          <w:lang w:val="en-US"/>
        </w:rPr>
        <w:t>等</w:t>
      </w:r>
      <w:r>
        <w:rPr>
          <w:rFonts w:hint="eastAsia" w:ascii="宋体" w:hAnsi="宋体" w:eastAsia="宋体" w:cs="宋体"/>
          <w:color w:val="auto"/>
          <w:sz w:val="24"/>
          <w:highlight w:val="none"/>
        </w:rPr>
        <w:t>相关法律、法规的规定程序向采购人进行质疑，但须对质疑内容的真实性承担责任。</w:t>
      </w:r>
    </w:p>
    <w:p w14:paraId="7695E06D">
      <w:pPr>
        <w:pStyle w:val="35"/>
        <w:numPr>
          <w:ilvl w:val="1"/>
          <w:numId w:val="19"/>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2D7EE40">
      <w:pPr>
        <w:pStyle w:val="7"/>
        <w:adjustRightInd w:val="0"/>
        <w:snapToGrid w:val="0"/>
        <w:spacing w:line="360" w:lineRule="auto"/>
        <w:ind w:left="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28、签订合同</w:t>
      </w:r>
    </w:p>
    <w:p w14:paraId="503816A3">
      <w:pPr>
        <w:pStyle w:val="35"/>
        <w:numPr>
          <w:ilvl w:val="1"/>
          <w:numId w:val="20"/>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成交供应商应按照成交通知规定的时间、地点与采购人签订成交合同，否则给采购人造成损失的，谈判供应商还应承担赔偿责任。</w:t>
      </w:r>
    </w:p>
    <w:p w14:paraId="3F574826">
      <w:pPr>
        <w:pStyle w:val="35"/>
        <w:numPr>
          <w:ilvl w:val="1"/>
          <w:numId w:val="20"/>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rPr>
        <w:t>原则上不再缴纳</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具体项目由采购人和成交供应商在签订合同时约定（</w:t>
      </w:r>
      <w:r>
        <w:rPr>
          <w:rFonts w:hint="eastAsia" w:ascii="宋体" w:hAnsi="宋体" w:eastAsia="宋体" w:cs="宋体"/>
          <w:color w:val="auto"/>
          <w:sz w:val="24"/>
          <w:highlight w:val="none"/>
        </w:rPr>
        <w:t>履约完成后履约保证金</w:t>
      </w:r>
      <w:r>
        <w:rPr>
          <w:rFonts w:hint="eastAsia" w:ascii="宋体" w:hAnsi="宋体" w:eastAsia="宋体" w:cs="宋体"/>
          <w:color w:val="auto"/>
          <w:sz w:val="24"/>
          <w:highlight w:val="none"/>
          <w:lang w:val="en-US"/>
        </w:rPr>
        <w:t>将</w:t>
      </w:r>
      <w:r>
        <w:rPr>
          <w:rFonts w:hint="eastAsia" w:ascii="宋体" w:hAnsi="宋体" w:eastAsia="宋体" w:cs="宋体"/>
          <w:color w:val="auto"/>
          <w:sz w:val="24"/>
          <w:highlight w:val="none"/>
        </w:rPr>
        <w:t>无息退还</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rPr>
        <w:t>。</w:t>
      </w:r>
    </w:p>
    <w:p w14:paraId="57059652">
      <w:pPr>
        <w:pStyle w:val="35"/>
        <w:numPr>
          <w:ilvl w:val="1"/>
          <w:numId w:val="20"/>
        </w:numPr>
        <w:tabs>
          <w:tab w:val="left" w:pos="941"/>
        </w:tabs>
        <w:adjustRightInd w:val="0"/>
        <w:snapToGrid w:val="0"/>
        <w:spacing w:line="360" w:lineRule="auto"/>
        <w:ind w:left="0"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谈判组织人签发的成交通知书、谈判文件、成交供应商的谈判响</w:t>
      </w:r>
      <w:r>
        <w:rPr>
          <w:rFonts w:hint="eastAsia" w:ascii="宋体" w:hAnsi="宋体" w:eastAsia="宋体" w:cs="宋体"/>
          <w:color w:val="auto"/>
          <w:sz w:val="24"/>
          <w:highlight w:val="none"/>
          <w:lang w:val="en-US"/>
        </w:rPr>
        <w:t>应文件</w:t>
      </w:r>
      <w:bookmarkStart w:id="69" w:name="_bookmark4"/>
      <w:bookmarkEnd w:id="69"/>
      <w:r>
        <w:rPr>
          <w:rFonts w:hint="eastAsia" w:ascii="宋体" w:hAnsi="宋体" w:eastAsia="宋体" w:cs="宋体"/>
          <w:color w:val="auto"/>
          <w:sz w:val="24"/>
          <w:highlight w:val="none"/>
          <w:lang w:val="en-US"/>
        </w:rPr>
        <w:t>及其澄清文件等，均为签定合同的依据。</w:t>
      </w:r>
    </w:p>
    <w:p w14:paraId="5B47E4A1">
      <w:pPr>
        <w:pStyle w:val="35"/>
        <w:numPr>
          <w:ilvl w:val="1"/>
          <w:numId w:val="20"/>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46281FDE">
      <w:pPr>
        <w:pStyle w:val="35"/>
        <w:numPr>
          <w:ilvl w:val="1"/>
          <w:numId w:val="20"/>
        </w:numPr>
        <w:tabs>
          <w:tab w:val="left" w:pos="941"/>
        </w:tabs>
        <w:adjustRightInd w:val="0"/>
        <w:snapToGrid w:val="0"/>
        <w:spacing w:line="360"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如最终用户或成交供应商拒签合同，则按违约处理。</w:t>
      </w:r>
      <w:r>
        <w:rPr>
          <w:rFonts w:hint="eastAsia" w:ascii="宋体" w:hAnsi="宋体" w:eastAsia="宋体" w:cs="宋体"/>
          <w:color w:val="auto"/>
          <w:sz w:val="24"/>
          <w:highlight w:val="none"/>
          <w:lang w:val="en-US"/>
        </w:rPr>
        <w:t>采购</w:t>
      </w:r>
      <w:r>
        <w:rPr>
          <w:rFonts w:hint="eastAsia" w:ascii="宋体" w:hAnsi="宋体" w:eastAsia="宋体" w:cs="宋体"/>
          <w:color w:val="auto"/>
          <w:sz w:val="24"/>
          <w:highlight w:val="none"/>
        </w:rPr>
        <w:t>人对违约方收取成交金额</w:t>
      </w:r>
      <w:r>
        <w:rPr>
          <w:rFonts w:hint="eastAsia" w:ascii="宋体" w:hAnsi="宋体" w:eastAsia="宋体" w:cs="宋体"/>
          <w:color w:val="auto"/>
          <w:spacing w:val="2"/>
          <w:sz w:val="24"/>
          <w:highlight w:val="none"/>
          <w:lang w:val="en-US"/>
        </w:rPr>
        <w:t>一定数额</w:t>
      </w:r>
      <w:r>
        <w:rPr>
          <w:rFonts w:hint="eastAsia" w:ascii="宋体" w:hAnsi="宋体" w:eastAsia="宋体" w:cs="宋体"/>
          <w:color w:val="auto"/>
          <w:sz w:val="24"/>
          <w:highlight w:val="none"/>
        </w:rPr>
        <w:t>的违约金（</w:t>
      </w:r>
      <w:r>
        <w:rPr>
          <w:rFonts w:hint="eastAsia" w:ascii="宋体" w:hAnsi="宋体" w:eastAsia="宋体" w:cs="宋体"/>
          <w:color w:val="auto"/>
          <w:sz w:val="24"/>
          <w:highlight w:val="none"/>
          <w:lang w:val="en-US"/>
        </w:rPr>
        <w:t>不超过成交金额的2%</w:t>
      </w:r>
      <w:r>
        <w:rPr>
          <w:rFonts w:hint="eastAsia" w:ascii="宋体" w:hAnsi="宋体" w:eastAsia="宋体" w:cs="宋体"/>
          <w:color w:val="auto"/>
          <w:sz w:val="24"/>
          <w:highlight w:val="none"/>
        </w:rPr>
        <w:t>）。</w:t>
      </w:r>
    </w:p>
    <w:p w14:paraId="755CECCA">
      <w:pPr>
        <w:pStyle w:val="35"/>
        <w:numPr>
          <w:ilvl w:val="1"/>
          <w:numId w:val="20"/>
        </w:numPr>
        <w:tabs>
          <w:tab w:val="left" w:pos="941"/>
        </w:tabs>
        <w:adjustRightInd w:val="0"/>
        <w:snapToGrid w:val="0"/>
        <w:spacing w:line="360" w:lineRule="auto"/>
        <w:ind w:left="0" w:firstLine="480" w:firstLineChars="200"/>
        <w:jc w:val="both"/>
        <w:rPr>
          <w:rFonts w:hint="eastAsia" w:ascii="宋体" w:hAnsi="宋体" w:eastAsia="宋体" w:cs="宋体"/>
          <w:color w:val="auto"/>
          <w:highlight w:val="none"/>
        </w:rPr>
      </w:pPr>
      <w:r>
        <w:rPr>
          <w:rFonts w:hint="eastAsia" w:ascii="宋体" w:hAnsi="宋体" w:eastAsia="宋体" w:cs="宋体"/>
          <w:color w:val="auto"/>
          <w:sz w:val="24"/>
          <w:highlight w:val="none"/>
        </w:rPr>
        <w:t>如成交供应商拒签合同，</w:t>
      </w:r>
      <w:r>
        <w:rPr>
          <w:rFonts w:hint="eastAsia" w:ascii="宋体" w:hAnsi="宋体" w:eastAsia="宋体" w:cs="宋体"/>
          <w:color w:val="auto"/>
          <w:sz w:val="24"/>
          <w:highlight w:val="none"/>
          <w:lang w:val="en-US"/>
        </w:rPr>
        <w:t>采购人</w:t>
      </w:r>
      <w:r>
        <w:rPr>
          <w:rFonts w:hint="eastAsia" w:ascii="宋体" w:hAnsi="宋体" w:eastAsia="宋体" w:cs="宋体"/>
          <w:color w:val="auto"/>
          <w:sz w:val="24"/>
          <w:highlight w:val="none"/>
        </w:rPr>
        <w:t>可</w:t>
      </w:r>
      <w:r>
        <w:rPr>
          <w:rFonts w:hint="eastAsia" w:ascii="宋体" w:hAnsi="宋体" w:eastAsia="宋体" w:cs="宋体"/>
          <w:color w:val="auto"/>
          <w:sz w:val="24"/>
          <w:highlight w:val="none"/>
          <w:lang w:val="en-US"/>
        </w:rPr>
        <w:t>依次递补下一名</w:t>
      </w:r>
      <w:r>
        <w:rPr>
          <w:rFonts w:hint="eastAsia" w:ascii="宋体" w:hAnsi="宋体" w:eastAsia="宋体" w:cs="宋体"/>
          <w:color w:val="auto"/>
          <w:sz w:val="24"/>
          <w:highlight w:val="none"/>
        </w:rPr>
        <w:t>成交</w:t>
      </w:r>
      <w:r>
        <w:rPr>
          <w:rFonts w:hint="eastAsia" w:ascii="宋体" w:hAnsi="宋体" w:eastAsia="宋体" w:cs="宋体"/>
          <w:color w:val="auto"/>
          <w:sz w:val="24"/>
          <w:highlight w:val="none"/>
          <w:lang w:val="en-US"/>
        </w:rPr>
        <w:t>候选人或依法进行二次邀请谈判</w:t>
      </w:r>
      <w:r>
        <w:rPr>
          <w:rFonts w:hint="eastAsia" w:ascii="宋体" w:hAnsi="宋体" w:eastAsia="宋体" w:cs="宋体"/>
          <w:color w:val="auto"/>
          <w:sz w:val="24"/>
          <w:highlight w:val="none"/>
        </w:rPr>
        <w:t>。</w:t>
      </w:r>
    </w:p>
    <w:p w14:paraId="4B5A22A8">
      <w:pPr>
        <w:spacing w:line="360" w:lineRule="auto"/>
        <w:ind w:firstLine="549"/>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rPr>
        <w:t>29</w:t>
      </w:r>
      <w:r>
        <w:rPr>
          <w:rFonts w:hint="eastAsia" w:ascii="宋体" w:hAnsi="宋体" w:eastAsia="宋体" w:cs="宋体"/>
          <w:b/>
          <w:color w:val="auto"/>
          <w:sz w:val="24"/>
          <w:highlight w:val="none"/>
        </w:rPr>
        <w:t>.未尽事宜</w:t>
      </w:r>
    </w:p>
    <w:p w14:paraId="4C6C7512">
      <w:pPr>
        <w:spacing w:line="360" w:lineRule="auto"/>
        <w:ind w:firstLine="54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29.1</w:t>
      </w:r>
      <w:r>
        <w:rPr>
          <w:rFonts w:hint="eastAsia" w:ascii="宋体" w:hAnsi="宋体" w:eastAsia="宋体" w:cs="宋体"/>
          <w:color w:val="auto"/>
          <w:sz w:val="24"/>
          <w:highlight w:val="none"/>
        </w:rPr>
        <w:t>按《中华人民共和国政府采购法》、</w:t>
      </w:r>
      <w:r>
        <w:rPr>
          <w:rFonts w:hint="eastAsia" w:ascii="宋体" w:hAnsi="宋体" w:eastAsia="宋体" w:cs="宋体"/>
          <w:color w:val="auto"/>
          <w:sz w:val="24"/>
          <w:highlight w:val="none"/>
          <w:lang w:val="en-US"/>
        </w:rPr>
        <w:t>《政府采购非招标采购方式管理办法》及其他有关法律法规的规定执行。</w:t>
      </w:r>
    </w:p>
    <w:p w14:paraId="616FE052">
      <w:pPr>
        <w:spacing w:line="360" w:lineRule="auto"/>
        <w:ind w:firstLine="549"/>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val="en-US"/>
        </w:rPr>
        <w:t>30</w:t>
      </w:r>
      <w:r>
        <w:rPr>
          <w:rFonts w:hint="eastAsia" w:ascii="宋体" w:hAnsi="宋体" w:eastAsia="宋体" w:cs="宋体"/>
          <w:b/>
          <w:color w:val="auto"/>
          <w:sz w:val="24"/>
          <w:highlight w:val="none"/>
        </w:rPr>
        <w:t>.解释权</w:t>
      </w:r>
    </w:p>
    <w:p w14:paraId="49A2F4BD">
      <w:pPr>
        <w:pStyle w:val="16"/>
        <w:ind w:firstLine="480" w:firstLineChars="200"/>
        <w:rPr>
          <w:rFonts w:hint="eastAsia" w:ascii="宋体" w:hAnsi="宋体" w:eastAsia="宋体" w:cs="宋体"/>
          <w:color w:val="auto"/>
          <w:highlight w:val="none"/>
        </w:rPr>
        <w:sectPr>
          <w:pgSz w:w="11850" w:h="16790"/>
          <w:pgMar w:top="1560" w:right="1180" w:bottom="920" w:left="1580" w:header="0" w:footer="721" w:gutter="0"/>
          <w:cols w:space="720" w:num="1"/>
        </w:sectPr>
      </w:pPr>
      <w:r>
        <w:rPr>
          <w:rFonts w:hint="eastAsia" w:ascii="宋体" w:hAnsi="宋体" w:eastAsia="宋体" w:cs="宋体"/>
          <w:bCs/>
          <w:color w:val="auto"/>
          <w:sz w:val="24"/>
          <w:highlight w:val="none"/>
        </w:rPr>
        <w:t>本</w:t>
      </w:r>
      <w:r>
        <w:rPr>
          <w:rFonts w:hint="eastAsia" w:ascii="宋体" w:hAnsi="宋体" w:eastAsia="宋体" w:cs="宋体"/>
          <w:bCs/>
          <w:color w:val="auto"/>
          <w:sz w:val="24"/>
          <w:highlight w:val="none"/>
          <w:lang w:val="en-US"/>
        </w:rPr>
        <w:t>谈判</w:t>
      </w:r>
      <w:r>
        <w:rPr>
          <w:rFonts w:hint="eastAsia" w:ascii="宋体" w:hAnsi="宋体" w:eastAsia="宋体" w:cs="宋体"/>
          <w:bCs/>
          <w:color w:val="auto"/>
          <w:sz w:val="24"/>
          <w:highlight w:val="none"/>
        </w:rPr>
        <w:t>文件的</w:t>
      </w:r>
      <w:r>
        <w:rPr>
          <w:rFonts w:hint="eastAsia" w:ascii="宋体" w:hAnsi="宋体" w:eastAsia="宋体" w:cs="宋体"/>
          <w:bCs/>
          <w:color w:val="auto"/>
          <w:sz w:val="24"/>
          <w:highlight w:val="none"/>
          <w:lang w:val="en-US"/>
        </w:rPr>
        <w:t>解释权属于采购人。</w:t>
      </w:r>
    </w:p>
    <w:p w14:paraId="38FE6C71">
      <w:pPr>
        <w:pStyle w:val="5"/>
        <w:tabs>
          <w:tab w:val="left" w:pos="1607"/>
        </w:tabs>
        <w:spacing w:before="41"/>
        <w:rPr>
          <w:rFonts w:hint="eastAsia" w:ascii="宋体" w:hAnsi="宋体" w:eastAsia="宋体" w:cs="宋体"/>
          <w:color w:val="auto"/>
          <w:highlight w:val="none"/>
        </w:rPr>
      </w:pPr>
      <w:bookmarkStart w:id="70" w:name="第五部分__谈判文件格式"/>
      <w:bookmarkEnd w:id="70"/>
      <w:bookmarkStart w:id="71" w:name="_Toc13683"/>
      <w:bookmarkStart w:id="72" w:name="_Toc22559"/>
      <w:r>
        <w:rPr>
          <w:rFonts w:hint="eastAsia" w:ascii="宋体" w:hAnsi="宋体" w:eastAsia="宋体" w:cs="宋体"/>
          <w:color w:val="auto"/>
          <w:highlight w:val="none"/>
        </w:rPr>
        <w:t>第五部分</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谈判文件格式</w:t>
      </w:r>
      <w:bookmarkEnd w:id="71"/>
      <w:bookmarkEnd w:id="72"/>
    </w:p>
    <w:p w14:paraId="7868EAC4">
      <w:pPr>
        <w:pStyle w:val="9"/>
        <w:rPr>
          <w:rFonts w:hint="eastAsia" w:ascii="宋体" w:hAnsi="宋体" w:eastAsia="宋体" w:cs="宋体"/>
          <w:b/>
          <w:color w:val="auto"/>
          <w:sz w:val="20"/>
          <w:highlight w:val="none"/>
        </w:rPr>
      </w:pPr>
    </w:p>
    <w:p w14:paraId="4BF96925">
      <w:pPr>
        <w:pStyle w:val="9"/>
        <w:spacing w:before="7"/>
        <w:rPr>
          <w:rFonts w:hint="eastAsia" w:ascii="宋体" w:hAnsi="宋体" w:eastAsia="宋体" w:cs="宋体"/>
          <w:b/>
          <w:color w:val="auto"/>
          <w:sz w:val="19"/>
          <w:highlight w:val="none"/>
        </w:rPr>
      </w:pPr>
    </w:p>
    <w:p w14:paraId="1C688986">
      <w:pPr>
        <w:rPr>
          <w:rFonts w:hint="eastAsia" w:ascii="宋体" w:hAnsi="宋体" w:eastAsia="宋体" w:cs="宋体"/>
          <w:color w:val="auto"/>
          <w:sz w:val="19"/>
          <w:highlight w:val="none"/>
        </w:rPr>
        <w:sectPr>
          <w:pgSz w:w="11850" w:h="16790"/>
          <w:pgMar w:top="1400" w:right="1180" w:bottom="920" w:left="1580" w:header="0" w:footer="721" w:gutter="0"/>
          <w:cols w:space="720" w:num="1"/>
        </w:sectPr>
      </w:pPr>
    </w:p>
    <w:p w14:paraId="0A1ACCA1">
      <w:pPr>
        <w:spacing w:before="62"/>
        <w:ind w:left="218"/>
        <w:rPr>
          <w:rFonts w:hint="eastAsia" w:ascii="宋体" w:hAnsi="宋体" w:eastAsia="宋体" w:cs="宋体"/>
          <w:color w:val="auto"/>
          <w:sz w:val="28"/>
          <w:highlight w:val="none"/>
        </w:rPr>
      </w:pPr>
      <w:r>
        <w:rPr>
          <w:rFonts w:hint="eastAsia" w:ascii="宋体" w:hAnsi="宋体" w:eastAsia="宋体" w:cs="宋体"/>
          <w:color w:val="auto"/>
          <w:sz w:val="28"/>
          <w:highlight w:val="none"/>
        </w:rPr>
        <w:t>附件１：</w:t>
      </w:r>
    </w:p>
    <w:p w14:paraId="6F540B64">
      <w:pPr>
        <w:pStyle w:val="9"/>
        <w:spacing w:before="12"/>
        <w:rPr>
          <w:rFonts w:hint="eastAsia" w:ascii="宋体" w:hAnsi="宋体" w:eastAsia="宋体" w:cs="宋体"/>
          <w:color w:val="auto"/>
          <w:sz w:val="32"/>
          <w:highlight w:val="none"/>
        </w:rPr>
      </w:pPr>
      <w:r>
        <w:rPr>
          <w:rFonts w:hint="eastAsia" w:ascii="宋体" w:hAnsi="宋体" w:eastAsia="宋体" w:cs="宋体"/>
          <w:color w:val="auto"/>
          <w:highlight w:val="none"/>
        </w:rPr>
        <w:br w:type="column"/>
      </w:r>
    </w:p>
    <w:p w14:paraId="085D31F2">
      <w:pPr>
        <w:ind w:left="21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谈判响应函</w:t>
      </w:r>
    </w:p>
    <w:p w14:paraId="29E3C0C8">
      <w:pPr>
        <w:rPr>
          <w:rFonts w:hint="eastAsia" w:ascii="宋体" w:hAnsi="宋体" w:eastAsia="宋体" w:cs="宋体"/>
          <w:color w:val="auto"/>
          <w:sz w:val="32"/>
          <w:highlight w:val="none"/>
        </w:rPr>
        <w:sectPr>
          <w:type w:val="continuous"/>
          <w:pgSz w:w="11850" w:h="16790"/>
          <w:pgMar w:top="1600" w:right="1180" w:bottom="920" w:left="1580" w:header="720" w:footer="720" w:gutter="0"/>
          <w:cols w:equalWidth="0" w:num="2">
            <w:col w:w="1382" w:space="1943"/>
            <w:col w:w="5765"/>
          </w:cols>
        </w:sectPr>
      </w:pPr>
    </w:p>
    <w:p w14:paraId="4D990E33">
      <w:pPr>
        <w:pStyle w:val="9"/>
        <w:spacing w:before="4"/>
        <w:rPr>
          <w:rFonts w:hint="eastAsia" w:ascii="宋体" w:hAnsi="宋体" w:eastAsia="宋体" w:cs="宋体"/>
          <w:b/>
          <w:color w:val="auto"/>
          <w:sz w:val="16"/>
          <w:highlight w:val="none"/>
        </w:rPr>
      </w:pPr>
    </w:p>
    <w:p w14:paraId="7A7250F8">
      <w:pPr>
        <w:pStyle w:val="9"/>
        <w:spacing w:before="66"/>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致:周口市公共资源交易中心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政府采购中心</w:t>
      </w:r>
      <w:r>
        <w:rPr>
          <w:rFonts w:hint="eastAsia" w:ascii="宋体" w:hAnsi="宋体" w:eastAsia="宋体" w:cs="宋体"/>
          <w:color w:val="auto"/>
          <w:highlight w:val="none"/>
          <w:lang w:val="en-US" w:eastAsia="zh-CN"/>
        </w:rPr>
        <w:t>)</w:t>
      </w:r>
    </w:p>
    <w:p w14:paraId="466C4181">
      <w:pPr>
        <w:pStyle w:val="9"/>
        <w:spacing w:before="66"/>
        <w:ind w:left="218" w:firstLine="248" w:firstLineChars="100"/>
        <w:rPr>
          <w:rFonts w:hint="eastAsia" w:ascii="宋体" w:hAnsi="宋体" w:eastAsia="宋体" w:cs="宋体"/>
          <w:color w:val="auto"/>
          <w:highlight w:val="none"/>
        </w:rPr>
      </w:pPr>
      <w:r>
        <w:rPr>
          <w:rFonts w:hint="eastAsia" w:ascii="宋体" w:hAnsi="宋体" w:eastAsia="宋体" w:cs="宋体"/>
          <w:color w:val="auto"/>
          <w:spacing w:val="4"/>
          <w:highlight w:val="none"/>
        </w:rPr>
        <w:t>根据贵方</w:t>
      </w:r>
      <w:r>
        <w:rPr>
          <w:rFonts w:hint="eastAsia" w:ascii="宋体" w:hAnsi="宋体" w:eastAsia="宋体" w:cs="宋体"/>
          <w:color w:val="auto"/>
          <w:highlight w:val="none"/>
        </w:rPr>
        <w:t>政</w:t>
      </w:r>
      <w:r>
        <w:rPr>
          <w:rFonts w:hint="eastAsia" w:ascii="宋体" w:hAnsi="宋体" w:eastAsia="宋体" w:cs="宋体"/>
          <w:color w:val="auto"/>
          <w:spacing w:val="4"/>
          <w:highlight w:val="none"/>
        </w:rPr>
        <w:t>府</w:t>
      </w:r>
      <w:r>
        <w:rPr>
          <w:rFonts w:hint="eastAsia" w:ascii="宋体" w:hAnsi="宋体" w:eastAsia="宋体" w:cs="宋体"/>
          <w:color w:val="auto"/>
          <w:spacing w:val="4"/>
          <w:highlight w:val="none"/>
          <w:lang w:val="en-US" w:eastAsia="zh-CN"/>
        </w:rPr>
        <w:t>项目</w:t>
      </w:r>
      <w:r>
        <w:rPr>
          <w:rFonts w:hint="eastAsia" w:ascii="宋体" w:hAnsi="宋体" w:eastAsia="宋体" w:cs="宋体"/>
          <w:color w:val="auto"/>
          <w:spacing w:val="4"/>
          <w:highlight w:val="none"/>
        </w:rPr>
        <w:t>编号</w:t>
      </w:r>
      <w:r>
        <w:rPr>
          <w:rFonts w:hint="eastAsia" w:ascii="宋体" w:hAnsi="宋体" w:eastAsia="宋体" w:cs="宋体"/>
          <w:color w:val="auto"/>
          <w:spacing w:val="7"/>
          <w:highlight w:val="none"/>
        </w:rPr>
        <w:t>为</w:t>
      </w:r>
      <w:r>
        <w:rPr>
          <w:rFonts w:hint="eastAsia" w:ascii="宋体" w:hAnsi="宋体" w:eastAsia="宋体" w:cs="宋体"/>
          <w:color w:val="auto"/>
          <w:spacing w:val="7"/>
          <w:highlight w:val="none"/>
          <w:u w:val="single"/>
        </w:rPr>
        <w:tab/>
      </w:r>
      <w:r>
        <w:rPr>
          <w:rFonts w:hint="eastAsia" w:ascii="宋体" w:hAnsi="宋体" w:eastAsia="宋体" w:cs="宋体"/>
          <w:color w:val="auto"/>
          <w:spacing w:val="4"/>
          <w:highlight w:val="none"/>
        </w:rPr>
        <w:t>的</w:t>
      </w:r>
      <w:r>
        <w:rPr>
          <w:rFonts w:hint="eastAsia" w:ascii="宋体" w:hAnsi="宋体" w:eastAsia="宋体" w:cs="宋体"/>
          <w:color w:val="auto"/>
          <w:spacing w:val="4"/>
          <w:highlight w:val="none"/>
          <w:lang w:val="en-US" w:eastAsia="zh-CN"/>
        </w:rPr>
        <w:t>项目</w:t>
      </w:r>
      <w:r>
        <w:rPr>
          <w:rFonts w:hint="eastAsia" w:ascii="宋体" w:hAnsi="宋体" w:eastAsia="宋体" w:cs="宋体"/>
          <w:color w:val="auto"/>
          <w:spacing w:val="4"/>
          <w:highlight w:val="none"/>
        </w:rPr>
        <w:t>谈判邀请</w:t>
      </w:r>
      <w:r>
        <w:rPr>
          <w:rFonts w:hint="eastAsia" w:ascii="宋体" w:hAnsi="宋体" w:eastAsia="宋体" w:cs="宋体"/>
          <w:color w:val="auto"/>
          <w:highlight w:val="none"/>
        </w:rPr>
        <w:t>函</w:t>
      </w:r>
      <w:r>
        <w:rPr>
          <w:rFonts w:hint="eastAsia" w:ascii="宋体" w:hAnsi="宋体" w:eastAsia="宋体" w:cs="宋体"/>
          <w:color w:val="auto"/>
          <w:spacing w:val="4"/>
          <w:highlight w:val="none"/>
        </w:rPr>
        <w:t>,正式授权下述签</w:t>
      </w:r>
    </w:p>
    <w:p w14:paraId="580B2352">
      <w:pPr>
        <w:pStyle w:val="9"/>
        <w:spacing w:before="158"/>
        <w:rPr>
          <w:rFonts w:hint="eastAsia" w:ascii="宋体" w:hAnsi="宋体" w:eastAsia="宋体" w:cs="宋体"/>
          <w:color w:val="auto"/>
          <w:highlight w:val="none"/>
        </w:rPr>
      </w:pPr>
      <w:r>
        <w:rPr>
          <w:rFonts w:hint="eastAsia" w:ascii="宋体" w:hAnsi="宋体" w:eastAsia="宋体" w:cs="宋体"/>
          <w:color w:val="auto"/>
          <w:highlight w:val="none"/>
        </w:rPr>
        <w:t>字人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(姓名和职务</w:t>
      </w:r>
      <w:r>
        <w:rPr>
          <w:rFonts w:hint="eastAsia" w:ascii="宋体" w:hAnsi="宋体" w:eastAsia="宋体" w:cs="宋体"/>
          <w:color w:val="auto"/>
          <w:spacing w:val="-96"/>
          <w:highlight w:val="none"/>
        </w:rPr>
        <w:t>，</w:t>
      </w:r>
      <w:r>
        <w:rPr>
          <w:rFonts w:hint="eastAsia" w:ascii="宋体" w:hAnsi="宋体" w:eastAsia="宋体" w:cs="宋体"/>
          <w:color w:val="auto"/>
          <w:highlight w:val="none"/>
        </w:rPr>
        <w:t>请用印刷体)代表谈判供应商</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highlight w:val="none"/>
        </w:rPr>
        <w:t>投</w:t>
      </w:r>
      <w:r>
        <w:rPr>
          <w:rFonts w:hint="eastAsia" w:ascii="宋体" w:hAnsi="宋体" w:eastAsia="宋体" w:cs="宋体"/>
          <w:color w:val="auto"/>
          <w:spacing w:val="-3"/>
          <w:highlight w:val="none"/>
        </w:rPr>
        <w:t>标</w:t>
      </w:r>
      <w:r>
        <w:rPr>
          <w:rFonts w:hint="eastAsia" w:ascii="宋体" w:hAnsi="宋体" w:eastAsia="宋体" w:cs="宋体"/>
          <w:color w:val="auto"/>
          <w:highlight w:val="none"/>
        </w:rPr>
        <w:t>单位的名称</w:t>
      </w:r>
      <w:r>
        <w:rPr>
          <w:rFonts w:hint="eastAsia" w:ascii="宋体" w:hAnsi="宋体" w:eastAsia="宋体" w:cs="宋体"/>
          <w:color w:val="auto"/>
          <w:spacing w:val="-9"/>
          <w:highlight w:val="none"/>
        </w:rPr>
        <w:t xml:space="preserve">), </w:t>
      </w:r>
      <w:r>
        <w:rPr>
          <w:rFonts w:hint="eastAsia" w:ascii="宋体" w:hAnsi="宋体" w:eastAsia="宋体" w:cs="宋体"/>
          <w:color w:val="auto"/>
          <w:highlight w:val="none"/>
        </w:rPr>
        <w:t>提交：</w:t>
      </w:r>
    </w:p>
    <w:p w14:paraId="2F74374B">
      <w:pPr>
        <w:pStyle w:val="9"/>
        <w:spacing w:before="5" w:line="364" w:lineRule="auto"/>
        <w:ind w:left="218" w:right="616" w:firstLine="719"/>
        <w:rPr>
          <w:rFonts w:hint="eastAsia" w:ascii="宋体" w:hAnsi="宋体" w:eastAsia="宋体" w:cs="宋体"/>
          <w:color w:val="auto"/>
          <w:highlight w:val="none"/>
        </w:rPr>
      </w:pPr>
      <w:r>
        <w:rPr>
          <w:rFonts w:hint="eastAsia" w:ascii="宋体" w:hAnsi="宋体" w:eastAsia="宋体" w:cs="宋体"/>
          <w:color w:val="auto"/>
          <w:highlight w:val="none"/>
        </w:rPr>
        <w:t>（一）谈判响应函(附件一)按统一格式填写，由投标单位加盖公章，并由投标单位法定代表人或其授权代表人签字。</w:t>
      </w:r>
    </w:p>
    <w:p w14:paraId="1FE0A99A">
      <w:pPr>
        <w:pStyle w:val="9"/>
        <w:spacing w:line="306" w:lineRule="exact"/>
        <w:ind w:left="938"/>
        <w:rPr>
          <w:rFonts w:hint="eastAsia" w:ascii="宋体" w:hAnsi="宋体" w:eastAsia="宋体" w:cs="宋体"/>
          <w:color w:val="auto"/>
          <w:highlight w:val="none"/>
        </w:rPr>
      </w:pPr>
      <w:r>
        <w:rPr>
          <w:rFonts w:hint="eastAsia" w:ascii="宋体" w:hAnsi="宋体" w:eastAsia="宋体" w:cs="宋体"/>
          <w:color w:val="auto"/>
          <w:highlight w:val="none"/>
        </w:rPr>
        <w:t>（二）谈判价格一览表</w:t>
      </w:r>
    </w:p>
    <w:p w14:paraId="3B564892">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（三）优惠条件及服务承诺</w:t>
      </w:r>
    </w:p>
    <w:p w14:paraId="3C9146F3">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（四）施工图预算书</w:t>
      </w:r>
    </w:p>
    <w:p w14:paraId="6F73B1F0">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（五）施工组织设计</w:t>
      </w:r>
    </w:p>
    <w:p w14:paraId="403FCDD0">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（六）劳动力计划表</w:t>
      </w:r>
    </w:p>
    <w:p w14:paraId="16C00338">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（七）计划开、竣工日期和施工进度表</w:t>
      </w:r>
    </w:p>
    <w:p w14:paraId="2DE9029B">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（八）项目管理机构配备情况表</w:t>
      </w:r>
    </w:p>
    <w:p w14:paraId="633CE210">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（九）项目负责人简历表</w:t>
      </w:r>
    </w:p>
    <w:p w14:paraId="6748B075">
      <w:pPr>
        <w:pStyle w:val="9"/>
        <w:spacing w:before="158"/>
        <w:ind w:left="938"/>
        <w:rPr>
          <w:rFonts w:hint="eastAsia" w:ascii="宋体" w:hAnsi="宋体" w:eastAsia="宋体" w:cs="宋体"/>
          <w:color w:val="auto"/>
          <w:highlight w:val="none"/>
        </w:rPr>
      </w:pPr>
      <w:r>
        <w:rPr>
          <w:rFonts w:hint="eastAsia" w:ascii="宋体" w:hAnsi="宋体" w:eastAsia="宋体" w:cs="宋体"/>
          <w:color w:val="auto"/>
          <w:highlight w:val="none"/>
        </w:rPr>
        <w:t>（十）项目管理机构配备情况辅助说明资料</w:t>
      </w:r>
    </w:p>
    <w:p w14:paraId="6028EB36">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（十一）关于资格的声明函</w:t>
      </w:r>
    </w:p>
    <w:p w14:paraId="35D37F8E">
      <w:pPr>
        <w:pStyle w:val="9"/>
        <w:spacing w:before="159"/>
        <w:ind w:left="938"/>
        <w:rPr>
          <w:rFonts w:hint="eastAsia" w:ascii="宋体" w:hAnsi="宋体" w:eastAsia="宋体" w:cs="宋体"/>
          <w:color w:val="auto"/>
          <w:highlight w:val="none"/>
        </w:rPr>
      </w:pPr>
      <w:r>
        <w:rPr>
          <w:rFonts w:hint="eastAsia" w:ascii="宋体" w:hAnsi="宋体" w:eastAsia="宋体" w:cs="宋体"/>
          <w:color w:val="auto"/>
          <w:highlight w:val="none"/>
        </w:rPr>
        <w:t>（十二）授权委托书</w:t>
      </w:r>
    </w:p>
    <w:p w14:paraId="17CC9652">
      <w:pPr>
        <w:pStyle w:val="9"/>
        <w:spacing w:before="160"/>
        <w:ind w:left="938"/>
        <w:rPr>
          <w:rFonts w:hint="eastAsia" w:ascii="宋体" w:hAnsi="宋体" w:eastAsia="宋体" w:cs="宋体"/>
          <w:color w:val="auto"/>
          <w:highlight w:val="none"/>
        </w:rPr>
      </w:pPr>
      <w:r>
        <w:rPr>
          <w:rFonts w:hint="eastAsia" w:ascii="宋体" w:hAnsi="宋体" w:eastAsia="宋体" w:cs="宋体"/>
          <w:color w:val="auto"/>
          <w:highlight w:val="none"/>
        </w:rPr>
        <w:t>（十三）其它相关资料</w:t>
      </w:r>
    </w:p>
    <w:p w14:paraId="23B8091E">
      <w:pPr>
        <w:pStyle w:val="9"/>
        <w:spacing w:before="161"/>
        <w:ind w:left="938"/>
        <w:rPr>
          <w:rFonts w:hint="eastAsia" w:ascii="宋体" w:hAnsi="宋体" w:eastAsia="宋体" w:cs="宋体"/>
          <w:color w:val="auto"/>
          <w:highlight w:val="none"/>
        </w:rPr>
      </w:pPr>
      <w:r>
        <w:rPr>
          <w:rFonts w:hint="eastAsia" w:ascii="宋体" w:hAnsi="宋体" w:eastAsia="宋体" w:cs="宋体"/>
          <w:color w:val="auto"/>
          <w:highlight w:val="none"/>
        </w:rPr>
        <w:t>根据此函,签字人兹宣布同意如下:</w:t>
      </w:r>
    </w:p>
    <w:p w14:paraId="2CA33F11">
      <w:pPr>
        <w:pStyle w:val="35"/>
        <w:numPr>
          <w:ilvl w:val="0"/>
          <w:numId w:val="21"/>
        </w:numPr>
        <w:tabs>
          <w:tab w:val="left" w:pos="1003"/>
          <w:tab w:val="left" w:pos="7505"/>
        </w:tabs>
        <w:spacing w:before="160" w:line="362" w:lineRule="auto"/>
        <w:ind w:right="611" w:firstLine="542"/>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w:t>
      </w:r>
      <w:r>
        <w:rPr>
          <w:rFonts w:hint="eastAsia" w:ascii="宋体" w:hAnsi="宋体" w:eastAsia="宋体" w:cs="宋体"/>
          <w:color w:val="auto"/>
          <w:spacing w:val="4"/>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4"/>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4"/>
          <w:sz w:val="24"/>
          <w:highlight w:val="none"/>
        </w:rPr>
        <w:t>，</w:t>
      </w:r>
      <w:r>
        <w:rPr>
          <w:rFonts w:hint="eastAsia" w:ascii="宋体" w:hAnsi="宋体" w:eastAsia="宋体" w:cs="宋体"/>
          <w:color w:val="auto"/>
          <w:sz w:val="24"/>
          <w:highlight w:val="none"/>
        </w:rPr>
        <w:t>我</w:t>
      </w:r>
      <w:r>
        <w:rPr>
          <w:rFonts w:hint="eastAsia" w:ascii="宋体" w:hAnsi="宋体" w:eastAsia="宋体" w:cs="宋体"/>
          <w:color w:val="auto"/>
          <w:spacing w:val="4"/>
          <w:sz w:val="24"/>
          <w:highlight w:val="none"/>
        </w:rPr>
        <w:t>方</w:t>
      </w:r>
      <w:r>
        <w:rPr>
          <w:rFonts w:hint="eastAsia" w:ascii="宋体" w:hAnsi="宋体" w:eastAsia="宋体" w:cs="宋体"/>
          <w:color w:val="auto"/>
          <w:sz w:val="24"/>
          <w:highlight w:val="none"/>
        </w:rPr>
        <w:t>此次</w:t>
      </w:r>
      <w:r>
        <w:rPr>
          <w:rFonts w:hint="eastAsia" w:ascii="宋体" w:hAnsi="宋体" w:eastAsia="宋体" w:cs="宋体"/>
          <w:color w:val="auto"/>
          <w:spacing w:val="4"/>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4"/>
          <w:sz w:val="24"/>
          <w:highlight w:val="none"/>
        </w:rPr>
        <w:t>总</w:t>
      </w:r>
      <w:r>
        <w:rPr>
          <w:rFonts w:hint="eastAsia" w:ascii="宋体" w:hAnsi="宋体" w:eastAsia="宋体" w:cs="宋体"/>
          <w:color w:val="auto"/>
          <w:sz w:val="24"/>
          <w:highlight w:val="none"/>
        </w:rPr>
        <w:t>报价</w:t>
      </w:r>
      <w:r>
        <w:rPr>
          <w:rFonts w:hint="eastAsia" w:ascii="宋体" w:hAnsi="宋体" w:eastAsia="宋体" w:cs="宋体"/>
          <w:color w:val="auto"/>
          <w:spacing w:val="4"/>
          <w:sz w:val="24"/>
          <w:highlight w:val="none"/>
        </w:rPr>
        <w:t>为</w:t>
      </w:r>
      <w:r>
        <w:rPr>
          <w:rFonts w:hint="eastAsia" w:ascii="宋体" w:hAnsi="宋体" w:eastAsia="宋体" w:cs="宋体"/>
          <w:color w:val="auto"/>
          <w:sz w:val="24"/>
          <w:highlight w:val="none"/>
        </w:rPr>
        <w:t>人</w:t>
      </w:r>
      <w:r>
        <w:rPr>
          <w:rFonts w:hint="eastAsia" w:ascii="宋体" w:hAnsi="宋体" w:eastAsia="宋体" w:cs="宋体"/>
          <w:color w:val="auto"/>
          <w:spacing w:val="4"/>
          <w:sz w:val="24"/>
          <w:highlight w:val="none"/>
        </w:rPr>
        <w:t>民</w:t>
      </w:r>
      <w:r>
        <w:rPr>
          <w:rFonts w:hint="eastAsia" w:ascii="宋体" w:hAnsi="宋体" w:eastAsia="宋体" w:cs="宋体"/>
          <w:color w:val="auto"/>
          <w:spacing w:val="8"/>
          <w:sz w:val="24"/>
          <w:highlight w:val="none"/>
        </w:rPr>
        <w:t>币</w:t>
      </w:r>
      <w:r>
        <w:rPr>
          <w:rFonts w:hint="eastAsia" w:ascii="宋体" w:hAnsi="宋体" w:eastAsia="宋体" w:cs="宋体"/>
          <w:color w:val="auto"/>
          <w:spacing w:val="8"/>
          <w:sz w:val="24"/>
          <w:highlight w:val="none"/>
          <w:u w:val="single"/>
        </w:rPr>
        <w:tab/>
      </w:r>
      <w:r>
        <w:rPr>
          <w:rFonts w:hint="eastAsia" w:ascii="宋体" w:hAnsi="宋体" w:eastAsia="宋体" w:cs="宋体"/>
          <w:color w:val="auto"/>
          <w:sz w:val="24"/>
          <w:highlight w:val="none"/>
        </w:rPr>
        <w:t>元整（</w:t>
      </w:r>
      <w:r>
        <w:rPr>
          <w:rFonts w:hint="eastAsia" w:ascii="宋体" w:hAnsi="宋体" w:eastAsia="宋体" w:cs="宋体"/>
          <w:color w:val="auto"/>
          <w:spacing w:val="-14"/>
          <w:sz w:val="24"/>
          <w:highlight w:val="none"/>
        </w:rPr>
        <w:t>大</w:t>
      </w:r>
      <w:r>
        <w:rPr>
          <w:rFonts w:hint="eastAsia" w:ascii="宋体" w:hAnsi="宋体" w:eastAsia="宋体" w:cs="宋体"/>
          <w:color w:val="auto"/>
          <w:sz w:val="24"/>
          <w:highlight w:val="none"/>
        </w:rPr>
        <w:t>写）。</w:t>
      </w:r>
    </w:p>
    <w:p w14:paraId="32C450EA">
      <w:pPr>
        <w:pStyle w:val="35"/>
        <w:numPr>
          <w:ilvl w:val="0"/>
          <w:numId w:val="21"/>
        </w:numPr>
        <w:tabs>
          <w:tab w:val="left" w:pos="1021"/>
        </w:tabs>
        <w:spacing w:before="5"/>
        <w:ind w:left="1020" w:hanging="242"/>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rPr>
        <w:t>我们完全理解贵方不一定要接受最低的报价为成交单位。</w:t>
      </w:r>
    </w:p>
    <w:p w14:paraId="669A25E9">
      <w:pPr>
        <w:rPr>
          <w:rFonts w:hint="eastAsia" w:ascii="宋体" w:hAnsi="宋体" w:eastAsia="宋体" w:cs="宋体"/>
          <w:color w:val="auto"/>
          <w:sz w:val="24"/>
          <w:highlight w:val="none"/>
        </w:rPr>
        <w:sectPr>
          <w:type w:val="continuous"/>
          <w:pgSz w:w="11850" w:h="16790"/>
          <w:pgMar w:top="1600" w:right="1180" w:bottom="920" w:left="1580" w:header="720" w:footer="720" w:gutter="0"/>
          <w:cols w:space="720" w:num="1"/>
        </w:sectPr>
      </w:pPr>
    </w:p>
    <w:p w14:paraId="30D7CB88">
      <w:pPr>
        <w:pStyle w:val="35"/>
        <w:numPr>
          <w:ilvl w:val="0"/>
          <w:numId w:val="21"/>
        </w:numPr>
        <w:tabs>
          <w:tab w:val="left" w:pos="1179"/>
        </w:tabs>
        <w:spacing w:before="39" w:line="364" w:lineRule="auto"/>
        <w:ind w:right="611" w:firstLine="599"/>
        <w:rPr>
          <w:rFonts w:hint="eastAsia" w:ascii="宋体" w:hAnsi="宋体" w:eastAsia="宋体" w:cs="宋体"/>
          <w:color w:val="auto"/>
          <w:sz w:val="24"/>
          <w:highlight w:val="none"/>
        </w:rPr>
      </w:pPr>
      <w:r>
        <w:rPr>
          <w:rFonts w:hint="eastAsia" w:ascii="宋体" w:hAnsi="宋体" w:eastAsia="宋体" w:cs="宋体"/>
          <w:color w:val="auto"/>
          <w:sz w:val="24"/>
          <w:highlight w:val="none"/>
        </w:rPr>
        <w:t>我们已详细审核全部采购文件及其有效补充文件,完全理解并同意贵</w:t>
      </w:r>
      <w:r>
        <w:rPr>
          <w:rFonts w:hint="eastAsia" w:ascii="宋体" w:hAnsi="宋体" w:eastAsia="宋体" w:cs="宋体"/>
          <w:color w:val="auto"/>
          <w:spacing w:val="-4"/>
          <w:sz w:val="24"/>
          <w:highlight w:val="none"/>
        </w:rPr>
        <w:t>方采购文件的各项要求并遵守贵方采购文件中的各项规定。</w:t>
      </w:r>
    </w:p>
    <w:p w14:paraId="67B4A2AB">
      <w:pPr>
        <w:pStyle w:val="35"/>
        <w:numPr>
          <w:ilvl w:val="0"/>
          <w:numId w:val="21"/>
        </w:numPr>
        <w:tabs>
          <w:tab w:val="left" w:pos="1059"/>
        </w:tabs>
        <w:spacing w:line="306" w:lineRule="exact"/>
        <w:ind w:left="1059" w:hanging="241"/>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我方同意提供贵方可能另外要求的与谈判有关的任何证据或资料。</w:t>
      </w:r>
    </w:p>
    <w:p w14:paraId="3522BCBD">
      <w:pPr>
        <w:pStyle w:val="35"/>
        <w:numPr>
          <w:ilvl w:val="0"/>
          <w:numId w:val="21"/>
        </w:numPr>
        <w:tabs>
          <w:tab w:val="left" w:pos="1066"/>
        </w:tabs>
        <w:spacing w:before="161"/>
        <w:ind w:left="1065" w:hanging="248"/>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一旦我方成交,我们将根据采购文件的规定,严格履行自己的责任和义</w:t>
      </w:r>
    </w:p>
    <w:p w14:paraId="040A9EC8">
      <w:pPr>
        <w:pStyle w:val="9"/>
        <w:spacing w:before="158"/>
        <w:ind w:left="218"/>
        <w:rPr>
          <w:rFonts w:hint="eastAsia" w:ascii="宋体" w:hAnsi="宋体" w:eastAsia="宋体" w:cs="宋体"/>
          <w:color w:val="auto"/>
          <w:highlight w:val="none"/>
        </w:rPr>
      </w:pPr>
      <w:r>
        <w:rPr>
          <w:rFonts w:hint="eastAsia" w:ascii="宋体" w:hAnsi="宋体" w:eastAsia="宋体" w:cs="宋体"/>
          <w:color w:val="auto"/>
          <w:highlight w:val="none"/>
        </w:rPr>
        <w:t>务。</w:t>
      </w:r>
    </w:p>
    <w:p w14:paraId="7CA2B1B9">
      <w:pPr>
        <w:pStyle w:val="9"/>
        <w:tabs>
          <w:tab w:val="left" w:pos="3979"/>
        </w:tabs>
        <w:spacing w:before="164"/>
        <w:ind w:left="578"/>
        <w:rPr>
          <w:rFonts w:hint="eastAsia" w:ascii="宋体" w:hAnsi="宋体" w:eastAsia="宋体" w:cs="宋体"/>
          <w:color w:val="auto"/>
          <w:highlight w:val="none"/>
          <w:u w:val="single"/>
        </w:rPr>
      </w:pPr>
      <w:r>
        <w:rPr>
          <w:rFonts w:hint="eastAsia" w:ascii="宋体" w:hAnsi="宋体" w:eastAsia="宋体" w:cs="宋体"/>
          <w:color w:val="auto"/>
          <w:highlight w:val="none"/>
        </w:rPr>
        <w:t>全权代表姓名</w:t>
      </w:r>
      <w:r>
        <w:rPr>
          <w:rFonts w:hint="eastAsia" w:ascii="宋体" w:hAnsi="宋体" w:eastAsia="宋体" w:cs="宋体"/>
          <w:color w:val="auto"/>
          <w:sz w:val="28"/>
          <w:highlight w:val="none"/>
          <w:u w:val="single"/>
        </w:rPr>
        <w:t>：</w:t>
      </w:r>
      <w:r>
        <w:rPr>
          <w:rFonts w:hint="eastAsia" w:ascii="宋体" w:hAnsi="宋体" w:eastAsia="宋体" w:cs="宋体"/>
          <w:color w:val="auto"/>
          <w:sz w:val="28"/>
          <w:highlight w:val="none"/>
          <w:u w:val="single"/>
        </w:rPr>
        <w:tab/>
      </w:r>
      <w:r>
        <w:rPr>
          <w:rFonts w:hint="eastAsia" w:ascii="宋体" w:hAnsi="宋体" w:eastAsia="宋体" w:cs="宋体"/>
          <w:color w:val="auto"/>
          <w:highlight w:val="none"/>
        </w:rPr>
        <w:t>谈判供应商</w:t>
      </w:r>
      <w:r>
        <w:rPr>
          <w:rFonts w:hint="eastAsia" w:ascii="宋体" w:hAnsi="宋体" w:eastAsia="宋体" w:cs="宋体"/>
          <w:color w:val="auto"/>
          <w:spacing w:val="-3"/>
          <w:highlight w:val="none"/>
        </w:rPr>
        <w:t>全</w:t>
      </w:r>
      <w:r>
        <w:rPr>
          <w:rFonts w:hint="eastAsia" w:ascii="宋体" w:hAnsi="宋体" w:eastAsia="宋体" w:cs="宋体"/>
          <w:color w:val="auto"/>
          <w:highlight w:val="none"/>
        </w:rPr>
        <w:t>称</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电子</w:t>
      </w:r>
      <w:r>
        <w:rPr>
          <w:rFonts w:hint="eastAsia" w:ascii="宋体" w:hAnsi="宋体" w:eastAsia="宋体" w:cs="宋体"/>
          <w:color w:val="auto"/>
          <w:highlight w:val="none"/>
          <w:u w:val="single"/>
        </w:rPr>
        <w:t>公章）</w:t>
      </w:r>
    </w:p>
    <w:p w14:paraId="11F0A9F5">
      <w:pPr>
        <w:tabs>
          <w:tab w:val="left" w:pos="2601"/>
          <w:tab w:val="left" w:pos="4901"/>
          <w:tab w:val="left" w:pos="7340"/>
          <w:tab w:val="left" w:pos="7787"/>
        </w:tabs>
        <w:spacing w:before="188" w:line="367" w:lineRule="auto"/>
        <w:ind w:left="578" w:right="1299"/>
        <w:rPr>
          <w:rFonts w:hint="eastAsia" w:ascii="宋体" w:hAnsi="宋体" w:eastAsia="宋体" w:cs="宋体"/>
          <w:color w:val="auto"/>
          <w:sz w:val="28"/>
          <w:highlight w:val="none"/>
          <w:u w:val="single"/>
        </w:rPr>
      </w:pPr>
      <w:r>
        <w:rPr>
          <w:rFonts w:hint="eastAsia" w:ascii="宋体" w:hAnsi="宋体" w:eastAsia="宋体" w:cs="宋体"/>
          <w:color w:val="auto"/>
          <w:sz w:val="24"/>
          <w:highlight w:val="none"/>
        </w:rPr>
        <w:t>供应商单位地址</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u w:val="single"/>
        </w:rPr>
        <w:tab/>
      </w:r>
    </w:p>
    <w:p w14:paraId="2B18E3A3">
      <w:pPr>
        <w:tabs>
          <w:tab w:val="left" w:pos="2601"/>
          <w:tab w:val="left" w:pos="4901"/>
          <w:tab w:val="left" w:pos="7340"/>
          <w:tab w:val="left" w:pos="7787"/>
        </w:tabs>
        <w:spacing w:before="188" w:line="367" w:lineRule="auto"/>
        <w:ind w:left="578" w:right="1299"/>
        <w:rPr>
          <w:rFonts w:hint="eastAsia" w:ascii="宋体" w:hAnsi="宋体" w:eastAsia="宋体" w:cs="宋体"/>
          <w:color w:val="auto"/>
          <w:sz w:val="28"/>
          <w:highlight w:val="none"/>
        </w:rPr>
      </w:pPr>
      <w:r>
        <w:rPr>
          <w:rFonts w:hint="eastAsia" w:ascii="宋体" w:hAnsi="宋体" w:eastAsia="宋体" w:cs="宋体"/>
          <w:color w:val="auto"/>
          <w:sz w:val="24"/>
          <w:highlight w:val="none"/>
        </w:rPr>
        <w:t>邮编</w:t>
      </w:r>
      <w:r>
        <w:rPr>
          <w:rFonts w:hint="eastAsia" w:ascii="宋体" w:hAnsi="宋体" w:eastAsia="宋体" w:cs="宋体"/>
          <w:color w:val="auto"/>
          <w:sz w:val="28"/>
          <w:highlight w:val="none"/>
          <w:u w:val="single"/>
        </w:rPr>
        <w:t>：</w:t>
      </w:r>
      <w:r>
        <w:rPr>
          <w:rFonts w:hint="eastAsia" w:ascii="宋体" w:hAnsi="宋体" w:eastAsia="宋体" w:cs="宋体"/>
          <w:color w:val="auto"/>
          <w:sz w:val="28"/>
          <w:highlight w:val="none"/>
          <w:u w:val="single"/>
        </w:rPr>
        <w:tab/>
      </w:r>
      <w:r>
        <w:rPr>
          <w:rFonts w:hint="eastAsia" w:ascii="宋体" w:hAnsi="宋体" w:eastAsia="宋体" w:cs="宋体"/>
          <w:color w:val="auto"/>
          <w:spacing w:val="-3"/>
          <w:sz w:val="24"/>
          <w:highlight w:val="none"/>
        </w:rPr>
        <w:t>电</w:t>
      </w:r>
      <w:r>
        <w:rPr>
          <w:rFonts w:hint="eastAsia" w:ascii="宋体" w:hAnsi="宋体" w:eastAsia="宋体" w:cs="宋体"/>
          <w:color w:val="auto"/>
          <w:sz w:val="24"/>
          <w:highlight w:val="none"/>
        </w:rPr>
        <w:t>话</w:t>
      </w:r>
      <w:r>
        <w:rPr>
          <w:rFonts w:hint="eastAsia" w:ascii="宋体" w:hAnsi="宋体" w:eastAsia="宋体" w:cs="宋体"/>
          <w:color w:val="auto"/>
          <w:sz w:val="28"/>
          <w:highlight w:val="none"/>
          <w:u w:val="single"/>
        </w:rPr>
        <w:t>：</w:t>
      </w:r>
      <w:r>
        <w:rPr>
          <w:rFonts w:hint="eastAsia" w:ascii="宋体" w:hAnsi="宋体" w:eastAsia="宋体" w:cs="宋体"/>
          <w:color w:val="auto"/>
          <w:sz w:val="28"/>
          <w:highlight w:val="none"/>
          <w:u w:val="single"/>
        </w:rPr>
        <w:tab/>
      </w:r>
      <w:r>
        <w:rPr>
          <w:rFonts w:hint="eastAsia" w:ascii="宋体" w:hAnsi="宋体" w:eastAsia="宋体" w:cs="宋体"/>
          <w:color w:val="auto"/>
          <w:spacing w:val="-3"/>
          <w:sz w:val="24"/>
          <w:highlight w:val="none"/>
        </w:rPr>
        <w:t>传</w:t>
      </w:r>
      <w:r>
        <w:rPr>
          <w:rFonts w:hint="eastAsia" w:ascii="宋体" w:hAnsi="宋体" w:eastAsia="宋体" w:cs="宋体"/>
          <w:color w:val="auto"/>
          <w:sz w:val="24"/>
          <w:highlight w:val="none"/>
        </w:rPr>
        <w:t>真</w:t>
      </w:r>
      <w:r>
        <w:rPr>
          <w:rFonts w:hint="eastAsia" w:ascii="宋体" w:hAnsi="宋体" w:eastAsia="宋体" w:cs="宋体"/>
          <w:color w:val="auto"/>
          <w:sz w:val="28"/>
          <w:highlight w:val="none"/>
          <w:u w:val="single"/>
        </w:rPr>
        <w:t>：</w:t>
      </w:r>
      <w:r>
        <w:rPr>
          <w:rFonts w:hint="eastAsia" w:ascii="宋体" w:hAnsi="宋体" w:eastAsia="宋体" w:cs="宋体"/>
          <w:color w:val="auto"/>
          <w:sz w:val="28"/>
          <w:highlight w:val="none"/>
          <w:u w:val="single"/>
        </w:rPr>
        <w:tab/>
      </w:r>
    </w:p>
    <w:p w14:paraId="04AA2260">
      <w:pPr>
        <w:pStyle w:val="9"/>
        <w:rPr>
          <w:rFonts w:hint="eastAsia" w:ascii="宋体" w:hAnsi="宋体" w:eastAsia="宋体" w:cs="宋体"/>
          <w:color w:val="auto"/>
          <w:sz w:val="20"/>
          <w:highlight w:val="none"/>
        </w:rPr>
      </w:pPr>
    </w:p>
    <w:p w14:paraId="59DB3ADC">
      <w:pPr>
        <w:pStyle w:val="9"/>
        <w:rPr>
          <w:rFonts w:hint="eastAsia" w:ascii="宋体" w:hAnsi="宋体" w:eastAsia="宋体" w:cs="宋体"/>
          <w:color w:val="auto"/>
          <w:sz w:val="20"/>
          <w:highlight w:val="none"/>
        </w:rPr>
      </w:pPr>
    </w:p>
    <w:p w14:paraId="744EC5FC">
      <w:pPr>
        <w:pStyle w:val="9"/>
        <w:rPr>
          <w:rFonts w:hint="eastAsia" w:ascii="宋体" w:hAnsi="宋体" w:eastAsia="宋体" w:cs="宋体"/>
          <w:color w:val="auto"/>
          <w:sz w:val="20"/>
          <w:highlight w:val="none"/>
        </w:rPr>
      </w:pPr>
    </w:p>
    <w:p w14:paraId="1CD82533">
      <w:pPr>
        <w:pStyle w:val="9"/>
        <w:rPr>
          <w:rFonts w:hint="eastAsia" w:ascii="宋体" w:hAnsi="宋体" w:eastAsia="宋体" w:cs="宋体"/>
          <w:color w:val="auto"/>
          <w:sz w:val="20"/>
          <w:highlight w:val="none"/>
        </w:rPr>
      </w:pPr>
    </w:p>
    <w:p w14:paraId="0BC0FA79">
      <w:pPr>
        <w:pStyle w:val="9"/>
        <w:rPr>
          <w:rFonts w:hint="eastAsia" w:ascii="宋体" w:hAnsi="宋体" w:eastAsia="宋体" w:cs="宋体"/>
          <w:color w:val="auto"/>
          <w:sz w:val="20"/>
          <w:highlight w:val="none"/>
        </w:rPr>
      </w:pPr>
    </w:p>
    <w:p w14:paraId="1FB2B760">
      <w:pPr>
        <w:pStyle w:val="9"/>
        <w:spacing w:before="5"/>
        <w:rPr>
          <w:rFonts w:hint="eastAsia" w:ascii="宋体" w:hAnsi="宋体" w:eastAsia="宋体" w:cs="宋体"/>
          <w:color w:val="auto"/>
          <w:sz w:val="23"/>
          <w:highlight w:val="none"/>
        </w:rPr>
      </w:pPr>
    </w:p>
    <w:p w14:paraId="0EE00A61">
      <w:pPr>
        <w:pStyle w:val="9"/>
        <w:tabs>
          <w:tab w:val="left" w:pos="5822"/>
          <w:tab w:val="left" w:pos="6622"/>
          <w:tab w:val="left" w:pos="7421"/>
        </w:tabs>
        <w:spacing w:before="67"/>
        <w:ind w:left="5261"/>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年</w:t>
      </w:r>
      <w:r>
        <w:rPr>
          <w:rFonts w:hint="eastAsia" w:ascii="宋体" w:hAnsi="宋体" w:eastAsia="宋体" w:cs="宋体"/>
          <w:color w:val="auto"/>
          <w:spacing w:val="-3"/>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61C0CF30">
      <w:pPr>
        <w:rPr>
          <w:rFonts w:hint="eastAsia" w:ascii="宋体" w:hAnsi="宋体" w:eastAsia="宋体" w:cs="宋体"/>
          <w:color w:val="auto"/>
          <w:highlight w:val="none"/>
        </w:rPr>
        <w:sectPr>
          <w:pgSz w:w="11850" w:h="16790"/>
          <w:pgMar w:top="1400" w:right="1180" w:bottom="920" w:left="1580" w:header="0" w:footer="721" w:gutter="0"/>
          <w:cols w:space="720" w:num="1"/>
        </w:sectPr>
      </w:pPr>
    </w:p>
    <w:p w14:paraId="6ED38775">
      <w:pPr>
        <w:pStyle w:val="9"/>
        <w:spacing w:before="1"/>
        <w:rPr>
          <w:rFonts w:hint="eastAsia" w:ascii="宋体" w:hAnsi="宋体" w:eastAsia="宋体" w:cs="宋体"/>
          <w:color w:val="auto"/>
          <w:sz w:val="25"/>
          <w:highlight w:val="none"/>
        </w:rPr>
      </w:pPr>
    </w:p>
    <w:p w14:paraId="7368E5C3">
      <w:pPr>
        <w:rPr>
          <w:rFonts w:hint="eastAsia" w:ascii="宋体" w:hAnsi="宋体" w:eastAsia="宋体" w:cs="宋体"/>
          <w:color w:val="auto"/>
          <w:sz w:val="25"/>
          <w:highlight w:val="none"/>
        </w:rPr>
        <w:sectPr>
          <w:pgSz w:w="11850" w:h="16790"/>
          <w:pgMar w:top="1600" w:right="1180" w:bottom="920" w:left="1580" w:header="0" w:footer="721" w:gutter="0"/>
          <w:cols w:space="720" w:num="1"/>
        </w:sectPr>
      </w:pPr>
    </w:p>
    <w:p w14:paraId="3F6D22E9">
      <w:pPr>
        <w:spacing w:before="61"/>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附件二：</w:t>
      </w:r>
    </w:p>
    <w:p w14:paraId="14098D8E">
      <w:pPr>
        <w:pStyle w:val="9"/>
        <w:spacing w:before="4"/>
        <w:rPr>
          <w:rFonts w:hint="eastAsia" w:ascii="宋体" w:hAnsi="宋体" w:eastAsia="宋体" w:cs="宋体"/>
          <w:b/>
          <w:color w:val="auto"/>
          <w:sz w:val="47"/>
          <w:highlight w:val="none"/>
        </w:rPr>
      </w:pPr>
      <w:r>
        <w:rPr>
          <w:rFonts w:hint="eastAsia" w:ascii="宋体" w:hAnsi="宋体" w:eastAsia="宋体" w:cs="宋体"/>
          <w:color w:val="auto"/>
          <w:highlight w:val="none"/>
        </w:rPr>
        <w:br w:type="column"/>
      </w:r>
    </w:p>
    <w:p w14:paraId="4211D420">
      <w:pPr>
        <w:spacing w:before="1"/>
        <w:ind w:left="21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谈判价格一览表</w:t>
      </w:r>
    </w:p>
    <w:p w14:paraId="22143773">
      <w:pPr>
        <w:rPr>
          <w:rFonts w:hint="eastAsia" w:ascii="宋体" w:hAnsi="宋体" w:eastAsia="宋体" w:cs="宋体"/>
          <w:color w:val="auto"/>
          <w:sz w:val="32"/>
          <w:highlight w:val="none"/>
        </w:rPr>
        <w:sectPr>
          <w:type w:val="continuous"/>
          <w:pgSz w:w="11850" w:h="16790"/>
          <w:pgMar w:top="1600" w:right="1180" w:bottom="920" w:left="1580" w:header="720" w:footer="720" w:gutter="0"/>
          <w:cols w:equalWidth="0" w:num="2">
            <w:col w:w="1384" w:space="1619"/>
            <w:col w:w="6087"/>
          </w:cols>
        </w:sectPr>
      </w:pPr>
    </w:p>
    <w:p w14:paraId="582E1B15">
      <w:pPr>
        <w:pStyle w:val="9"/>
        <w:rPr>
          <w:rFonts w:hint="eastAsia" w:ascii="宋体" w:hAnsi="宋体" w:eastAsia="宋体" w:cs="宋体"/>
          <w:b/>
          <w:color w:val="auto"/>
          <w:sz w:val="20"/>
          <w:highlight w:val="none"/>
        </w:rPr>
      </w:pPr>
    </w:p>
    <w:p w14:paraId="4168A742">
      <w:pPr>
        <w:pStyle w:val="9"/>
        <w:spacing w:before="6"/>
        <w:rPr>
          <w:rFonts w:hint="eastAsia" w:ascii="宋体" w:hAnsi="宋体" w:eastAsia="宋体" w:cs="宋体"/>
          <w:b/>
          <w:color w:val="auto"/>
          <w:highlight w:val="none"/>
        </w:rPr>
      </w:pPr>
    </w:p>
    <w:tbl>
      <w:tblPr>
        <w:tblStyle w:val="19"/>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4DD5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4AF47DD5">
            <w:pPr>
              <w:pStyle w:val="36"/>
              <w:spacing w:before="19"/>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860" w:type="dxa"/>
          </w:tcPr>
          <w:p w14:paraId="1A2A03B9">
            <w:pPr>
              <w:pStyle w:val="36"/>
              <w:rPr>
                <w:rFonts w:hint="eastAsia" w:ascii="宋体" w:hAnsi="宋体" w:eastAsia="宋体" w:cs="宋体"/>
                <w:color w:val="auto"/>
                <w:sz w:val="24"/>
                <w:highlight w:val="none"/>
              </w:rPr>
            </w:pPr>
          </w:p>
        </w:tc>
        <w:tc>
          <w:tcPr>
            <w:tcW w:w="1409" w:type="dxa"/>
          </w:tcPr>
          <w:p w14:paraId="7B92E851">
            <w:pPr>
              <w:pStyle w:val="36"/>
              <w:spacing w:before="19"/>
              <w:ind w:left="462"/>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r>
      <w:tr w14:paraId="3E4A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338459A3">
            <w:pPr>
              <w:pStyle w:val="36"/>
              <w:tabs>
                <w:tab w:val="left" w:pos="726"/>
              </w:tabs>
              <w:spacing w:before="19"/>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价</w:t>
            </w:r>
          </w:p>
        </w:tc>
        <w:tc>
          <w:tcPr>
            <w:tcW w:w="5860" w:type="dxa"/>
          </w:tcPr>
          <w:p w14:paraId="170E1C43">
            <w:pPr>
              <w:pStyle w:val="36"/>
              <w:tabs>
                <w:tab w:val="left" w:pos="5816"/>
              </w:tabs>
              <w:spacing w:line="357" w:lineRule="exact"/>
              <w:ind w:left="389"/>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u w:val="single"/>
              </w:rPr>
              <w:tab/>
            </w:r>
          </w:p>
          <w:p w14:paraId="79A3119A">
            <w:pPr>
              <w:pStyle w:val="36"/>
              <w:tabs>
                <w:tab w:val="left" w:pos="2071"/>
                <w:tab w:val="left" w:pos="2589"/>
                <w:tab w:val="left" w:pos="3111"/>
                <w:tab w:val="left" w:pos="3631"/>
                <w:tab w:val="left" w:pos="4150"/>
                <w:tab w:val="left" w:pos="4668"/>
                <w:tab w:val="left" w:pos="5192"/>
              </w:tabs>
              <w:spacing w:before="187"/>
              <w:ind w:left="107"/>
              <w:rPr>
                <w:rFonts w:hint="eastAsia" w:ascii="宋体" w:hAnsi="宋体" w:eastAsia="宋体" w:cs="宋体"/>
                <w:color w:val="auto"/>
                <w:sz w:val="24"/>
                <w:highlight w:val="none"/>
              </w:rPr>
            </w:pPr>
            <w:r>
              <w:rPr>
                <w:rFonts w:hint="eastAsia" w:ascii="宋体" w:hAnsi="宋体" w:eastAsia="宋体" w:cs="宋体"/>
                <w:color w:val="auto"/>
                <w:sz w:val="24"/>
                <w:highlight w:val="none"/>
              </w:rPr>
              <w:t>（大写）人民币</w:t>
            </w:r>
            <w:r>
              <w:rPr>
                <w:rFonts w:hint="eastAsia" w:ascii="宋体" w:hAnsi="宋体" w:eastAsia="宋体" w:cs="宋体"/>
                <w:color w:val="auto"/>
                <w:sz w:val="24"/>
                <w:highlight w:val="none"/>
                <w:u w:val="single"/>
              </w:rPr>
              <w:tab/>
            </w:r>
            <w:r>
              <w:rPr>
                <w:rFonts w:hint="eastAsia" w:ascii="宋体" w:hAnsi="宋体" w:eastAsia="宋体" w:cs="宋体"/>
                <w:color w:val="auto"/>
                <w:spacing w:val="-3"/>
                <w:sz w:val="24"/>
                <w:highlight w:val="none"/>
              </w:rPr>
              <w:t>佰</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拾</w:t>
            </w:r>
            <w:r>
              <w:rPr>
                <w:rFonts w:hint="eastAsia" w:ascii="宋体" w:hAnsi="宋体" w:eastAsia="宋体" w:cs="宋体"/>
                <w:color w:val="auto"/>
                <w:sz w:val="24"/>
                <w:highlight w:val="none"/>
                <w:u w:val="single"/>
              </w:rPr>
              <w:tab/>
            </w:r>
            <w:r>
              <w:rPr>
                <w:rFonts w:hint="eastAsia" w:ascii="宋体" w:hAnsi="宋体" w:eastAsia="宋体" w:cs="宋体"/>
                <w:color w:val="auto"/>
                <w:spacing w:val="-3"/>
                <w:sz w:val="24"/>
                <w:highlight w:val="none"/>
              </w:rPr>
              <w:t>万</w:t>
            </w:r>
            <w:r>
              <w:rPr>
                <w:rFonts w:hint="eastAsia" w:ascii="宋体" w:hAnsi="宋体" w:eastAsia="宋体" w:cs="宋体"/>
                <w:color w:val="auto"/>
                <w:spacing w:val="-3"/>
                <w:sz w:val="24"/>
                <w:highlight w:val="none"/>
                <w:u w:val="single"/>
              </w:rPr>
              <w:tab/>
            </w:r>
            <w:r>
              <w:rPr>
                <w:rFonts w:hint="eastAsia" w:ascii="宋体" w:hAnsi="宋体" w:eastAsia="宋体" w:cs="宋体"/>
                <w:color w:val="auto"/>
                <w:spacing w:val="-3"/>
                <w:sz w:val="24"/>
                <w:highlight w:val="none"/>
              </w:rPr>
              <w:t>仟</w:t>
            </w:r>
            <w:r>
              <w:rPr>
                <w:rFonts w:hint="eastAsia" w:ascii="宋体" w:hAnsi="宋体" w:eastAsia="宋体" w:cs="宋体"/>
                <w:color w:val="auto"/>
                <w:spacing w:val="-3"/>
                <w:sz w:val="24"/>
                <w:highlight w:val="none"/>
                <w:u w:val="single"/>
              </w:rPr>
              <w:tab/>
            </w:r>
            <w:r>
              <w:rPr>
                <w:rFonts w:hint="eastAsia" w:ascii="宋体" w:hAnsi="宋体" w:eastAsia="宋体" w:cs="宋体"/>
                <w:color w:val="auto"/>
                <w:sz w:val="24"/>
                <w:highlight w:val="none"/>
              </w:rPr>
              <w:t>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拾</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元整</w:t>
            </w:r>
          </w:p>
        </w:tc>
        <w:tc>
          <w:tcPr>
            <w:tcW w:w="1409" w:type="dxa"/>
          </w:tcPr>
          <w:p w14:paraId="03BCA8B4">
            <w:pPr>
              <w:pStyle w:val="36"/>
              <w:rPr>
                <w:rFonts w:hint="eastAsia" w:ascii="宋体" w:hAnsi="宋体" w:eastAsia="宋体" w:cs="宋体"/>
                <w:color w:val="auto"/>
                <w:sz w:val="24"/>
                <w:highlight w:val="none"/>
              </w:rPr>
            </w:pPr>
          </w:p>
        </w:tc>
      </w:tr>
      <w:tr w14:paraId="4027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5A7C3BDD">
            <w:pPr>
              <w:pStyle w:val="36"/>
              <w:spacing w:before="17"/>
              <w:ind w:left="9"/>
              <w:jc w:val="center"/>
              <w:rPr>
                <w:rFonts w:hint="eastAsia" w:ascii="宋体" w:hAnsi="宋体" w:eastAsia="宋体" w:cs="宋体"/>
                <w:color w:val="auto"/>
                <w:sz w:val="28"/>
                <w:highlight w:val="none"/>
              </w:rPr>
            </w:pPr>
          </w:p>
        </w:tc>
        <w:tc>
          <w:tcPr>
            <w:tcW w:w="5860" w:type="dxa"/>
          </w:tcPr>
          <w:p w14:paraId="07272F2E">
            <w:pPr>
              <w:pStyle w:val="36"/>
              <w:spacing w:before="17"/>
              <w:ind w:left="9"/>
              <w:jc w:val="center"/>
              <w:rPr>
                <w:rFonts w:hint="eastAsia" w:ascii="宋体" w:hAnsi="宋体" w:eastAsia="宋体" w:cs="宋体"/>
                <w:color w:val="auto"/>
                <w:sz w:val="28"/>
                <w:highlight w:val="none"/>
              </w:rPr>
            </w:pPr>
          </w:p>
        </w:tc>
        <w:tc>
          <w:tcPr>
            <w:tcW w:w="1409" w:type="dxa"/>
          </w:tcPr>
          <w:p w14:paraId="04FD34C4">
            <w:pPr>
              <w:pStyle w:val="36"/>
              <w:rPr>
                <w:rFonts w:hint="eastAsia" w:ascii="宋体" w:hAnsi="宋体" w:eastAsia="宋体" w:cs="宋体"/>
                <w:color w:val="auto"/>
                <w:sz w:val="24"/>
                <w:highlight w:val="none"/>
              </w:rPr>
            </w:pPr>
          </w:p>
        </w:tc>
      </w:tr>
      <w:tr w14:paraId="6A54E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73666D50">
            <w:pPr>
              <w:pStyle w:val="36"/>
              <w:rPr>
                <w:rFonts w:hint="eastAsia" w:ascii="宋体" w:hAnsi="宋体" w:eastAsia="宋体" w:cs="宋体"/>
                <w:color w:val="auto"/>
                <w:sz w:val="24"/>
                <w:highlight w:val="none"/>
              </w:rPr>
            </w:pPr>
          </w:p>
        </w:tc>
        <w:tc>
          <w:tcPr>
            <w:tcW w:w="5860" w:type="dxa"/>
          </w:tcPr>
          <w:p w14:paraId="17D249AA">
            <w:pPr>
              <w:pStyle w:val="36"/>
              <w:rPr>
                <w:rFonts w:hint="eastAsia" w:ascii="宋体" w:hAnsi="宋体" w:eastAsia="宋体" w:cs="宋体"/>
                <w:color w:val="auto"/>
                <w:sz w:val="24"/>
                <w:highlight w:val="none"/>
              </w:rPr>
            </w:pPr>
          </w:p>
        </w:tc>
        <w:tc>
          <w:tcPr>
            <w:tcW w:w="1409" w:type="dxa"/>
          </w:tcPr>
          <w:p w14:paraId="55AC4382">
            <w:pPr>
              <w:pStyle w:val="36"/>
              <w:rPr>
                <w:rFonts w:hint="eastAsia" w:ascii="宋体" w:hAnsi="宋体" w:eastAsia="宋体" w:cs="宋体"/>
                <w:color w:val="auto"/>
                <w:sz w:val="24"/>
                <w:highlight w:val="none"/>
              </w:rPr>
            </w:pPr>
          </w:p>
        </w:tc>
      </w:tr>
      <w:tr w14:paraId="490E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6BEEECE4">
            <w:pPr>
              <w:pStyle w:val="36"/>
              <w:rPr>
                <w:rFonts w:hint="eastAsia" w:ascii="宋体" w:hAnsi="宋体" w:eastAsia="宋体" w:cs="宋体"/>
                <w:color w:val="auto"/>
                <w:sz w:val="24"/>
                <w:highlight w:val="none"/>
              </w:rPr>
            </w:pPr>
          </w:p>
        </w:tc>
        <w:tc>
          <w:tcPr>
            <w:tcW w:w="5860" w:type="dxa"/>
          </w:tcPr>
          <w:p w14:paraId="7DD3B469">
            <w:pPr>
              <w:pStyle w:val="36"/>
              <w:rPr>
                <w:rFonts w:hint="eastAsia" w:ascii="宋体" w:hAnsi="宋体" w:eastAsia="宋体" w:cs="宋体"/>
                <w:color w:val="auto"/>
                <w:sz w:val="24"/>
                <w:highlight w:val="none"/>
              </w:rPr>
            </w:pPr>
          </w:p>
        </w:tc>
        <w:tc>
          <w:tcPr>
            <w:tcW w:w="1409" w:type="dxa"/>
          </w:tcPr>
          <w:p w14:paraId="55E30EE8">
            <w:pPr>
              <w:pStyle w:val="36"/>
              <w:rPr>
                <w:rFonts w:hint="eastAsia" w:ascii="宋体" w:hAnsi="宋体" w:eastAsia="宋体" w:cs="宋体"/>
                <w:color w:val="auto"/>
                <w:sz w:val="24"/>
                <w:highlight w:val="none"/>
              </w:rPr>
            </w:pPr>
          </w:p>
        </w:tc>
      </w:tr>
      <w:tr w14:paraId="2EC6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9D53476">
            <w:pPr>
              <w:pStyle w:val="36"/>
              <w:rPr>
                <w:rFonts w:hint="eastAsia" w:ascii="宋体" w:hAnsi="宋体" w:eastAsia="宋体" w:cs="宋体"/>
                <w:color w:val="auto"/>
                <w:sz w:val="24"/>
                <w:highlight w:val="none"/>
              </w:rPr>
            </w:pPr>
          </w:p>
        </w:tc>
        <w:tc>
          <w:tcPr>
            <w:tcW w:w="5860" w:type="dxa"/>
          </w:tcPr>
          <w:p w14:paraId="7194E7BC">
            <w:pPr>
              <w:pStyle w:val="36"/>
              <w:rPr>
                <w:rFonts w:hint="eastAsia" w:ascii="宋体" w:hAnsi="宋体" w:eastAsia="宋体" w:cs="宋体"/>
                <w:color w:val="auto"/>
                <w:sz w:val="24"/>
                <w:highlight w:val="none"/>
              </w:rPr>
            </w:pPr>
          </w:p>
        </w:tc>
        <w:tc>
          <w:tcPr>
            <w:tcW w:w="1409" w:type="dxa"/>
          </w:tcPr>
          <w:p w14:paraId="07DC748E">
            <w:pPr>
              <w:pStyle w:val="36"/>
              <w:rPr>
                <w:rFonts w:hint="eastAsia" w:ascii="宋体" w:hAnsi="宋体" w:eastAsia="宋体" w:cs="宋体"/>
                <w:color w:val="auto"/>
                <w:sz w:val="24"/>
                <w:highlight w:val="none"/>
              </w:rPr>
            </w:pPr>
          </w:p>
        </w:tc>
      </w:tr>
      <w:tr w14:paraId="650C2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073B0CDE">
            <w:pPr>
              <w:pStyle w:val="36"/>
              <w:rPr>
                <w:rFonts w:hint="eastAsia" w:ascii="宋体" w:hAnsi="宋体" w:eastAsia="宋体" w:cs="宋体"/>
                <w:color w:val="auto"/>
                <w:sz w:val="24"/>
                <w:highlight w:val="none"/>
              </w:rPr>
            </w:pPr>
          </w:p>
        </w:tc>
        <w:tc>
          <w:tcPr>
            <w:tcW w:w="5860" w:type="dxa"/>
          </w:tcPr>
          <w:p w14:paraId="3B1E2B09">
            <w:pPr>
              <w:pStyle w:val="36"/>
              <w:rPr>
                <w:rFonts w:hint="eastAsia" w:ascii="宋体" w:hAnsi="宋体" w:eastAsia="宋体" w:cs="宋体"/>
                <w:color w:val="auto"/>
                <w:sz w:val="24"/>
                <w:highlight w:val="none"/>
              </w:rPr>
            </w:pPr>
          </w:p>
        </w:tc>
        <w:tc>
          <w:tcPr>
            <w:tcW w:w="1409" w:type="dxa"/>
          </w:tcPr>
          <w:p w14:paraId="72D5ECC0">
            <w:pPr>
              <w:pStyle w:val="36"/>
              <w:rPr>
                <w:rFonts w:hint="eastAsia" w:ascii="宋体" w:hAnsi="宋体" w:eastAsia="宋体" w:cs="宋体"/>
                <w:color w:val="auto"/>
                <w:sz w:val="24"/>
                <w:highlight w:val="none"/>
              </w:rPr>
            </w:pPr>
          </w:p>
        </w:tc>
      </w:tr>
      <w:tr w14:paraId="1F893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1CEE5DBD">
            <w:pPr>
              <w:pStyle w:val="36"/>
              <w:rPr>
                <w:rFonts w:hint="eastAsia" w:ascii="宋体" w:hAnsi="宋体" w:eastAsia="宋体" w:cs="宋体"/>
                <w:color w:val="auto"/>
                <w:sz w:val="24"/>
                <w:highlight w:val="none"/>
              </w:rPr>
            </w:pPr>
          </w:p>
        </w:tc>
        <w:tc>
          <w:tcPr>
            <w:tcW w:w="5860" w:type="dxa"/>
          </w:tcPr>
          <w:p w14:paraId="47782BC8">
            <w:pPr>
              <w:pStyle w:val="36"/>
              <w:rPr>
                <w:rFonts w:hint="eastAsia" w:ascii="宋体" w:hAnsi="宋体" w:eastAsia="宋体" w:cs="宋体"/>
                <w:color w:val="auto"/>
                <w:sz w:val="24"/>
                <w:highlight w:val="none"/>
              </w:rPr>
            </w:pPr>
          </w:p>
        </w:tc>
        <w:tc>
          <w:tcPr>
            <w:tcW w:w="1409" w:type="dxa"/>
          </w:tcPr>
          <w:p w14:paraId="04527C7C">
            <w:pPr>
              <w:pStyle w:val="36"/>
              <w:rPr>
                <w:rFonts w:hint="eastAsia" w:ascii="宋体" w:hAnsi="宋体" w:eastAsia="宋体" w:cs="宋体"/>
                <w:color w:val="auto"/>
                <w:sz w:val="24"/>
                <w:highlight w:val="none"/>
              </w:rPr>
            </w:pPr>
          </w:p>
        </w:tc>
      </w:tr>
    </w:tbl>
    <w:p w14:paraId="4F362A67">
      <w:pPr>
        <w:pStyle w:val="9"/>
        <w:rPr>
          <w:rFonts w:hint="eastAsia" w:ascii="宋体" w:hAnsi="宋体" w:eastAsia="宋体" w:cs="宋体"/>
          <w:b/>
          <w:color w:val="auto"/>
          <w:sz w:val="20"/>
          <w:highlight w:val="none"/>
        </w:rPr>
      </w:pPr>
    </w:p>
    <w:p w14:paraId="16FB8849">
      <w:pPr>
        <w:pStyle w:val="9"/>
        <w:spacing w:before="4"/>
        <w:rPr>
          <w:rFonts w:hint="eastAsia" w:ascii="宋体" w:hAnsi="宋体" w:eastAsia="宋体" w:cs="宋体"/>
          <w:b/>
          <w:color w:val="auto"/>
          <w:sz w:val="20"/>
          <w:highlight w:val="none"/>
        </w:rPr>
      </w:pPr>
    </w:p>
    <w:p w14:paraId="61D4DFFA">
      <w:pPr>
        <w:pStyle w:val="9"/>
        <w:tabs>
          <w:tab w:val="left" w:pos="5198"/>
        </w:tabs>
        <w:spacing w:before="66" w:line="417" w:lineRule="auto"/>
        <w:ind w:left="698" w:right="1727" w:hanging="58"/>
        <w:rPr>
          <w:rFonts w:hint="eastAsia" w:ascii="宋体" w:hAnsi="宋体" w:eastAsia="宋体" w:cs="宋体"/>
          <w:color w:val="auto"/>
          <w:highlight w:val="none"/>
        </w:rPr>
      </w:pPr>
      <w:r>
        <w:rPr>
          <w:rFonts w:hint="eastAsia" w:ascii="宋体" w:hAnsi="宋体" w:eastAsia="宋体" w:cs="宋体"/>
          <w:color w:val="auto"/>
          <w:highlight w:val="none"/>
        </w:rPr>
        <w:t>谈判供应商全称</w:t>
      </w:r>
      <w:r>
        <w:rPr>
          <w:rFonts w:hint="eastAsia" w:ascii="宋体" w:hAnsi="宋体" w:eastAsia="宋体" w:cs="宋体"/>
          <w:color w:val="auto"/>
          <w:spacing w:val="-3"/>
          <w:highlight w:val="none"/>
        </w:rPr>
        <w:t>（</w:t>
      </w:r>
      <w:r>
        <w:rPr>
          <w:rFonts w:hint="eastAsia" w:ascii="宋体" w:hAnsi="宋体" w:eastAsia="宋体" w:cs="宋体"/>
          <w:color w:val="auto"/>
          <w:highlight w:val="none"/>
          <w:u w:val="single"/>
          <w:lang w:val="en-US" w:eastAsia="zh-CN"/>
        </w:rPr>
        <w:t>电子</w:t>
      </w:r>
      <w:r>
        <w:rPr>
          <w:rFonts w:hint="eastAsia" w:ascii="宋体" w:hAnsi="宋体" w:eastAsia="宋体" w:cs="宋体"/>
          <w:color w:val="auto"/>
          <w:highlight w:val="none"/>
          <w:u w:val="single"/>
        </w:rPr>
        <w:t>公章</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全权代表（签</w:t>
      </w:r>
      <w:r>
        <w:rPr>
          <w:rFonts w:hint="eastAsia" w:cs="宋体"/>
          <w:color w:val="auto"/>
          <w:highlight w:val="none"/>
          <w:lang w:val="en-US" w:eastAsia="zh-CN"/>
        </w:rPr>
        <w:t>章</w:t>
      </w:r>
      <w:r>
        <w:rPr>
          <w:rFonts w:hint="eastAsia" w:ascii="宋体" w:hAnsi="宋体" w:eastAsia="宋体" w:cs="宋体"/>
          <w:color w:val="auto"/>
          <w:spacing w:val="-9"/>
          <w:highlight w:val="none"/>
        </w:rPr>
        <w:t>）：</w:t>
      </w:r>
      <w:r>
        <w:rPr>
          <w:rFonts w:hint="eastAsia" w:ascii="宋体" w:hAnsi="宋体" w:eastAsia="宋体" w:cs="宋体"/>
          <w:color w:val="auto"/>
          <w:highlight w:val="none"/>
        </w:rPr>
        <w:t>1、报价总计包括本项目交付使用前的全部费用；</w:t>
      </w:r>
    </w:p>
    <w:p w14:paraId="6BC2623A">
      <w:pPr>
        <w:pStyle w:val="9"/>
        <w:spacing w:line="305" w:lineRule="exact"/>
        <w:ind w:left="77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谈判价格一览表格式不得自行改动</w:t>
      </w:r>
      <w:r>
        <w:rPr>
          <w:rFonts w:hint="eastAsia" w:ascii="宋体" w:hAnsi="宋体" w:eastAsia="宋体" w:cs="宋体"/>
          <w:color w:val="auto"/>
          <w:highlight w:val="none"/>
        </w:rPr>
        <w:t>；</w:t>
      </w:r>
    </w:p>
    <w:p w14:paraId="6F222AC5">
      <w:pPr>
        <w:spacing w:line="305" w:lineRule="exact"/>
        <w:rPr>
          <w:rFonts w:hint="eastAsia" w:ascii="宋体" w:hAnsi="宋体" w:eastAsia="宋体" w:cs="宋体"/>
          <w:color w:val="auto"/>
          <w:highlight w:val="none"/>
        </w:rPr>
        <w:sectPr>
          <w:type w:val="continuous"/>
          <w:pgSz w:w="11850" w:h="16790"/>
          <w:pgMar w:top="1600" w:right="1180" w:bottom="920" w:left="1580" w:header="720" w:footer="720" w:gutter="0"/>
          <w:cols w:space="720" w:num="1"/>
        </w:sectPr>
      </w:pPr>
    </w:p>
    <w:p w14:paraId="704FB8CE">
      <w:pPr>
        <w:spacing w:before="38"/>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附件三：</w:t>
      </w:r>
    </w:p>
    <w:p w14:paraId="773DD8CC">
      <w:pPr>
        <w:pStyle w:val="9"/>
        <w:rPr>
          <w:rFonts w:hint="eastAsia" w:ascii="宋体" w:hAnsi="宋体" w:eastAsia="宋体" w:cs="宋体"/>
          <w:b/>
          <w:color w:val="auto"/>
          <w:sz w:val="20"/>
          <w:highlight w:val="none"/>
        </w:rPr>
      </w:pPr>
    </w:p>
    <w:p w14:paraId="7B15CBCC">
      <w:pPr>
        <w:pStyle w:val="9"/>
        <w:rPr>
          <w:rFonts w:hint="eastAsia" w:ascii="宋体" w:hAnsi="宋体" w:eastAsia="宋体" w:cs="宋体"/>
          <w:b/>
          <w:color w:val="auto"/>
          <w:sz w:val="20"/>
          <w:highlight w:val="none"/>
        </w:rPr>
      </w:pPr>
    </w:p>
    <w:p w14:paraId="6274DDE1">
      <w:pPr>
        <w:pStyle w:val="9"/>
        <w:spacing w:before="8"/>
        <w:rPr>
          <w:rFonts w:hint="eastAsia" w:ascii="宋体" w:hAnsi="宋体" w:eastAsia="宋体" w:cs="宋体"/>
          <w:b/>
          <w:color w:val="auto"/>
          <w:sz w:val="15"/>
          <w:highlight w:val="none"/>
        </w:rPr>
      </w:pPr>
    </w:p>
    <w:p w14:paraId="74D67A8C">
      <w:pPr>
        <w:pStyle w:val="9"/>
        <w:rPr>
          <w:rFonts w:hint="eastAsia" w:ascii="宋体" w:hAnsi="宋体" w:eastAsia="宋体" w:cs="宋体"/>
          <w:b/>
          <w:color w:val="auto"/>
          <w:sz w:val="20"/>
          <w:highlight w:val="none"/>
        </w:rPr>
      </w:pPr>
    </w:p>
    <w:p w14:paraId="1B02060A">
      <w:pPr>
        <w:pStyle w:val="9"/>
        <w:rPr>
          <w:rFonts w:hint="eastAsia" w:ascii="宋体" w:hAnsi="宋体" w:eastAsia="宋体" w:cs="宋体"/>
          <w:b/>
          <w:color w:val="auto"/>
          <w:sz w:val="20"/>
          <w:highlight w:val="none"/>
        </w:rPr>
      </w:pPr>
    </w:p>
    <w:p w14:paraId="6F1A6A79">
      <w:pPr>
        <w:pStyle w:val="9"/>
        <w:rPr>
          <w:rFonts w:hint="eastAsia" w:ascii="宋体" w:hAnsi="宋体" w:eastAsia="宋体" w:cs="宋体"/>
          <w:b/>
          <w:color w:val="auto"/>
          <w:sz w:val="20"/>
          <w:highlight w:val="none"/>
        </w:rPr>
      </w:pPr>
    </w:p>
    <w:p w14:paraId="622A744C">
      <w:pPr>
        <w:pStyle w:val="9"/>
        <w:rPr>
          <w:rFonts w:hint="eastAsia" w:ascii="宋体" w:hAnsi="宋体" w:eastAsia="宋体" w:cs="宋体"/>
          <w:b/>
          <w:color w:val="auto"/>
          <w:sz w:val="20"/>
          <w:highlight w:val="none"/>
        </w:rPr>
      </w:pPr>
    </w:p>
    <w:p w14:paraId="1C580C4C">
      <w:pPr>
        <w:pStyle w:val="9"/>
        <w:rPr>
          <w:rFonts w:hint="eastAsia" w:ascii="宋体" w:hAnsi="宋体" w:eastAsia="宋体" w:cs="宋体"/>
          <w:b/>
          <w:color w:val="auto"/>
          <w:sz w:val="20"/>
          <w:highlight w:val="none"/>
        </w:rPr>
      </w:pPr>
    </w:p>
    <w:p w14:paraId="08DBCC84">
      <w:pPr>
        <w:pStyle w:val="9"/>
        <w:rPr>
          <w:rFonts w:hint="eastAsia" w:ascii="宋体" w:hAnsi="宋体" w:eastAsia="宋体" w:cs="宋体"/>
          <w:b/>
          <w:color w:val="auto"/>
          <w:sz w:val="20"/>
          <w:highlight w:val="none"/>
        </w:rPr>
      </w:pPr>
    </w:p>
    <w:p w14:paraId="78BD7074">
      <w:pPr>
        <w:pStyle w:val="9"/>
        <w:rPr>
          <w:rFonts w:hint="eastAsia" w:ascii="宋体" w:hAnsi="宋体" w:eastAsia="宋体" w:cs="宋体"/>
          <w:b/>
          <w:color w:val="auto"/>
          <w:sz w:val="20"/>
          <w:highlight w:val="none"/>
        </w:rPr>
      </w:pPr>
    </w:p>
    <w:p w14:paraId="70FA6267">
      <w:pPr>
        <w:pStyle w:val="9"/>
        <w:rPr>
          <w:rFonts w:hint="eastAsia" w:ascii="宋体" w:hAnsi="宋体" w:eastAsia="宋体" w:cs="宋体"/>
          <w:b/>
          <w:color w:val="auto"/>
          <w:sz w:val="20"/>
          <w:highlight w:val="none"/>
        </w:rPr>
      </w:pPr>
    </w:p>
    <w:p w14:paraId="78E9CED9">
      <w:pPr>
        <w:pStyle w:val="9"/>
        <w:rPr>
          <w:rFonts w:hint="eastAsia" w:ascii="宋体" w:hAnsi="宋体" w:eastAsia="宋体" w:cs="宋体"/>
          <w:b/>
          <w:color w:val="auto"/>
          <w:sz w:val="20"/>
          <w:highlight w:val="none"/>
        </w:rPr>
      </w:pPr>
    </w:p>
    <w:p w14:paraId="1C3BE292">
      <w:pPr>
        <w:pStyle w:val="9"/>
        <w:rPr>
          <w:rFonts w:hint="eastAsia" w:ascii="宋体" w:hAnsi="宋体" w:eastAsia="宋体" w:cs="宋体"/>
          <w:b/>
          <w:color w:val="auto"/>
          <w:sz w:val="20"/>
          <w:highlight w:val="none"/>
        </w:rPr>
      </w:pPr>
    </w:p>
    <w:p w14:paraId="45CC0137">
      <w:pPr>
        <w:pStyle w:val="9"/>
        <w:rPr>
          <w:rFonts w:hint="eastAsia" w:ascii="宋体" w:hAnsi="宋体" w:eastAsia="宋体" w:cs="宋体"/>
          <w:b/>
          <w:color w:val="auto"/>
          <w:sz w:val="20"/>
          <w:highlight w:val="none"/>
        </w:rPr>
      </w:pPr>
    </w:p>
    <w:p w14:paraId="1F09E032">
      <w:pPr>
        <w:spacing w:before="172"/>
        <w:ind w:left="592" w:right="985"/>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优惠条件及服务承诺</w:t>
      </w:r>
    </w:p>
    <w:p w14:paraId="2DAEEC51">
      <w:pPr>
        <w:jc w:val="center"/>
        <w:rPr>
          <w:rFonts w:hint="eastAsia" w:ascii="宋体" w:hAnsi="宋体" w:eastAsia="宋体" w:cs="宋体"/>
          <w:color w:val="auto"/>
          <w:sz w:val="44"/>
          <w:highlight w:val="none"/>
        </w:rPr>
        <w:sectPr>
          <w:pgSz w:w="11850" w:h="16790"/>
          <w:pgMar w:top="1400" w:right="1180" w:bottom="920" w:left="1580" w:header="0" w:footer="721" w:gutter="0"/>
          <w:cols w:space="720" w:num="1"/>
        </w:sectPr>
      </w:pPr>
    </w:p>
    <w:p w14:paraId="1ED020DE">
      <w:pPr>
        <w:spacing w:before="61"/>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附件四：</w:t>
      </w:r>
    </w:p>
    <w:p w14:paraId="12A62875">
      <w:pPr>
        <w:pStyle w:val="9"/>
        <w:rPr>
          <w:rFonts w:hint="eastAsia" w:ascii="宋体" w:hAnsi="宋体" w:eastAsia="宋体" w:cs="宋体"/>
          <w:b/>
          <w:color w:val="auto"/>
          <w:sz w:val="20"/>
          <w:highlight w:val="none"/>
        </w:rPr>
      </w:pPr>
    </w:p>
    <w:p w14:paraId="1799A826">
      <w:pPr>
        <w:pStyle w:val="9"/>
        <w:rPr>
          <w:rFonts w:hint="eastAsia" w:ascii="宋体" w:hAnsi="宋体" w:eastAsia="宋体" w:cs="宋体"/>
          <w:b/>
          <w:color w:val="auto"/>
          <w:sz w:val="20"/>
          <w:highlight w:val="none"/>
        </w:rPr>
      </w:pPr>
    </w:p>
    <w:p w14:paraId="0339B685">
      <w:pPr>
        <w:pStyle w:val="9"/>
        <w:rPr>
          <w:rFonts w:hint="eastAsia" w:ascii="宋体" w:hAnsi="宋体" w:eastAsia="宋体" w:cs="宋体"/>
          <w:b/>
          <w:color w:val="auto"/>
          <w:sz w:val="20"/>
          <w:highlight w:val="none"/>
        </w:rPr>
      </w:pPr>
    </w:p>
    <w:p w14:paraId="2557F32D">
      <w:pPr>
        <w:pStyle w:val="9"/>
        <w:rPr>
          <w:rFonts w:hint="eastAsia" w:ascii="宋体" w:hAnsi="宋体" w:eastAsia="宋体" w:cs="宋体"/>
          <w:b/>
          <w:color w:val="auto"/>
          <w:sz w:val="20"/>
          <w:highlight w:val="none"/>
        </w:rPr>
      </w:pPr>
    </w:p>
    <w:p w14:paraId="35C7AB59">
      <w:pPr>
        <w:pStyle w:val="9"/>
        <w:rPr>
          <w:rFonts w:hint="eastAsia" w:ascii="宋体" w:hAnsi="宋体" w:eastAsia="宋体" w:cs="宋体"/>
          <w:b/>
          <w:color w:val="auto"/>
          <w:sz w:val="20"/>
          <w:highlight w:val="none"/>
        </w:rPr>
      </w:pPr>
    </w:p>
    <w:p w14:paraId="6CC93C38">
      <w:pPr>
        <w:pStyle w:val="9"/>
        <w:rPr>
          <w:rFonts w:hint="eastAsia" w:ascii="宋体" w:hAnsi="宋体" w:eastAsia="宋体" w:cs="宋体"/>
          <w:b/>
          <w:color w:val="auto"/>
          <w:sz w:val="20"/>
          <w:highlight w:val="none"/>
        </w:rPr>
      </w:pPr>
    </w:p>
    <w:p w14:paraId="11789B58">
      <w:pPr>
        <w:pStyle w:val="9"/>
        <w:rPr>
          <w:rFonts w:hint="eastAsia" w:ascii="宋体" w:hAnsi="宋体" w:eastAsia="宋体" w:cs="宋体"/>
          <w:b/>
          <w:color w:val="auto"/>
          <w:sz w:val="20"/>
          <w:highlight w:val="none"/>
        </w:rPr>
      </w:pPr>
    </w:p>
    <w:p w14:paraId="48C18682">
      <w:pPr>
        <w:pStyle w:val="9"/>
        <w:rPr>
          <w:rFonts w:hint="eastAsia" w:ascii="宋体" w:hAnsi="宋体" w:eastAsia="宋体" w:cs="宋体"/>
          <w:b/>
          <w:color w:val="auto"/>
          <w:sz w:val="20"/>
          <w:highlight w:val="none"/>
        </w:rPr>
      </w:pPr>
    </w:p>
    <w:p w14:paraId="58619DA7">
      <w:pPr>
        <w:pStyle w:val="9"/>
        <w:rPr>
          <w:rFonts w:hint="eastAsia" w:ascii="宋体" w:hAnsi="宋体" w:eastAsia="宋体" w:cs="宋体"/>
          <w:b/>
          <w:color w:val="auto"/>
          <w:sz w:val="20"/>
          <w:highlight w:val="none"/>
        </w:rPr>
      </w:pPr>
    </w:p>
    <w:p w14:paraId="0BECB511">
      <w:pPr>
        <w:spacing w:before="185"/>
        <w:ind w:left="592" w:right="985"/>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施工图预算书</w:t>
      </w:r>
    </w:p>
    <w:p w14:paraId="14E6FE89">
      <w:pPr>
        <w:pStyle w:val="9"/>
        <w:spacing w:before="4"/>
        <w:rPr>
          <w:rFonts w:hint="eastAsia" w:ascii="宋体" w:hAnsi="宋体" w:eastAsia="宋体" w:cs="宋体"/>
          <w:b/>
          <w:color w:val="auto"/>
          <w:sz w:val="47"/>
          <w:highlight w:val="none"/>
        </w:rPr>
      </w:pPr>
    </w:p>
    <w:p w14:paraId="2D18FAFF">
      <w:pPr>
        <w:ind w:left="592" w:right="987"/>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（其格式按定额管理部门的规定）</w:t>
      </w:r>
    </w:p>
    <w:p w14:paraId="6E941375">
      <w:pPr>
        <w:jc w:val="center"/>
        <w:rPr>
          <w:rFonts w:hint="eastAsia" w:ascii="宋体" w:hAnsi="宋体" w:eastAsia="宋体" w:cs="宋体"/>
          <w:color w:val="auto"/>
          <w:sz w:val="30"/>
          <w:highlight w:val="none"/>
        </w:rPr>
        <w:sectPr>
          <w:pgSz w:w="11850" w:h="16790"/>
          <w:pgMar w:top="1600" w:right="1180" w:bottom="920" w:left="1580" w:header="0" w:footer="721" w:gutter="0"/>
          <w:cols w:space="720" w:num="1"/>
        </w:sectPr>
      </w:pPr>
    </w:p>
    <w:p w14:paraId="27010C16">
      <w:pPr>
        <w:spacing w:before="38"/>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附件五：</w:t>
      </w:r>
    </w:p>
    <w:p w14:paraId="3D9E5D66">
      <w:pPr>
        <w:pStyle w:val="9"/>
        <w:rPr>
          <w:rFonts w:hint="eastAsia" w:ascii="宋体" w:hAnsi="宋体" w:eastAsia="宋体" w:cs="宋体"/>
          <w:b/>
          <w:color w:val="auto"/>
          <w:sz w:val="20"/>
          <w:highlight w:val="none"/>
        </w:rPr>
      </w:pPr>
    </w:p>
    <w:p w14:paraId="3A8DA6FE">
      <w:pPr>
        <w:pStyle w:val="9"/>
        <w:rPr>
          <w:rFonts w:hint="eastAsia" w:ascii="宋体" w:hAnsi="宋体" w:eastAsia="宋体" w:cs="宋体"/>
          <w:b/>
          <w:color w:val="auto"/>
          <w:sz w:val="20"/>
          <w:highlight w:val="none"/>
        </w:rPr>
      </w:pPr>
    </w:p>
    <w:p w14:paraId="58F5D972">
      <w:pPr>
        <w:pStyle w:val="9"/>
        <w:spacing w:before="8"/>
        <w:rPr>
          <w:rFonts w:hint="eastAsia" w:ascii="宋体" w:hAnsi="宋体" w:eastAsia="宋体" w:cs="宋体"/>
          <w:b/>
          <w:color w:val="auto"/>
          <w:sz w:val="15"/>
          <w:highlight w:val="none"/>
        </w:rPr>
      </w:pPr>
    </w:p>
    <w:p w14:paraId="6D9E0240">
      <w:pPr>
        <w:spacing w:before="55"/>
        <w:ind w:left="592" w:right="985"/>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施工组织设计</w:t>
      </w:r>
    </w:p>
    <w:p w14:paraId="629F1AA7">
      <w:pPr>
        <w:pStyle w:val="9"/>
        <w:spacing w:before="3"/>
        <w:rPr>
          <w:rFonts w:hint="eastAsia" w:ascii="宋体" w:hAnsi="宋体" w:eastAsia="宋体" w:cs="宋体"/>
          <w:b/>
          <w:color w:val="auto"/>
          <w:sz w:val="41"/>
          <w:highlight w:val="none"/>
        </w:rPr>
      </w:pPr>
    </w:p>
    <w:p w14:paraId="1AC232E2">
      <w:pPr>
        <w:pStyle w:val="9"/>
        <w:spacing w:before="1" w:line="364" w:lineRule="auto"/>
        <w:ind w:left="218" w:right="612" w:firstLine="479"/>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5"/>
          <w:highlight w:val="none"/>
        </w:rPr>
        <w:t>、谈判供应商应编制施工组织设计，编制时应采用文字并结合图形表形说</w:t>
      </w:r>
      <w:r>
        <w:rPr>
          <w:rFonts w:hint="eastAsia" w:ascii="宋体" w:hAnsi="宋体" w:eastAsia="宋体" w:cs="宋体"/>
          <w:color w:val="auto"/>
          <w:highlight w:val="none"/>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02C5FD51">
      <w:pPr>
        <w:pStyle w:val="9"/>
        <w:spacing w:before="16"/>
        <w:ind w:left="698"/>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2、施工组织设计除采用文字表达外应附下列图表，图表及格式要求附后。</w:t>
      </w:r>
    </w:p>
    <w:p w14:paraId="7EA205D2">
      <w:pPr>
        <w:pStyle w:val="35"/>
        <w:numPr>
          <w:ilvl w:val="0"/>
          <w:numId w:val="22"/>
        </w:numPr>
        <w:tabs>
          <w:tab w:val="left" w:pos="1299"/>
        </w:tabs>
        <w:spacing w:before="179"/>
        <w:rPr>
          <w:rFonts w:hint="eastAsia" w:ascii="宋体" w:hAnsi="宋体" w:eastAsia="宋体" w:cs="宋体"/>
          <w:color w:val="auto"/>
          <w:sz w:val="24"/>
          <w:highlight w:val="none"/>
        </w:rPr>
      </w:pPr>
      <w:r>
        <w:rPr>
          <w:rFonts w:hint="eastAsia" w:ascii="宋体" w:hAnsi="宋体" w:eastAsia="宋体" w:cs="宋体"/>
          <w:color w:val="auto"/>
          <w:sz w:val="24"/>
          <w:highlight w:val="none"/>
        </w:rPr>
        <w:t>劳动力计划表</w:t>
      </w:r>
    </w:p>
    <w:p w14:paraId="1076A29A">
      <w:pPr>
        <w:pStyle w:val="35"/>
        <w:numPr>
          <w:ilvl w:val="0"/>
          <w:numId w:val="22"/>
        </w:numPr>
        <w:tabs>
          <w:tab w:val="left" w:pos="1299"/>
        </w:tabs>
        <w:spacing w:before="178"/>
        <w:rPr>
          <w:rFonts w:hint="eastAsia" w:ascii="宋体" w:hAnsi="宋体" w:eastAsia="宋体" w:cs="宋体"/>
          <w:color w:val="auto"/>
          <w:sz w:val="24"/>
          <w:highlight w:val="none"/>
        </w:rPr>
      </w:pPr>
      <w:r>
        <w:rPr>
          <w:rFonts w:hint="eastAsia" w:ascii="宋体" w:hAnsi="宋体" w:eastAsia="宋体" w:cs="宋体"/>
          <w:color w:val="auto"/>
          <w:sz w:val="24"/>
          <w:highlight w:val="none"/>
        </w:rPr>
        <w:t>计划开、竣工日期和施工进度表</w:t>
      </w:r>
    </w:p>
    <w:p w14:paraId="3BED3A25">
      <w:pPr>
        <w:rPr>
          <w:rFonts w:hint="eastAsia" w:ascii="宋体" w:hAnsi="宋体" w:eastAsia="宋体" w:cs="宋体"/>
          <w:color w:val="auto"/>
          <w:sz w:val="24"/>
          <w:highlight w:val="none"/>
        </w:rPr>
        <w:sectPr>
          <w:pgSz w:w="11850" w:h="16790"/>
          <w:pgMar w:top="1400" w:right="1180" w:bottom="920" w:left="1580" w:header="0" w:footer="721" w:gutter="0"/>
          <w:cols w:space="720" w:num="1"/>
        </w:sectPr>
      </w:pPr>
    </w:p>
    <w:p w14:paraId="6B241FCE">
      <w:pPr>
        <w:pStyle w:val="9"/>
        <w:spacing w:before="1"/>
        <w:rPr>
          <w:rFonts w:hint="eastAsia" w:ascii="宋体" w:hAnsi="宋体" w:eastAsia="宋体" w:cs="宋体"/>
          <w:color w:val="auto"/>
          <w:sz w:val="25"/>
          <w:highlight w:val="none"/>
        </w:rPr>
      </w:pPr>
    </w:p>
    <w:p w14:paraId="73F3DB20">
      <w:pPr>
        <w:spacing w:before="61"/>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附件六：</w:t>
      </w:r>
    </w:p>
    <w:p w14:paraId="29FD2CFB">
      <w:pPr>
        <w:pStyle w:val="9"/>
        <w:spacing w:before="6"/>
        <w:rPr>
          <w:rFonts w:hint="eastAsia" w:ascii="宋体" w:hAnsi="宋体" w:eastAsia="宋体" w:cs="宋体"/>
          <w:b/>
          <w:color w:val="auto"/>
          <w:sz w:val="20"/>
          <w:highlight w:val="none"/>
        </w:rPr>
      </w:pPr>
    </w:p>
    <w:p w14:paraId="0DD2A268">
      <w:pPr>
        <w:spacing w:before="54"/>
        <w:ind w:left="592" w:right="985"/>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劳动力计划表</w:t>
      </w:r>
    </w:p>
    <w:p w14:paraId="040B60A2">
      <w:pPr>
        <w:pStyle w:val="9"/>
        <w:rPr>
          <w:rFonts w:hint="eastAsia" w:ascii="宋体" w:hAnsi="宋体" w:eastAsia="宋体" w:cs="宋体"/>
          <w:b/>
          <w:color w:val="auto"/>
          <w:sz w:val="32"/>
          <w:highlight w:val="none"/>
        </w:rPr>
      </w:pPr>
    </w:p>
    <w:p w14:paraId="46D2FD8C">
      <w:pPr>
        <w:pStyle w:val="9"/>
        <w:spacing w:before="9"/>
        <w:rPr>
          <w:rFonts w:hint="eastAsia" w:ascii="宋体" w:hAnsi="宋体" w:eastAsia="宋体" w:cs="宋体"/>
          <w:b/>
          <w:color w:val="auto"/>
          <w:sz w:val="29"/>
          <w:highlight w:val="none"/>
        </w:rPr>
      </w:pPr>
    </w:p>
    <w:p w14:paraId="3D6A6449">
      <w:pPr>
        <w:pStyle w:val="9"/>
        <w:tabs>
          <w:tab w:val="left" w:pos="6959"/>
        </w:tabs>
        <w:spacing w:before="1" w:after="43"/>
        <w:ind w:right="405"/>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rPr>
        <w:tab/>
      </w:r>
      <w:r>
        <w:rPr>
          <w:rFonts w:hint="eastAsia" w:ascii="宋体" w:hAnsi="宋体" w:eastAsia="宋体" w:cs="宋体"/>
          <w:color w:val="auto"/>
          <w:highlight w:val="none"/>
        </w:rPr>
        <w:t>单位：人</w:t>
      </w:r>
    </w:p>
    <w:tbl>
      <w:tblPr>
        <w:tblStyle w:val="19"/>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17B3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14:paraId="683A01D8">
            <w:pPr>
              <w:pStyle w:val="36"/>
              <w:rPr>
                <w:rFonts w:hint="eastAsia" w:ascii="宋体" w:hAnsi="宋体" w:eastAsia="宋体" w:cs="宋体"/>
                <w:color w:val="auto"/>
                <w:sz w:val="35"/>
                <w:highlight w:val="none"/>
              </w:rPr>
            </w:pPr>
          </w:p>
          <w:p w14:paraId="29A70730">
            <w:pPr>
              <w:pStyle w:val="36"/>
              <w:ind w:left="316"/>
              <w:rPr>
                <w:rFonts w:hint="eastAsia" w:ascii="宋体" w:hAnsi="宋体" w:eastAsia="宋体" w:cs="宋体"/>
                <w:color w:val="auto"/>
                <w:sz w:val="24"/>
                <w:highlight w:val="none"/>
              </w:rPr>
            </w:pPr>
            <w:r>
              <w:rPr>
                <w:rFonts w:hint="eastAsia" w:ascii="宋体" w:hAnsi="宋体" w:eastAsia="宋体" w:cs="宋体"/>
                <w:color w:val="auto"/>
                <w:sz w:val="24"/>
                <w:highlight w:val="none"/>
              </w:rPr>
              <w:t>工种</w:t>
            </w:r>
          </w:p>
        </w:tc>
        <w:tc>
          <w:tcPr>
            <w:tcW w:w="7745" w:type="dxa"/>
            <w:gridSpan w:val="7"/>
          </w:tcPr>
          <w:p w14:paraId="2F8FA1FC">
            <w:pPr>
              <w:pStyle w:val="36"/>
              <w:spacing w:before="208"/>
              <w:ind w:left="2169" w:right="216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按工程施工阶段投入劳动力情况</w:t>
            </w:r>
          </w:p>
        </w:tc>
      </w:tr>
      <w:tr w14:paraId="7FBF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329E5684">
            <w:pPr>
              <w:rPr>
                <w:rFonts w:hint="eastAsia" w:ascii="宋体" w:hAnsi="宋体" w:eastAsia="宋体" w:cs="宋体"/>
                <w:color w:val="auto"/>
                <w:sz w:val="2"/>
                <w:szCs w:val="2"/>
                <w:highlight w:val="none"/>
              </w:rPr>
            </w:pPr>
          </w:p>
        </w:tc>
        <w:tc>
          <w:tcPr>
            <w:tcW w:w="1102" w:type="dxa"/>
          </w:tcPr>
          <w:p w14:paraId="64317DD3">
            <w:pPr>
              <w:pStyle w:val="36"/>
              <w:rPr>
                <w:rFonts w:hint="eastAsia" w:ascii="宋体" w:hAnsi="宋体" w:eastAsia="宋体" w:cs="宋体"/>
                <w:color w:val="auto"/>
                <w:sz w:val="24"/>
                <w:highlight w:val="none"/>
              </w:rPr>
            </w:pPr>
          </w:p>
        </w:tc>
        <w:tc>
          <w:tcPr>
            <w:tcW w:w="1106" w:type="dxa"/>
          </w:tcPr>
          <w:p w14:paraId="1643717B">
            <w:pPr>
              <w:pStyle w:val="36"/>
              <w:rPr>
                <w:rFonts w:hint="eastAsia" w:ascii="宋体" w:hAnsi="宋体" w:eastAsia="宋体" w:cs="宋体"/>
                <w:color w:val="auto"/>
                <w:sz w:val="24"/>
                <w:highlight w:val="none"/>
              </w:rPr>
            </w:pPr>
          </w:p>
        </w:tc>
        <w:tc>
          <w:tcPr>
            <w:tcW w:w="1109" w:type="dxa"/>
          </w:tcPr>
          <w:p w14:paraId="0CAF593F">
            <w:pPr>
              <w:pStyle w:val="36"/>
              <w:rPr>
                <w:rFonts w:hint="eastAsia" w:ascii="宋体" w:hAnsi="宋体" w:eastAsia="宋体" w:cs="宋体"/>
                <w:color w:val="auto"/>
                <w:sz w:val="24"/>
                <w:highlight w:val="none"/>
              </w:rPr>
            </w:pPr>
          </w:p>
        </w:tc>
        <w:tc>
          <w:tcPr>
            <w:tcW w:w="1106" w:type="dxa"/>
          </w:tcPr>
          <w:p w14:paraId="43715148">
            <w:pPr>
              <w:pStyle w:val="36"/>
              <w:rPr>
                <w:rFonts w:hint="eastAsia" w:ascii="宋体" w:hAnsi="宋体" w:eastAsia="宋体" w:cs="宋体"/>
                <w:color w:val="auto"/>
                <w:sz w:val="24"/>
                <w:highlight w:val="none"/>
              </w:rPr>
            </w:pPr>
          </w:p>
        </w:tc>
        <w:tc>
          <w:tcPr>
            <w:tcW w:w="1106" w:type="dxa"/>
          </w:tcPr>
          <w:p w14:paraId="3F9428E9">
            <w:pPr>
              <w:pStyle w:val="36"/>
              <w:rPr>
                <w:rFonts w:hint="eastAsia" w:ascii="宋体" w:hAnsi="宋体" w:eastAsia="宋体" w:cs="宋体"/>
                <w:color w:val="auto"/>
                <w:sz w:val="24"/>
                <w:highlight w:val="none"/>
              </w:rPr>
            </w:pPr>
          </w:p>
        </w:tc>
        <w:tc>
          <w:tcPr>
            <w:tcW w:w="1107" w:type="dxa"/>
          </w:tcPr>
          <w:p w14:paraId="2F2DDC70">
            <w:pPr>
              <w:pStyle w:val="36"/>
              <w:rPr>
                <w:rFonts w:hint="eastAsia" w:ascii="宋体" w:hAnsi="宋体" w:eastAsia="宋体" w:cs="宋体"/>
                <w:color w:val="auto"/>
                <w:sz w:val="24"/>
                <w:highlight w:val="none"/>
              </w:rPr>
            </w:pPr>
          </w:p>
        </w:tc>
        <w:tc>
          <w:tcPr>
            <w:tcW w:w="1109" w:type="dxa"/>
          </w:tcPr>
          <w:p w14:paraId="49ADE220">
            <w:pPr>
              <w:pStyle w:val="36"/>
              <w:rPr>
                <w:rFonts w:hint="eastAsia" w:ascii="宋体" w:hAnsi="宋体" w:eastAsia="宋体" w:cs="宋体"/>
                <w:color w:val="auto"/>
                <w:sz w:val="24"/>
                <w:highlight w:val="none"/>
              </w:rPr>
            </w:pPr>
          </w:p>
        </w:tc>
      </w:tr>
      <w:tr w14:paraId="6F10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37ABB1C7">
            <w:pPr>
              <w:pStyle w:val="36"/>
              <w:rPr>
                <w:rFonts w:hint="eastAsia" w:ascii="宋体" w:hAnsi="宋体" w:eastAsia="宋体" w:cs="宋体"/>
                <w:color w:val="auto"/>
                <w:sz w:val="24"/>
                <w:highlight w:val="none"/>
              </w:rPr>
            </w:pPr>
          </w:p>
        </w:tc>
        <w:tc>
          <w:tcPr>
            <w:tcW w:w="1102" w:type="dxa"/>
          </w:tcPr>
          <w:p w14:paraId="4A98BDDE">
            <w:pPr>
              <w:pStyle w:val="36"/>
              <w:rPr>
                <w:rFonts w:hint="eastAsia" w:ascii="宋体" w:hAnsi="宋体" w:eastAsia="宋体" w:cs="宋体"/>
                <w:color w:val="auto"/>
                <w:sz w:val="24"/>
                <w:highlight w:val="none"/>
              </w:rPr>
            </w:pPr>
          </w:p>
        </w:tc>
        <w:tc>
          <w:tcPr>
            <w:tcW w:w="1106" w:type="dxa"/>
          </w:tcPr>
          <w:p w14:paraId="61DAA96F">
            <w:pPr>
              <w:pStyle w:val="36"/>
              <w:rPr>
                <w:rFonts w:hint="eastAsia" w:ascii="宋体" w:hAnsi="宋体" w:eastAsia="宋体" w:cs="宋体"/>
                <w:color w:val="auto"/>
                <w:sz w:val="24"/>
                <w:highlight w:val="none"/>
              </w:rPr>
            </w:pPr>
          </w:p>
        </w:tc>
        <w:tc>
          <w:tcPr>
            <w:tcW w:w="1109" w:type="dxa"/>
          </w:tcPr>
          <w:p w14:paraId="76475EF2">
            <w:pPr>
              <w:pStyle w:val="36"/>
              <w:rPr>
                <w:rFonts w:hint="eastAsia" w:ascii="宋体" w:hAnsi="宋体" w:eastAsia="宋体" w:cs="宋体"/>
                <w:color w:val="auto"/>
                <w:sz w:val="24"/>
                <w:highlight w:val="none"/>
              </w:rPr>
            </w:pPr>
          </w:p>
        </w:tc>
        <w:tc>
          <w:tcPr>
            <w:tcW w:w="1106" w:type="dxa"/>
          </w:tcPr>
          <w:p w14:paraId="31787B3D">
            <w:pPr>
              <w:pStyle w:val="36"/>
              <w:rPr>
                <w:rFonts w:hint="eastAsia" w:ascii="宋体" w:hAnsi="宋体" w:eastAsia="宋体" w:cs="宋体"/>
                <w:color w:val="auto"/>
                <w:sz w:val="24"/>
                <w:highlight w:val="none"/>
              </w:rPr>
            </w:pPr>
          </w:p>
        </w:tc>
        <w:tc>
          <w:tcPr>
            <w:tcW w:w="1106" w:type="dxa"/>
          </w:tcPr>
          <w:p w14:paraId="0642C49D">
            <w:pPr>
              <w:pStyle w:val="36"/>
              <w:rPr>
                <w:rFonts w:hint="eastAsia" w:ascii="宋体" w:hAnsi="宋体" w:eastAsia="宋体" w:cs="宋体"/>
                <w:color w:val="auto"/>
                <w:sz w:val="24"/>
                <w:highlight w:val="none"/>
              </w:rPr>
            </w:pPr>
          </w:p>
        </w:tc>
        <w:tc>
          <w:tcPr>
            <w:tcW w:w="1107" w:type="dxa"/>
          </w:tcPr>
          <w:p w14:paraId="55B5AAB1">
            <w:pPr>
              <w:pStyle w:val="36"/>
              <w:rPr>
                <w:rFonts w:hint="eastAsia" w:ascii="宋体" w:hAnsi="宋体" w:eastAsia="宋体" w:cs="宋体"/>
                <w:color w:val="auto"/>
                <w:sz w:val="24"/>
                <w:highlight w:val="none"/>
              </w:rPr>
            </w:pPr>
          </w:p>
        </w:tc>
        <w:tc>
          <w:tcPr>
            <w:tcW w:w="1109" w:type="dxa"/>
          </w:tcPr>
          <w:p w14:paraId="3DB9BBE4">
            <w:pPr>
              <w:pStyle w:val="36"/>
              <w:rPr>
                <w:rFonts w:hint="eastAsia" w:ascii="宋体" w:hAnsi="宋体" w:eastAsia="宋体" w:cs="宋体"/>
                <w:color w:val="auto"/>
                <w:sz w:val="24"/>
                <w:highlight w:val="none"/>
              </w:rPr>
            </w:pPr>
          </w:p>
        </w:tc>
      </w:tr>
    </w:tbl>
    <w:p w14:paraId="52B9CC06">
      <w:pPr>
        <w:pStyle w:val="9"/>
        <w:spacing w:before="209" w:line="436" w:lineRule="auto"/>
        <w:ind w:left="789" w:right="1308" w:hanging="572"/>
        <w:rPr>
          <w:rFonts w:hint="eastAsia" w:ascii="宋体" w:hAnsi="宋体" w:eastAsia="宋体" w:cs="宋体"/>
          <w:color w:val="auto"/>
          <w:highlight w:val="none"/>
        </w:rPr>
      </w:pPr>
      <w:r>
        <w:rPr>
          <w:rFonts w:hint="eastAsia" w:ascii="宋体" w:hAnsi="宋体" w:eastAsia="宋体" w:cs="宋体"/>
          <w:color w:val="auto"/>
          <w:highlight w:val="none"/>
        </w:rPr>
        <w:t>注：1、谈判供应商按所列格式提交包括分包人在内的估计劳动力计划表2、本计划表是以每班 8 小时工作制为基础编制的</w:t>
      </w:r>
    </w:p>
    <w:p w14:paraId="7326FF41">
      <w:pPr>
        <w:spacing w:line="436" w:lineRule="auto"/>
        <w:rPr>
          <w:rFonts w:hint="eastAsia" w:ascii="宋体" w:hAnsi="宋体" w:eastAsia="宋体" w:cs="宋体"/>
          <w:color w:val="auto"/>
          <w:highlight w:val="none"/>
        </w:rPr>
        <w:sectPr>
          <w:pgSz w:w="11850" w:h="16790"/>
          <w:pgMar w:top="1600" w:right="1180" w:bottom="920" w:left="1580" w:header="0" w:footer="721" w:gutter="0"/>
          <w:cols w:space="720" w:num="1"/>
        </w:sectPr>
      </w:pPr>
    </w:p>
    <w:p w14:paraId="7938226D">
      <w:pPr>
        <w:pStyle w:val="9"/>
        <w:rPr>
          <w:rFonts w:hint="eastAsia" w:ascii="宋体" w:hAnsi="宋体" w:eastAsia="宋体" w:cs="宋体"/>
          <w:color w:val="auto"/>
          <w:sz w:val="20"/>
          <w:highlight w:val="none"/>
        </w:rPr>
      </w:pPr>
    </w:p>
    <w:p w14:paraId="652FC676">
      <w:pPr>
        <w:pStyle w:val="9"/>
        <w:rPr>
          <w:rFonts w:hint="eastAsia" w:ascii="宋体" w:hAnsi="宋体" w:eastAsia="宋体" w:cs="宋体"/>
          <w:color w:val="auto"/>
          <w:sz w:val="20"/>
          <w:highlight w:val="none"/>
        </w:rPr>
      </w:pPr>
    </w:p>
    <w:p w14:paraId="678D9254">
      <w:pPr>
        <w:pStyle w:val="9"/>
        <w:rPr>
          <w:rFonts w:hint="eastAsia" w:ascii="宋体" w:hAnsi="宋体" w:eastAsia="宋体" w:cs="宋体"/>
          <w:color w:val="auto"/>
          <w:sz w:val="20"/>
          <w:highlight w:val="none"/>
        </w:rPr>
      </w:pPr>
    </w:p>
    <w:p w14:paraId="4CA9C079">
      <w:pPr>
        <w:spacing w:before="190"/>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附件七：</w:t>
      </w:r>
    </w:p>
    <w:p w14:paraId="79C24930">
      <w:pPr>
        <w:pStyle w:val="9"/>
        <w:rPr>
          <w:rFonts w:hint="eastAsia" w:ascii="宋体" w:hAnsi="宋体" w:eastAsia="宋体" w:cs="宋体"/>
          <w:b/>
          <w:color w:val="auto"/>
          <w:sz w:val="20"/>
          <w:highlight w:val="none"/>
        </w:rPr>
      </w:pPr>
    </w:p>
    <w:p w14:paraId="1655828A">
      <w:pPr>
        <w:pStyle w:val="9"/>
        <w:rPr>
          <w:rFonts w:hint="eastAsia" w:ascii="宋体" w:hAnsi="宋体" w:eastAsia="宋体" w:cs="宋体"/>
          <w:b/>
          <w:color w:val="auto"/>
          <w:sz w:val="20"/>
          <w:highlight w:val="none"/>
        </w:rPr>
      </w:pPr>
    </w:p>
    <w:p w14:paraId="5BF76F8E">
      <w:pPr>
        <w:pStyle w:val="9"/>
        <w:spacing w:before="1"/>
        <w:rPr>
          <w:rFonts w:hint="eastAsia" w:ascii="宋体" w:hAnsi="宋体" w:eastAsia="宋体" w:cs="宋体"/>
          <w:b/>
          <w:color w:val="auto"/>
          <w:highlight w:val="none"/>
        </w:rPr>
      </w:pPr>
    </w:p>
    <w:p w14:paraId="348A67A2">
      <w:pPr>
        <w:spacing w:before="54"/>
        <w:ind w:left="592" w:right="98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计划开、竣工日期和施工进度表</w:t>
      </w:r>
    </w:p>
    <w:p w14:paraId="44020C2C">
      <w:pPr>
        <w:pStyle w:val="9"/>
        <w:rPr>
          <w:rFonts w:hint="eastAsia" w:ascii="宋体" w:hAnsi="宋体" w:eastAsia="宋体" w:cs="宋体"/>
          <w:b/>
          <w:color w:val="auto"/>
          <w:sz w:val="47"/>
          <w:highlight w:val="none"/>
        </w:rPr>
      </w:pPr>
    </w:p>
    <w:p w14:paraId="186B777C">
      <w:pPr>
        <w:pStyle w:val="9"/>
        <w:spacing w:line="364" w:lineRule="auto"/>
        <w:ind w:left="218" w:right="612" w:firstLine="479"/>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5"/>
          <w:highlight w:val="none"/>
        </w:rPr>
        <w:t>、谈判供应商应提交的施工进度网络图或施工进度表，说明按谈判文件要</w:t>
      </w:r>
      <w:r>
        <w:rPr>
          <w:rFonts w:hint="eastAsia" w:ascii="宋体" w:hAnsi="宋体" w:eastAsia="宋体" w:cs="宋体"/>
          <w:color w:val="auto"/>
          <w:highlight w:val="none"/>
        </w:rPr>
        <w:t>求的工期进行的各个关键日期，成交的谈判供应商还应按合同条件有关条款的要求提交详细的施工进度计划。</w:t>
      </w:r>
    </w:p>
    <w:p w14:paraId="0B83E7AD">
      <w:pPr>
        <w:pStyle w:val="9"/>
        <w:spacing w:before="16" w:line="364" w:lineRule="auto"/>
        <w:ind w:left="218" w:right="563" w:firstLine="479"/>
        <w:rPr>
          <w:rFonts w:hint="eastAsia" w:ascii="宋体" w:hAnsi="宋体" w:eastAsia="宋体" w:cs="宋体"/>
          <w:color w:val="auto"/>
          <w:highlight w:val="none"/>
        </w:rPr>
      </w:pPr>
      <w:r>
        <w:rPr>
          <w:rFonts w:hint="eastAsia" w:ascii="宋体" w:hAnsi="宋体" w:eastAsia="宋体" w:cs="宋体"/>
          <w:color w:val="auto"/>
          <w:highlight w:val="none"/>
        </w:rPr>
        <w:t>2、施工进度表可采用网络图（或横线图）表示，说明计划开工日期和各分项工程的完工日期。</w:t>
      </w:r>
    </w:p>
    <w:p w14:paraId="6A886CEF">
      <w:pPr>
        <w:pStyle w:val="9"/>
        <w:spacing w:before="18"/>
        <w:ind w:left="698"/>
        <w:rPr>
          <w:rFonts w:hint="eastAsia" w:ascii="宋体" w:hAnsi="宋体" w:eastAsia="宋体" w:cs="宋体"/>
          <w:color w:val="auto"/>
          <w:highlight w:val="none"/>
        </w:rPr>
      </w:pPr>
      <w:r>
        <w:rPr>
          <w:rFonts w:hint="eastAsia" w:ascii="宋体" w:hAnsi="宋体" w:eastAsia="宋体" w:cs="宋体"/>
          <w:color w:val="auto"/>
          <w:highlight w:val="none"/>
        </w:rPr>
        <w:t>3、施工进度计划与施工组织相适应。</w:t>
      </w:r>
    </w:p>
    <w:p w14:paraId="45CC3469">
      <w:pPr>
        <w:rPr>
          <w:rFonts w:hint="eastAsia" w:ascii="宋体" w:hAnsi="宋体" w:eastAsia="宋体" w:cs="宋体"/>
          <w:color w:val="auto"/>
          <w:highlight w:val="none"/>
        </w:rPr>
        <w:sectPr>
          <w:pgSz w:w="11850" w:h="16790"/>
          <w:pgMar w:top="1600" w:right="1180" w:bottom="920" w:left="1580" w:header="0" w:footer="721" w:gutter="0"/>
          <w:cols w:space="720" w:num="1"/>
        </w:sectPr>
      </w:pPr>
    </w:p>
    <w:p w14:paraId="485F1C11">
      <w:pPr>
        <w:pStyle w:val="9"/>
        <w:rPr>
          <w:rFonts w:hint="eastAsia" w:ascii="宋体" w:hAnsi="宋体" w:eastAsia="宋体" w:cs="宋体"/>
          <w:color w:val="auto"/>
          <w:sz w:val="20"/>
          <w:highlight w:val="none"/>
        </w:rPr>
      </w:pPr>
    </w:p>
    <w:p w14:paraId="61C4BB51">
      <w:pPr>
        <w:spacing w:before="190"/>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附件八：</w:t>
      </w:r>
    </w:p>
    <w:p w14:paraId="5351EECA">
      <w:pPr>
        <w:pStyle w:val="9"/>
        <w:spacing w:before="5"/>
        <w:rPr>
          <w:rFonts w:hint="eastAsia" w:ascii="宋体" w:hAnsi="宋体" w:eastAsia="宋体" w:cs="宋体"/>
          <w:b/>
          <w:color w:val="auto"/>
          <w:sz w:val="20"/>
          <w:highlight w:val="none"/>
        </w:rPr>
      </w:pPr>
    </w:p>
    <w:p w14:paraId="3D025B14">
      <w:pPr>
        <w:spacing w:before="55"/>
        <w:ind w:left="592" w:right="98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项目管理机构配备情况表</w:t>
      </w:r>
    </w:p>
    <w:p w14:paraId="6950A687">
      <w:pPr>
        <w:pStyle w:val="9"/>
        <w:spacing w:before="9"/>
        <w:rPr>
          <w:rFonts w:hint="eastAsia" w:ascii="宋体" w:hAnsi="宋体" w:eastAsia="宋体" w:cs="宋体"/>
          <w:b/>
          <w:color w:val="auto"/>
          <w:sz w:val="12"/>
          <w:highlight w:val="none"/>
        </w:rPr>
      </w:pPr>
    </w:p>
    <w:p w14:paraId="752FF789">
      <w:pPr>
        <w:pStyle w:val="9"/>
        <w:spacing w:before="66" w:after="44"/>
        <w:ind w:left="218"/>
        <w:rPr>
          <w:rFonts w:hint="eastAsia" w:ascii="宋体" w:hAnsi="宋体" w:eastAsia="宋体" w:cs="宋体"/>
          <w:color w:val="auto"/>
          <w:highlight w:val="none"/>
        </w:rPr>
      </w:pPr>
      <w:r>
        <w:rPr>
          <w:rFonts w:hint="eastAsia" w:ascii="宋体" w:hAnsi="宋体" w:eastAsia="宋体" w:cs="宋体"/>
          <w:color w:val="auto"/>
          <w:highlight w:val="none"/>
        </w:rPr>
        <w:t>项目名称：</w:t>
      </w:r>
    </w:p>
    <w:tbl>
      <w:tblPr>
        <w:tblStyle w:val="19"/>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761E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14:paraId="4EE6C797">
            <w:pPr>
              <w:pStyle w:val="36"/>
              <w:spacing w:before="5"/>
              <w:rPr>
                <w:rFonts w:hint="eastAsia" w:ascii="宋体" w:hAnsi="宋体" w:eastAsia="宋体" w:cs="宋体"/>
                <w:color w:val="auto"/>
                <w:sz w:val="23"/>
                <w:highlight w:val="none"/>
              </w:rPr>
            </w:pPr>
          </w:p>
          <w:p w14:paraId="7E1BB6CF">
            <w:pPr>
              <w:pStyle w:val="36"/>
              <w:ind w:left="141"/>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886" w:type="dxa"/>
            <w:vMerge w:val="restart"/>
          </w:tcPr>
          <w:p w14:paraId="54AF10EE">
            <w:pPr>
              <w:pStyle w:val="36"/>
              <w:spacing w:before="5"/>
              <w:rPr>
                <w:rFonts w:hint="eastAsia" w:ascii="宋体" w:hAnsi="宋体" w:eastAsia="宋体" w:cs="宋体"/>
                <w:color w:val="auto"/>
                <w:sz w:val="23"/>
                <w:highlight w:val="none"/>
              </w:rPr>
            </w:pPr>
          </w:p>
          <w:p w14:paraId="283AEAD0">
            <w:pPr>
              <w:pStyle w:val="36"/>
              <w:ind w:left="14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87" w:type="dxa"/>
            <w:vMerge w:val="restart"/>
          </w:tcPr>
          <w:p w14:paraId="457A19C8">
            <w:pPr>
              <w:pStyle w:val="36"/>
              <w:spacing w:before="5"/>
              <w:rPr>
                <w:rFonts w:hint="eastAsia" w:ascii="宋体" w:hAnsi="宋体" w:eastAsia="宋体" w:cs="宋体"/>
                <w:color w:val="auto"/>
                <w:sz w:val="23"/>
                <w:highlight w:val="none"/>
              </w:rPr>
            </w:pPr>
          </w:p>
          <w:p w14:paraId="1C5B8408">
            <w:pPr>
              <w:pStyle w:val="36"/>
              <w:ind w:left="138"/>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4432" w:type="dxa"/>
            <w:gridSpan w:val="5"/>
          </w:tcPr>
          <w:p w14:paraId="3CCD1028">
            <w:pPr>
              <w:pStyle w:val="36"/>
              <w:spacing w:before="179"/>
              <w:ind w:left="1130"/>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776" w:type="dxa"/>
            <w:gridSpan w:val="2"/>
          </w:tcPr>
          <w:p w14:paraId="5D7387E6">
            <w:pPr>
              <w:pStyle w:val="36"/>
              <w:spacing w:line="304" w:lineRule="exact"/>
              <w:ind w:left="263" w:right="2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已承担在建</w:t>
            </w:r>
          </w:p>
          <w:p w14:paraId="4842E595">
            <w:pPr>
              <w:pStyle w:val="36"/>
              <w:spacing w:line="276" w:lineRule="exact"/>
              <w:ind w:left="263" w:right="26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工程情况</w:t>
            </w:r>
          </w:p>
        </w:tc>
      </w:tr>
      <w:tr w14:paraId="1A81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25E0A4E0">
            <w:pPr>
              <w:rPr>
                <w:rFonts w:hint="eastAsia" w:ascii="宋体" w:hAnsi="宋体" w:eastAsia="宋体" w:cs="宋体"/>
                <w:color w:val="auto"/>
                <w:sz w:val="2"/>
                <w:szCs w:val="2"/>
                <w:highlight w:val="none"/>
              </w:rPr>
            </w:pPr>
          </w:p>
        </w:tc>
        <w:tc>
          <w:tcPr>
            <w:tcW w:w="886" w:type="dxa"/>
            <w:vMerge w:val="continue"/>
            <w:tcBorders>
              <w:top w:val="nil"/>
            </w:tcBorders>
          </w:tcPr>
          <w:p w14:paraId="5E80B301">
            <w:pPr>
              <w:rPr>
                <w:rFonts w:hint="eastAsia" w:ascii="宋体" w:hAnsi="宋体" w:eastAsia="宋体" w:cs="宋体"/>
                <w:color w:val="auto"/>
                <w:sz w:val="2"/>
                <w:szCs w:val="2"/>
                <w:highlight w:val="none"/>
              </w:rPr>
            </w:pPr>
          </w:p>
        </w:tc>
        <w:tc>
          <w:tcPr>
            <w:tcW w:w="887" w:type="dxa"/>
            <w:vMerge w:val="continue"/>
            <w:tcBorders>
              <w:top w:val="nil"/>
            </w:tcBorders>
          </w:tcPr>
          <w:p w14:paraId="58ACBA05">
            <w:pPr>
              <w:rPr>
                <w:rFonts w:hint="eastAsia" w:ascii="宋体" w:hAnsi="宋体" w:eastAsia="宋体" w:cs="宋体"/>
                <w:color w:val="auto"/>
                <w:sz w:val="2"/>
                <w:szCs w:val="2"/>
                <w:highlight w:val="none"/>
              </w:rPr>
            </w:pPr>
          </w:p>
        </w:tc>
        <w:tc>
          <w:tcPr>
            <w:tcW w:w="886" w:type="dxa"/>
          </w:tcPr>
          <w:p w14:paraId="3F9E48A2">
            <w:pPr>
              <w:pStyle w:val="36"/>
              <w:spacing w:before="7" w:line="218" w:lineRule="auto"/>
              <w:ind w:left="197" w:right="196"/>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886" w:type="dxa"/>
          </w:tcPr>
          <w:p w14:paraId="20E1DFDB">
            <w:pPr>
              <w:pStyle w:val="36"/>
              <w:spacing w:before="166"/>
              <w:ind w:left="199"/>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886" w:type="dxa"/>
          </w:tcPr>
          <w:p w14:paraId="2A931841">
            <w:pPr>
              <w:pStyle w:val="36"/>
              <w:spacing w:before="211"/>
              <w:ind w:left="199"/>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888" w:type="dxa"/>
          </w:tcPr>
          <w:p w14:paraId="5A80ABC4">
            <w:pPr>
              <w:pStyle w:val="36"/>
              <w:spacing w:before="211"/>
              <w:ind w:left="201"/>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86" w:type="dxa"/>
          </w:tcPr>
          <w:p w14:paraId="6AE1E1EA">
            <w:pPr>
              <w:pStyle w:val="36"/>
              <w:spacing w:before="7" w:line="218" w:lineRule="auto"/>
              <w:ind w:left="198" w:right="19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w:t>
            </w:r>
          </w:p>
          <w:p w14:paraId="1EAE346B">
            <w:pPr>
              <w:pStyle w:val="36"/>
              <w:spacing w:line="255" w:lineRule="exact"/>
              <w:ind w:left="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tc>
        <w:tc>
          <w:tcPr>
            <w:tcW w:w="888" w:type="dxa"/>
          </w:tcPr>
          <w:p w14:paraId="534A8D7E">
            <w:pPr>
              <w:pStyle w:val="36"/>
              <w:spacing w:before="187" w:line="218" w:lineRule="auto"/>
              <w:ind w:left="321" w:right="194" w:hanging="1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888" w:type="dxa"/>
          </w:tcPr>
          <w:p w14:paraId="54BD9789">
            <w:pPr>
              <w:pStyle w:val="36"/>
              <w:spacing w:before="7" w:line="218" w:lineRule="auto"/>
              <w:ind w:left="201" w:right="194"/>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主要项目</w:t>
            </w:r>
          </w:p>
          <w:p w14:paraId="68182D9A">
            <w:pPr>
              <w:pStyle w:val="36"/>
              <w:spacing w:line="255" w:lineRule="exact"/>
              <w:ind w:left="201"/>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2B528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0A898FDC">
            <w:pPr>
              <w:pStyle w:val="36"/>
              <w:rPr>
                <w:rFonts w:hint="eastAsia" w:ascii="宋体" w:hAnsi="宋体" w:eastAsia="宋体" w:cs="宋体"/>
                <w:color w:val="auto"/>
                <w:sz w:val="24"/>
                <w:highlight w:val="none"/>
              </w:rPr>
            </w:pPr>
          </w:p>
        </w:tc>
        <w:tc>
          <w:tcPr>
            <w:tcW w:w="886" w:type="dxa"/>
          </w:tcPr>
          <w:p w14:paraId="20F6B402">
            <w:pPr>
              <w:pStyle w:val="36"/>
              <w:rPr>
                <w:rFonts w:hint="eastAsia" w:ascii="宋体" w:hAnsi="宋体" w:eastAsia="宋体" w:cs="宋体"/>
                <w:color w:val="auto"/>
                <w:sz w:val="24"/>
                <w:highlight w:val="none"/>
              </w:rPr>
            </w:pPr>
          </w:p>
        </w:tc>
        <w:tc>
          <w:tcPr>
            <w:tcW w:w="887" w:type="dxa"/>
          </w:tcPr>
          <w:p w14:paraId="49F71979">
            <w:pPr>
              <w:pStyle w:val="36"/>
              <w:rPr>
                <w:rFonts w:hint="eastAsia" w:ascii="宋体" w:hAnsi="宋体" w:eastAsia="宋体" w:cs="宋体"/>
                <w:color w:val="auto"/>
                <w:sz w:val="24"/>
                <w:highlight w:val="none"/>
              </w:rPr>
            </w:pPr>
          </w:p>
        </w:tc>
        <w:tc>
          <w:tcPr>
            <w:tcW w:w="886" w:type="dxa"/>
          </w:tcPr>
          <w:p w14:paraId="3C4893E6">
            <w:pPr>
              <w:pStyle w:val="36"/>
              <w:rPr>
                <w:rFonts w:hint="eastAsia" w:ascii="宋体" w:hAnsi="宋体" w:eastAsia="宋体" w:cs="宋体"/>
                <w:color w:val="auto"/>
                <w:sz w:val="24"/>
                <w:highlight w:val="none"/>
              </w:rPr>
            </w:pPr>
          </w:p>
        </w:tc>
        <w:tc>
          <w:tcPr>
            <w:tcW w:w="886" w:type="dxa"/>
          </w:tcPr>
          <w:p w14:paraId="55A60566">
            <w:pPr>
              <w:pStyle w:val="36"/>
              <w:rPr>
                <w:rFonts w:hint="eastAsia" w:ascii="宋体" w:hAnsi="宋体" w:eastAsia="宋体" w:cs="宋体"/>
                <w:color w:val="auto"/>
                <w:sz w:val="24"/>
                <w:highlight w:val="none"/>
              </w:rPr>
            </w:pPr>
          </w:p>
        </w:tc>
        <w:tc>
          <w:tcPr>
            <w:tcW w:w="886" w:type="dxa"/>
          </w:tcPr>
          <w:p w14:paraId="5AE22594">
            <w:pPr>
              <w:pStyle w:val="36"/>
              <w:rPr>
                <w:rFonts w:hint="eastAsia" w:ascii="宋体" w:hAnsi="宋体" w:eastAsia="宋体" w:cs="宋体"/>
                <w:color w:val="auto"/>
                <w:sz w:val="24"/>
                <w:highlight w:val="none"/>
              </w:rPr>
            </w:pPr>
          </w:p>
        </w:tc>
        <w:tc>
          <w:tcPr>
            <w:tcW w:w="888" w:type="dxa"/>
          </w:tcPr>
          <w:p w14:paraId="4A10D526">
            <w:pPr>
              <w:pStyle w:val="36"/>
              <w:rPr>
                <w:rFonts w:hint="eastAsia" w:ascii="宋体" w:hAnsi="宋体" w:eastAsia="宋体" w:cs="宋体"/>
                <w:color w:val="auto"/>
                <w:sz w:val="24"/>
                <w:highlight w:val="none"/>
              </w:rPr>
            </w:pPr>
          </w:p>
        </w:tc>
        <w:tc>
          <w:tcPr>
            <w:tcW w:w="886" w:type="dxa"/>
          </w:tcPr>
          <w:p w14:paraId="7791AF5A">
            <w:pPr>
              <w:pStyle w:val="36"/>
              <w:rPr>
                <w:rFonts w:hint="eastAsia" w:ascii="宋体" w:hAnsi="宋体" w:eastAsia="宋体" w:cs="宋体"/>
                <w:color w:val="auto"/>
                <w:sz w:val="24"/>
                <w:highlight w:val="none"/>
              </w:rPr>
            </w:pPr>
          </w:p>
        </w:tc>
        <w:tc>
          <w:tcPr>
            <w:tcW w:w="888" w:type="dxa"/>
          </w:tcPr>
          <w:p w14:paraId="55A89F08">
            <w:pPr>
              <w:pStyle w:val="36"/>
              <w:rPr>
                <w:rFonts w:hint="eastAsia" w:ascii="宋体" w:hAnsi="宋体" w:eastAsia="宋体" w:cs="宋体"/>
                <w:color w:val="auto"/>
                <w:sz w:val="24"/>
                <w:highlight w:val="none"/>
              </w:rPr>
            </w:pPr>
          </w:p>
        </w:tc>
        <w:tc>
          <w:tcPr>
            <w:tcW w:w="888" w:type="dxa"/>
          </w:tcPr>
          <w:p w14:paraId="78EBA7B4">
            <w:pPr>
              <w:pStyle w:val="36"/>
              <w:rPr>
                <w:rFonts w:hint="eastAsia" w:ascii="宋体" w:hAnsi="宋体" w:eastAsia="宋体" w:cs="宋体"/>
                <w:color w:val="auto"/>
                <w:sz w:val="24"/>
                <w:highlight w:val="none"/>
              </w:rPr>
            </w:pPr>
          </w:p>
        </w:tc>
      </w:tr>
      <w:tr w14:paraId="32E2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4164CA15">
            <w:pPr>
              <w:pStyle w:val="36"/>
              <w:spacing w:before="112"/>
              <w:ind w:left="107" w:firstLine="359"/>
              <w:rPr>
                <w:rFonts w:hint="eastAsia" w:ascii="宋体" w:hAnsi="宋体" w:eastAsia="宋体" w:cs="宋体"/>
                <w:color w:val="auto"/>
                <w:sz w:val="24"/>
                <w:highlight w:val="none"/>
              </w:rPr>
            </w:pPr>
            <w:r>
              <w:rPr>
                <w:rFonts w:hint="eastAsia" w:ascii="宋体" w:hAnsi="宋体" w:eastAsia="宋体" w:cs="宋体"/>
                <w:color w:val="auto"/>
                <w:spacing w:val="-9"/>
                <w:sz w:val="24"/>
                <w:highlight w:val="none"/>
              </w:rPr>
              <w:t>一旦我单位成交，将实行建造师负责制。并配备上述项目管理机构。我方保证上</w:t>
            </w:r>
          </w:p>
          <w:p w14:paraId="18F062A3">
            <w:pPr>
              <w:pStyle w:val="36"/>
              <w:spacing w:before="2" w:line="440" w:lineRule="atLeast"/>
              <w:ind w:left="107" w:right="99"/>
              <w:rPr>
                <w:rFonts w:hint="eastAsia" w:ascii="宋体" w:hAnsi="宋体" w:eastAsia="宋体" w:cs="宋体"/>
                <w:color w:val="auto"/>
                <w:sz w:val="24"/>
                <w:highlight w:val="none"/>
              </w:rPr>
            </w:pPr>
            <w:r>
              <w:rPr>
                <w:rFonts w:hint="eastAsia" w:ascii="宋体" w:hAnsi="宋体" w:eastAsia="宋体" w:cs="宋体"/>
                <w:color w:val="auto"/>
                <w:sz w:val="24"/>
                <w:highlight w:val="none"/>
              </w:rPr>
              <w:t>述填报内容真实，愿按有关规定接受处理。项目管理班子机构设置、职责分工等情况另附资料说明。</w:t>
            </w:r>
          </w:p>
        </w:tc>
      </w:tr>
    </w:tbl>
    <w:p w14:paraId="256FEB43">
      <w:pPr>
        <w:spacing w:line="440" w:lineRule="atLeast"/>
        <w:rPr>
          <w:rFonts w:hint="eastAsia" w:ascii="宋体" w:hAnsi="宋体" w:eastAsia="宋体" w:cs="宋体"/>
          <w:color w:val="auto"/>
          <w:sz w:val="24"/>
          <w:highlight w:val="none"/>
        </w:rPr>
        <w:sectPr>
          <w:pgSz w:w="11850" w:h="16790"/>
          <w:pgMar w:top="1600" w:right="1180" w:bottom="920" w:left="1580" w:header="0" w:footer="721" w:gutter="0"/>
          <w:cols w:space="720" w:num="1"/>
        </w:sectPr>
      </w:pPr>
    </w:p>
    <w:p w14:paraId="4A17AF26">
      <w:pPr>
        <w:spacing w:before="48"/>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附件九：</w:t>
      </w:r>
    </w:p>
    <w:p w14:paraId="4939D82D">
      <w:pPr>
        <w:pStyle w:val="9"/>
        <w:rPr>
          <w:rFonts w:hint="eastAsia" w:ascii="宋体" w:hAnsi="宋体" w:eastAsia="宋体" w:cs="宋体"/>
          <w:b/>
          <w:color w:val="auto"/>
          <w:sz w:val="20"/>
          <w:highlight w:val="none"/>
        </w:rPr>
      </w:pPr>
    </w:p>
    <w:p w14:paraId="31748560">
      <w:pPr>
        <w:pStyle w:val="9"/>
        <w:rPr>
          <w:rFonts w:hint="eastAsia" w:ascii="宋体" w:hAnsi="宋体" w:eastAsia="宋体" w:cs="宋体"/>
          <w:b/>
          <w:color w:val="auto"/>
          <w:sz w:val="20"/>
          <w:highlight w:val="none"/>
        </w:rPr>
      </w:pPr>
    </w:p>
    <w:p w14:paraId="627D2E64">
      <w:pPr>
        <w:spacing w:before="210"/>
        <w:ind w:left="588" w:right="98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项目技术负责人简历表</w:t>
      </w:r>
    </w:p>
    <w:p w14:paraId="52949C4A">
      <w:pPr>
        <w:pStyle w:val="9"/>
        <w:spacing w:before="9"/>
        <w:rPr>
          <w:rFonts w:hint="eastAsia" w:ascii="宋体" w:hAnsi="宋体" w:eastAsia="宋体" w:cs="宋体"/>
          <w:b/>
          <w:color w:val="auto"/>
          <w:sz w:val="12"/>
          <w:highlight w:val="none"/>
        </w:rPr>
      </w:pPr>
    </w:p>
    <w:p w14:paraId="09C8C182">
      <w:pPr>
        <w:pStyle w:val="9"/>
        <w:spacing w:before="66" w:after="43"/>
        <w:ind w:left="218"/>
        <w:rPr>
          <w:rFonts w:hint="eastAsia" w:ascii="宋体" w:hAnsi="宋体" w:eastAsia="宋体" w:cs="宋体"/>
          <w:color w:val="auto"/>
          <w:highlight w:val="none"/>
        </w:rPr>
      </w:pPr>
      <w:r>
        <w:rPr>
          <w:rFonts w:hint="eastAsia" w:ascii="宋体" w:hAnsi="宋体" w:eastAsia="宋体" w:cs="宋体"/>
          <w:color w:val="auto"/>
          <w:highlight w:val="none"/>
        </w:rPr>
        <w:t>项目名称：</w:t>
      </w:r>
    </w:p>
    <w:tbl>
      <w:tblPr>
        <w:tblStyle w:val="19"/>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2415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476" w:type="dxa"/>
          </w:tcPr>
          <w:p w14:paraId="4080D14D">
            <w:pPr>
              <w:pStyle w:val="36"/>
              <w:tabs>
                <w:tab w:val="left" w:pos="486"/>
              </w:tabs>
              <w:spacing w:before="211"/>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名</w:t>
            </w:r>
          </w:p>
        </w:tc>
        <w:tc>
          <w:tcPr>
            <w:tcW w:w="1474" w:type="dxa"/>
          </w:tcPr>
          <w:p w14:paraId="0DA40270">
            <w:pPr>
              <w:pStyle w:val="36"/>
              <w:rPr>
                <w:rFonts w:hint="eastAsia" w:ascii="宋体" w:hAnsi="宋体" w:eastAsia="宋体" w:cs="宋体"/>
                <w:color w:val="auto"/>
                <w:sz w:val="24"/>
                <w:highlight w:val="none"/>
              </w:rPr>
            </w:pPr>
          </w:p>
        </w:tc>
        <w:tc>
          <w:tcPr>
            <w:tcW w:w="1479" w:type="dxa"/>
            <w:gridSpan w:val="2"/>
          </w:tcPr>
          <w:p w14:paraId="01D046F6">
            <w:pPr>
              <w:pStyle w:val="36"/>
              <w:tabs>
                <w:tab w:val="left" w:pos="856"/>
              </w:tabs>
              <w:spacing w:before="211"/>
              <w:ind w:left="376"/>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1483" w:type="dxa"/>
          </w:tcPr>
          <w:p w14:paraId="438B3B35">
            <w:pPr>
              <w:pStyle w:val="36"/>
              <w:rPr>
                <w:rFonts w:hint="eastAsia" w:ascii="宋体" w:hAnsi="宋体" w:eastAsia="宋体" w:cs="宋体"/>
                <w:color w:val="auto"/>
                <w:sz w:val="24"/>
                <w:highlight w:val="none"/>
              </w:rPr>
            </w:pPr>
          </w:p>
        </w:tc>
        <w:tc>
          <w:tcPr>
            <w:tcW w:w="1476" w:type="dxa"/>
          </w:tcPr>
          <w:p w14:paraId="7FC363CA">
            <w:pPr>
              <w:pStyle w:val="36"/>
              <w:spacing w:before="211"/>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75" w:type="dxa"/>
          </w:tcPr>
          <w:p w14:paraId="16C88EC8">
            <w:pPr>
              <w:pStyle w:val="36"/>
              <w:rPr>
                <w:rFonts w:hint="eastAsia" w:ascii="宋体" w:hAnsi="宋体" w:eastAsia="宋体" w:cs="宋体"/>
                <w:color w:val="auto"/>
                <w:sz w:val="24"/>
                <w:highlight w:val="none"/>
              </w:rPr>
            </w:pPr>
          </w:p>
        </w:tc>
      </w:tr>
      <w:tr w14:paraId="00DF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194F4300">
            <w:pPr>
              <w:pStyle w:val="36"/>
              <w:rPr>
                <w:rFonts w:hint="eastAsia" w:ascii="宋体" w:hAnsi="宋体" w:eastAsia="宋体" w:cs="宋体"/>
                <w:color w:val="auto"/>
                <w:sz w:val="24"/>
                <w:highlight w:val="none"/>
              </w:rPr>
            </w:pPr>
          </w:p>
        </w:tc>
        <w:tc>
          <w:tcPr>
            <w:tcW w:w="1474" w:type="dxa"/>
          </w:tcPr>
          <w:p w14:paraId="54BF7917">
            <w:pPr>
              <w:pStyle w:val="36"/>
              <w:rPr>
                <w:rFonts w:hint="eastAsia" w:ascii="宋体" w:hAnsi="宋体" w:eastAsia="宋体" w:cs="宋体"/>
                <w:color w:val="auto"/>
                <w:sz w:val="24"/>
                <w:highlight w:val="none"/>
              </w:rPr>
            </w:pPr>
          </w:p>
        </w:tc>
        <w:tc>
          <w:tcPr>
            <w:tcW w:w="1479" w:type="dxa"/>
            <w:gridSpan w:val="2"/>
          </w:tcPr>
          <w:p w14:paraId="2A2E2C28">
            <w:pPr>
              <w:pStyle w:val="36"/>
              <w:rPr>
                <w:rFonts w:hint="eastAsia" w:ascii="宋体" w:hAnsi="宋体" w:eastAsia="宋体" w:cs="宋体"/>
                <w:color w:val="auto"/>
                <w:sz w:val="24"/>
                <w:highlight w:val="none"/>
              </w:rPr>
            </w:pPr>
          </w:p>
        </w:tc>
        <w:tc>
          <w:tcPr>
            <w:tcW w:w="1483" w:type="dxa"/>
          </w:tcPr>
          <w:p w14:paraId="7D0F1A91">
            <w:pPr>
              <w:pStyle w:val="36"/>
              <w:rPr>
                <w:rFonts w:hint="eastAsia" w:ascii="宋体" w:hAnsi="宋体" w:eastAsia="宋体" w:cs="宋体"/>
                <w:color w:val="auto"/>
                <w:sz w:val="24"/>
                <w:highlight w:val="none"/>
              </w:rPr>
            </w:pPr>
          </w:p>
        </w:tc>
        <w:tc>
          <w:tcPr>
            <w:tcW w:w="1476" w:type="dxa"/>
          </w:tcPr>
          <w:p w14:paraId="3258B81C">
            <w:pPr>
              <w:pStyle w:val="36"/>
              <w:rPr>
                <w:rFonts w:hint="eastAsia" w:ascii="宋体" w:hAnsi="宋体" w:eastAsia="宋体" w:cs="宋体"/>
                <w:color w:val="auto"/>
                <w:sz w:val="24"/>
                <w:highlight w:val="none"/>
              </w:rPr>
            </w:pPr>
          </w:p>
        </w:tc>
        <w:tc>
          <w:tcPr>
            <w:tcW w:w="1475" w:type="dxa"/>
          </w:tcPr>
          <w:p w14:paraId="0BD8133C">
            <w:pPr>
              <w:pStyle w:val="36"/>
              <w:rPr>
                <w:rFonts w:hint="eastAsia" w:ascii="宋体" w:hAnsi="宋体" w:eastAsia="宋体" w:cs="宋体"/>
                <w:color w:val="auto"/>
                <w:sz w:val="24"/>
                <w:highlight w:val="none"/>
              </w:rPr>
            </w:pPr>
          </w:p>
        </w:tc>
      </w:tr>
      <w:tr w14:paraId="5D65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2AACF9F5">
            <w:pPr>
              <w:pStyle w:val="36"/>
              <w:tabs>
                <w:tab w:val="left" w:pos="486"/>
              </w:tabs>
              <w:spacing w:before="211"/>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务</w:t>
            </w:r>
          </w:p>
        </w:tc>
        <w:tc>
          <w:tcPr>
            <w:tcW w:w="1474" w:type="dxa"/>
          </w:tcPr>
          <w:p w14:paraId="37748C4D">
            <w:pPr>
              <w:pStyle w:val="36"/>
              <w:rPr>
                <w:rFonts w:hint="eastAsia" w:ascii="宋体" w:hAnsi="宋体" w:eastAsia="宋体" w:cs="宋体"/>
                <w:color w:val="auto"/>
                <w:sz w:val="24"/>
                <w:highlight w:val="none"/>
              </w:rPr>
            </w:pPr>
          </w:p>
        </w:tc>
        <w:tc>
          <w:tcPr>
            <w:tcW w:w="1479" w:type="dxa"/>
            <w:gridSpan w:val="2"/>
          </w:tcPr>
          <w:p w14:paraId="61C13766">
            <w:pPr>
              <w:pStyle w:val="36"/>
              <w:tabs>
                <w:tab w:val="left" w:pos="856"/>
              </w:tabs>
              <w:spacing w:before="211"/>
              <w:ind w:left="376"/>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称</w:t>
            </w:r>
          </w:p>
        </w:tc>
        <w:tc>
          <w:tcPr>
            <w:tcW w:w="1483" w:type="dxa"/>
          </w:tcPr>
          <w:p w14:paraId="69944EA3">
            <w:pPr>
              <w:pStyle w:val="36"/>
              <w:rPr>
                <w:rFonts w:hint="eastAsia" w:ascii="宋体" w:hAnsi="宋体" w:eastAsia="宋体" w:cs="宋体"/>
                <w:color w:val="auto"/>
                <w:sz w:val="24"/>
                <w:highlight w:val="none"/>
              </w:rPr>
            </w:pPr>
          </w:p>
        </w:tc>
        <w:tc>
          <w:tcPr>
            <w:tcW w:w="1476" w:type="dxa"/>
          </w:tcPr>
          <w:p w14:paraId="5EDC1262">
            <w:pPr>
              <w:pStyle w:val="36"/>
              <w:tabs>
                <w:tab w:val="left" w:pos="488"/>
              </w:tabs>
              <w:spacing w:before="211"/>
              <w:ind w:left="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历</w:t>
            </w:r>
          </w:p>
        </w:tc>
        <w:tc>
          <w:tcPr>
            <w:tcW w:w="1475" w:type="dxa"/>
          </w:tcPr>
          <w:p w14:paraId="50171F51">
            <w:pPr>
              <w:pStyle w:val="36"/>
              <w:rPr>
                <w:rFonts w:hint="eastAsia" w:ascii="宋体" w:hAnsi="宋体" w:eastAsia="宋体" w:cs="宋体"/>
                <w:color w:val="auto"/>
                <w:sz w:val="24"/>
                <w:highlight w:val="none"/>
              </w:rPr>
            </w:pPr>
          </w:p>
        </w:tc>
      </w:tr>
      <w:tr w14:paraId="1FB6C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26DEB197">
            <w:pPr>
              <w:pStyle w:val="36"/>
              <w:spacing w:before="31"/>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w:t>
            </w:r>
          </w:p>
          <w:p w14:paraId="2495AA1E">
            <w:pPr>
              <w:pStyle w:val="36"/>
              <w:spacing w:before="33" w:line="287" w:lineRule="exact"/>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p>
        </w:tc>
        <w:tc>
          <w:tcPr>
            <w:tcW w:w="2953" w:type="dxa"/>
            <w:gridSpan w:val="3"/>
          </w:tcPr>
          <w:p w14:paraId="4137B6BE">
            <w:pPr>
              <w:pStyle w:val="36"/>
              <w:rPr>
                <w:rFonts w:hint="eastAsia" w:ascii="宋体" w:hAnsi="宋体" w:eastAsia="宋体" w:cs="宋体"/>
                <w:color w:val="auto"/>
                <w:sz w:val="24"/>
                <w:highlight w:val="none"/>
              </w:rPr>
            </w:pPr>
          </w:p>
        </w:tc>
        <w:tc>
          <w:tcPr>
            <w:tcW w:w="1483" w:type="dxa"/>
          </w:tcPr>
          <w:p w14:paraId="120899D8">
            <w:pPr>
              <w:pStyle w:val="36"/>
              <w:spacing w:before="31"/>
              <w:ind w:left="118"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担任技术负</w:t>
            </w:r>
          </w:p>
          <w:p w14:paraId="4EA8423C">
            <w:pPr>
              <w:pStyle w:val="36"/>
              <w:spacing w:before="33" w:line="287" w:lineRule="exact"/>
              <w:ind w:left="118" w:right="11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责人年限</w:t>
            </w:r>
          </w:p>
        </w:tc>
        <w:tc>
          <w:tcPr>
            <w:tcW w:w="2951" w:type="dxa"/>
            <w:gridSpan w:val="2"/>
          </w:tcPr>
          <w:p w14:paraId="2E6ECEB4">
            <w:pPr>
              <w:pStyle w:val="36"/>
              <w:rPr>
                <w:rFonts w:hint="eastAsia" w:ascii="宋体" w:hAnsi="宋体" w:eastAsia="宋体" w:cs="宋体"/>
                <w:color w:val="auto"/>
                <w:sz w:val="24"/>
                <w:highlight w:val="none"/>
              </w:rPr>
            </w:pPr>
          </w:p>
        </w:tc>
      </w:tr>
      <w:tr w14:paraId="6560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21ACDB52">
            <w:pPr>
              <w:pStyle w:val="36"/>
              <w:spacing w:before="211"/>
              <w:ind w:left="3090" w:right="30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在建和已完工程项目情况</w:t>
            </w:r>
          </w:p>
        </w:tc>
      </w:tr>
      <w:tr w14:paraId="2548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1F478D3B">
            <w:pPr>
              <w:pStyle w:val="36"/>
              <w:spacing w:before="208"/>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474" w:type="dxa"/>
          </w:tcPr>
          <w:p w14:paraId="454A3FB9">
            <w:pPr>
              <w:pStyle w:val="36"/>
              <w:spacing w:before="208"/>
              <w:ind w:left="254"/>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325" w:type="dxa"/>
          </w:tcPr>
          <w:p w14:paraId="405F8C76">
            <w:pPr>
              <w:pStyle w:val="36"/>
              <w:spacing w:before="208"/>
              <w:ind w:left="182"/>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637" w:type="dxa"/>
            <w:gridSpan w:val="2"/>
          </w:tcPr>
          <w:p w14:paraId="61A89533">
            <w:pPr>
              <w:pStyle w:val="36"/>
              <w:spacing w:before="208"/>
              <w:ind w:left="108"/>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476" w:type="dxa"/>
          </w:tcPr>
          <w:p w14:paraId="1C8B5C81">
            <w:pPr>
              <w:pStyle w:val="36"/>
              <w:spacing w:before="208"/>
              <w:ind w:left="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475" w:type="dxa"/>
          </w:tcPr>
          <w:p w14:paraId="7CFC085B">
            <w:pPr>
              <w:pStyle w:val="36"/>
              <w:spacing w:before="208"/>
              <w:ind w:left="257"/>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5671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35FD7070">
            <w:pPr>
              <w:pStyle w:val="36"/>
              <w:rPr>
                <w:rFonts w:hint="eastAsia" w:ascii="宋体" w:hAnsi="宋体" w:eastAsia="宋体" w:cs="宋体"/>
                <w:color w:val="auto"/>
                <w:sz w:val="24"/>
                <w:highlight w:val="none"/>
              </w:rPr>
            </w:pPr>
          </w:p>
        </w:tc>
        <w:tc>
          <w:tcPr>
            <w:tcW w:w="1474" w:type="dxa"/>
          </w:tcPr>
          <w:p w14:paraId="4B0FA872">
            <w:pPr>
              <w:pStyle w:val="36"/>
              <w:rPr>
                <w:rFonts w:hint="eastAsia" w:ascii="宋体" w:hAnsi="宋体" w:eastAsia="宋体" w:cs="宋体"/>
                <w:color w:val="auto"/>
                <w:sz w:val="24"/>
                <w:highlight w:val="none"/>
              </w:rPr>
            </w:pPr>
          </w:p>
        </w:tc>
        <w:tc>
          <w:tcPr>
            <w:tcW w:w="1325" w:type="dxa"/>
          </w:tcPr>
          <w:p w14:paraId="62915B69">
            <w:pPr>
              <w:pStyle w:val="36"/>
              <w:rPr>
                <w:rFonts w:hint="eastAsia" w:ascii="宋体" w:hAnsi="宋体" w:eastAsia="宋体" w:cs="宋体"/>
                <w:color w:val="auto"/>
                <w:sz w:val="24"/>
                <w:highlight w:val="none"/>
              </w:rPr>
            </w:pPr>
          </w:p>
        </w:tc>
        <w:tc>
          <w:tcPr>
            <w:tcW w:w="1637" w:type="dxa"/>
            <w:gridSpan w:val="2"/>
          </w:tcPr>
          <w:p w14:paraId="38E19606">
            <w:pPr>
              <w:pStyle w:val="36"/>
              <w:rPr>
                <w:rFonts w:hint="eastAsia" w:ascii="宋体" w:hAnsi="宋体" w:eastAsia="宋体" w:cs="宋体"/>
                <w:color w:val="auto"/>
                <w:sz w:val="24"/>
                <w:highlight w:val="none"/>
              </w:rPr>
            </w:pPr>
          </w:p>
        </w:tc>
        <w:tc>
          <w:tcPr>
            <w:tcW w:w="1476" w:type="dxa"/>
          </w:tcPr>
          <w:p w14:paraId="6B27B148">
            <w:pPr>
              <w:pStyle w:val="36"/>
              <w:rPr>
                <w:rFonts w:hint="eastAsia" w:ascii="宋体" w:hAnsi="宋体" w:eastAsia="宋体" w:cs="宋体"/>
                <w:color w:val="auto"/>
                <w:sz w:val="24"/>
                <w:highlight w:val="none"/>
              </w:rPr>
            </w:pPr>
          </w:p>
        </w:tc>
        <w:tc>
          <w:tcPr>
            <w:tcW w:w="1475" w:type="dxa"/>
          </w:tcPr>
          <w:p w14:paraId="667BF8DF">
            <w:pPr>
              <w:pStyle w:val="36"/>
              <w:rPr>
                <w:rFonts w:hint="eastAsia" w:ascii="宋体" w:hAnsi="宋体" w:eastAsia="宋体" w:cs="宋体"/>
                <w:color w:val="auto"/>
                <w:sz w:val="24"/>
                <w:highlight w:val="none"/>
              </w:rPr>
            </w:pPr>
          </w:p>
        </w:tc>
      </w:tr>
    </w:tbl>
    <w:p w14:paraId="3683C46C">
      <w:pPr>
        <w:rPr>
          <w:rFonts w:hint="eastAsia" w:ascii="宋体" w:hAnsi="宋体" w:eastAsia="宋体" w:cs="宋体"/>
          <w:color w:val="auto"/>
          <w:sz w:val="24"/>
          <w:highlight w:val="none"/>
        </w:rPr>
        <w:sectPr>
          <w:pgSz w:w="11850" w:h="16790"/>
          <w:pgMar w:top="1560" w:right="1180" w:bottom="920" w:left="1580" w:header="0" w:footer="721" w:gutter="0"/>
          <w:cols w:space="720" w:num="1"/>
        </w:sectPr>
      </w:pPr>
    </w:p>
    <w:p w14:paraId="65983352">
      <w:pPr>
        <w:spacing w:before="38"/>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附件十：</w:t>
      </w:r>
    </w:p>
    <w:p w14:paraId="5C688196">
      <w:pPr>
        <w:pStyle w:val="9"/>
        <w:rPr>
          <w:rFonts w:hint="eastAsia" w:ascii="宋体" w:hAnsi="宋体" w:eastAsia="宋体" w:cs="宋体"/>
          <w:b/>
          <w:color w:val="auto"/>
          <w:sz w:val="20"/>
          <w:highlight w:val="none"/>
        </w:rPr>
      </w:pPr>
    </w:p>
    <w:p w14:paraId="5498C4F4">
      <w:pPr>
        <w:pStyle w:val="9"/>
        <w:rPr>
          <w:rFonts w:hint="eastAsia" w:ascii="宋体" w:hAnsi="宋体" w:eastAsia="宋体" w:cs="宋体"/>
          <w:b/>
          <w:color w:val="auto"/>
          <w:sz w:val="20"/>
          <w:highlight w:val="none"/>
        </w:rPr>
      </w:pPr>
    </w:p>
    <w:p w14:paraId="7DC6A1DC">
      <w:pPr>
        <w:pStyle w:val="9"/>
        <w:spacing w:before="12"/>
        <w:rPr>
          <w:rFonts w:hint="eastAsia" w:ascii="宋体" w:hAnsi="宋体" w:eastAsia="宋体" w:cs="宋体"/>
          <w:b/>
          <w:color w:val="auto"/>
          <w:sz w:val="22"/>
          <w:highlight w:val="none"/>
        </w:rPr>
      </w:pPr>
    </w:p>
    <w:p w14:paraId="4A707B88">
      <w:pPr>
        <w:spacing w:before="55"/>
        <w:ind w:left="588" w:right="98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项目管理机构配备情况辅助说明资料</w:t>
      </w:r>
    </w:p>
    <w:p w14:paraId="3F355CE7">
      <w:pPr>
        <w:pStyle w:val="9"/>
        <w:spacing w:before="9"/>
        <w:rPr>
          <w:rFonts w:hint="eastAsia" w:ascii="宋体" w:hAnsi="宋体" w:eastAsia="宋体" w:cs="宋体"/>
          <w:b/>
          <w:color w:val="auto"/>
          <w:sz w:val="12"/>
          <w:highlight w:val="none"/>
        </w:rPr>
      </w:pPr>
    </w:p>
    <w:p w14:paraId="7F1C89D6">
      <w:pPr>
        <w:pStyle w:val="9"/>
        <w:spacing w:before="66"/>
        <w:ind w:left="218"/>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3BDE2F3">
      <w:pPr>
        <w:pStyle w:val="9"/>
        <w:keepNext w:val="0"/>
        <w:keepLines w:val="0"/>
        <w:pageBreakBefore w:val="0"/>
        <w:widowControl w:val="0"/>
        <w:kinsoku/>
        <w:wordWrap/>
        <w:overflowPunct/>
        <w:topLinePunct w:val="0"/>
        <w:autoSpaceDE w:val="0"/>
        <w:autoSpaceDN w:val="0"/>
        <w:bidi w:val="0"/>
        <w:adjustRightInd w:val="0"/>
        <w:snapToGrid w:val="0"/>
        <w:spacing w:before="10"/>
        <w:textAlignment w:val="auto"/>
        <w:rPr>
          <w:rFonts w:hint="eastAsia" w:ascii="宋体" w:hAnsi="宋体" w:eastAsia="宋体" w:cs="宋体"/>
          <w:color w:val="auto"/>
          <w:sz w:val="8"/>
          <w:highlight w:val="none"/>
        </w:rPr>
      </w:pPr>
      <w:r>
        <w:rPr>
          <w:rFonts w:hint="eastAsia" w:ascii="宋体" w:hAnsi="宋体" w:eastAsia="宋体" w:cs="宋体"/>
          <w:color w:val="auto"/>
          <w:highlight w:val="none"/>
          <w:lang w:val="en-US" w:bidi="ar-SA"/>
        </w:rPr>
        <mc:AlternateContent>
          <mc:Choice Requires="wpg">
            <w:drawing>
              <wp:anchor distT="0" distB="0" distL="114300" distR="114300" simplePos="0" relativeHeight="251660288" behindDoc="1" locked="0" layoutInCell="1" allowOverlap="1">
                <wp:simplePos x="0" y="0"/>
                <wp:positionH relativeFrom="page">
                  <wp:posOffset>36195</wp:posOffset>
                </wp:positionH>
                <wp:positionV relativeFrom="paragraph">
                  <wp:posOffset>15875</wp:posOffset>
                </wp:positionV>
                <wp:extent cx="5635625" cy="5347335"/>
                <wp:effectExtent l="1270" t="1905" r="1905" b="3810"/>
                <wp:wrapTopAndBottom/>
                <wp:docPr id="4" name="Group 2"/>
                <wp:cNvGraphicFramePr/>
                <a:graphic xmlns:a="http://schemas.openxmlformats.org/drawingml/2006/main">
                  <a:graphicData uri="http://schemas.microsoft.com/office/word/2010/wordprocessingGroup">
                    <wpg:wgp>
                      <wpg:cNvGrpSpPr/>
                      <wpg:grpSpPr>
                        <a:xfrm>
                          <a:off x="0" y="0"/>
                          <a:ext cx="5635625" cy="5347335"/>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2.85pt;margin-top:1.25pt;height:421.05pt;width:443.75pt;mso-position-horizontal-relative:page;mso-wrap-distance-bottom:0pt;mso-wrap-distance-top:0pt;z-index:-251656192;mso-width-relative:page;mso-height-relative:page;" coordorigin="1685,419" coordsize="8875,8421" o:gfxdata="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R/4iotgAAAAHAQAADwAAAAAAAAABACAAAAAiAAAAZHJz&#10;L2Rvd25yZXYueG1sUEsBAhQAFAAAAAgAh07iQI2Bt8HMAwAAVRwAAA4AAAAAAAAAAQAgAAAAJwEA&#10;AGRycy9lMm9Eb2MueG1sUEsFBgAAAAAGAAYAWQEAAGUHA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76009E28">
      <w:pPr>
        <w:pStyle w:val="9"/>
        <w:spacing w:before="67" w:line="436" w:lineRule="auto"/>
        <w:ind w:left="218" w:right="611" w:firstLine="120"/>
        <w:rPr>
          <w:rFonts w:hint="eastAsia" w:ascii="宋体" w:hAnsi="宋体" w:eastAsia="宋体" w:cs="宋体"/>
          <w:color w:val="auto"/>
          <w:highlight w:val="none"/>
        </w:rPr>
      </w:pPr>
      <w:r>
        <w:rPr>
          <w:rFonts w:hint="eastAsia" w:ascii="宋体" w:hAnsi="宋体" w:eastAsia="宋体" w:cs="宋体"/>
          <w:color w:val="auto"/>
          <w:highlight w:val="none"/>
        </w:rPr>
        <w:t>注：1、辅助说明资料主要包括管理机构和机构设置、职责分工有关复印资料及投标人认为有必要提供的资料。格式不做统一规定。</w:t>
      </w:r>
    </w:p>
    <w:p w14:paraId="3D7E61DE">
      <w:pPr>
        <w:pStyle w:val="9"/>
        <w:spacing w:before="1"/>
        <w:ind w:left="818"/>
        <w:rPr>
          <w:rFonts w:hint="eastAsia" w:ascii="宋体" w:hAnsi="宋体" w:eastAsia="宋体" w:cs="宋体"/>
          <w:color w:val="auto"/>
          <w:highlight w:val="none"/>
        </w:rPr>
      </w:pPr>
      <w:r>
        <w:rPr>
          <w:rFonts w:hint="eastAsia" w:ascii="宋体" w:hAnsi="宋体" w:eastAsia="宋体" w:cs="宋体"/>
          <w:color w:val="auto"/>
          <w:highlight w:val="none"/>
        </w:rPr>
        <w:t>2、项目管理机构配备情况说明资料另附（与本投标文件一起装订）</w:t>
      </w:r>
    </w:p>
    <w:p w14:paraId="4C168C32">
      <w:pPr>
        <w:rPr>
          <w:rFonts w:hint="eastAsia" w:ascii="宋体" w:hAnsi="宋体" w:eastAsia="宋体" w:cs="宋体"/>
          <w:color w:val="auto"/>
          <w:highlight w:val="none"/>
        </w:rPr>
        <w:sectPr>
          <w:pgSz w:w="11850" w:h="16790"/>
          <w:pgMar w:top="1400" w:right="1180" w:bottom="920" w:left="1580" w:header="0" w:footer="721" w:gutter="0"/>
          <w:cols w:space="720" w:num="1"/>
        </w:sectPr>
      </w:pPr>
    </w:p>
    <w:p w14:paraId="1973ABFE">
      <w:pPr>
        <w:spacing w:before="40"/>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附件十一：</w:t>
      </w:r>
    </w:p>
    <w:p w14:paraId="5F793568">
      <w:pPr>
        <w:pStyle w:val="9"/>
        <w:spacing w:before="4"/>
        <w:rPr>
          <w:rFonts w:hint="eastAsia" w:ascii="宋体" w:hAnsi="宋体" w:eastAsia="宋体" w:cs="宋体"/>
          <w:b/>
          <w:color w:val="auto"/>
          <w:sz w:val="31"/>
          <w:highlight w:val="none"/>
        </w:rPr>
      </w:pPr>
      <w:r>
        <w:rPr>
          <w:rFonts w:hint="eastAsia" w:ascii="宋体" w:hAnsi="宋体" w:eastAsia="宋体" w:cs="宋体"/>
          <w:color w:val="auto"/>
          <w:highlight w:val="none"/>
        </w:rPr>
        <w:br w:type="column"/>
      </w:r>
    </w:p>
    <w:p w14:paraId="0D82001B">
      <w:pPr>
        <w:ind w:left="218"/>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关于资格的声明函</w:t>
      </w:r>
    </w:p>
    <w:p w14:paraId="6A2DADC0">
      <w:pPr>
        <w:rPr>
          <w:rFonts w:hint="eastAsia" w:ascii="宋体" w:hAnsi="宋体" w:eastAsia="宋体" w:cs="宋体"/>
          <w:color w:val="auto"/>
          <w:sz w:val="32"/>
          <w:highlight w:val="none"/>
        </w:rPr>
        <w:sectPr>
          <w:pgSz w:w="11850" w:h="16790"/>
          <w:pgMar w:top="1400" w:right="1180" w:bottom="920" w:left="1580" w:header="0" w:footer="721" w:gutter="0"/>
          <w:cols w:equalWidth="0" w:num="2">
            <w:col w:w="1665" w:space="1177"/>
            <w:col w:w="6248"/>
          </w:cols>
        </w:sectPr>
      </w:pPr>
    </w:p>
    <w:p w14:paraId="6FEA04E3">
      <w:pPr>
        <w:pStyle w:val="9"/>
        <w:spacing w:before="9"/>
        <w:rPr>
          <w:rFonts w:hint="eastAsia" w:ascii="宋体" w:hAnsi="宋体" w:eastAsia="宋体" w:cs="宋体"/>
          <w:b/>
          <w:color w:val="auto"/>
          <w:sz w:val="23"/>
          <w:highlight w:val="none"/>
        </w:rPr>
      </w:pPr>
    </w:p>
    <w:p w14:paraId="41F3E6F1">
      <w:pPr>
        <w:pStyle w:val="9"/>
        <w:spacing w:before="67"/>
        <w:ind w:left="218"/>
        <w:rPr>
          <w:rFonts w:hint="eastAsia" w:ascii="宋体" w:hAnsi="宋体" w:eastAsia="宋体" w:cs="宋体"/>
          <w:color w:val="auto"/>
          <w:highlight w:val="none"/>
        </w:rPr>
      </w:pPr>
      <w:r>
        <w:rPr>
          <w:rFonts w:hint="eastAsia" w:ascii="宋体" w:hAnsi="宋体" w:eastAsia="宋体" w:cs="宋体"/>
          <w:color w:val="auto"/>
          <w:highlight w:val="none"/>
        </w:rPr>
        <w:t>周口市公共资源交易中心（政府采购中心）：</w:t>
      </w:r>
    </w:p>
    <w:p w14:paraId="1F034089">
      <w:pPr>
        <w:pStyle w:val="9"/>
        <w:spacing w:before="4"/>
        <w:rPr>
          <w:rFonts w:hint="eastAsia" w:ascii="宋体" w:hAnsi="宋体" w:eastAsia="宋体" w:cs="宋体"/>
          <w:color w:val="auto"/>
          <w:sz w:val="27"/>
          <w:highlight w:val="none"/>
        </w:rPr>
      </w:pPr>
    </w:p>
    <w:p w14:paraId="1BF3979B">
      <w:pPr>
        <w:pStyle w:val="9"/>
        <w:tabs>
          <w:tab w:val="left" w:pos="3218"/>
        </w:tabs>
        <w:ind w:left="698"/>
        <w:rPr>
          <w:rFonts w:hint="eastAsia" w:ascii="宋体" w:hAnsi="宋体" w:eastAsia="宋体" w:cs="宋体"/>
          <w:color w:val="auto"/>
          <w:highlight w:val="none"/>
        </w:rPr>
      </w:pPr>
      <w:r>
        <w:rPr>
          <w:rFonts w:hint="eastAsia" w:ascii="宋体" w:hAnsi="宋体" w:eastAsia="宋体" w:cs="宋体"/>
          <w:color w:val="auto"/>
          <w:highlight w:val="none"/>
        </w:rPr>
        <w:t>关于贵方的</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项目招标邀请</w:t>
      </w:r>
      <w:r>
        <w:rPr>
          <w:rFonts w:hint="eastAsia" w:ascii="宋体" w:hAnsi="宋体" w:eastAsia="宋体" w:cs="宋体"/>
          <w:color w:val="auto"/>
          <w:spacing w:val="-12"/>
          <w:highlight w:val="none"/>
        </w:rPr>
        <w:t>，</w:t>
      </w:r>
      <w:r>
        <w:rPr>
          <w:rFonts w:hint="eastAsia" w:ascii="宋体" w:hAnsi="宋体" w:eastAsia="宋体" w:cs="宋体"/>
          <w:color w:val="auto"/>
          <w:highlight w:val="none"/>
        </w:rPr>
        <w:t>本签字人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愿意参加投标</w:t>
      </w:r>
      <w:r>
        <w:rPr>
          <w:rFonts w:hint="eastAsia" w:ascii="宋体" w:hAnsi="宋体" w:eastAsia="宋体" w:cs="宋体"/>
          <w:color w:val="auto"/>
          <w:spacing w:val="-12"/>
          <w:highlight w:val="none"/>
        </w:rPr>
        <w:t>，</w:t>
      </w:r>
      <w:r>
        <w:rPr>
          <w:rFonts w:hint="eastAsia" w:ascii="宋体" w:hAnsi="宋体" w:eastAsia="宋体" w:cs="宋体"/>
          <w:color w:val="auto"/>
          <w:highlight w:val="none"/>
        </w:rPr>
        <w:t>提供谈判</w:t>
      </w:r>
    </w:p>
    <w:p w14:paraId="1FDC013B">
      <w:pPr>
        <w:pStyle w:val="9"/>
        <w:spacing w:before="12"/>
        <w:rPr>
          <w:rFonts w:hint="eastAsia" w:ascii="宋体" w:hAnsi="宋体" w:eastAsia="宋体" w:cs="宋体"/>
          <w:color w:val="auto"/>
          <w:sz w:val="12"/>
          <w:highlight w:val="none"/>
        </w:rPr>
      </w:pPr>
    </w:p>
    <w:p w14:paraId="5D69C267">
      <w:pPr>
        <w:pStyle w:val="9"/>
        <w:spacing w:before="67" w:line="271" w:lineRule="auto"/>
        <w:ind w:left="758" w:right="1188" w:hanging="540"/>
        <w:rPr>
          <w:rFonts w:hint="eastAsia" w:ascii="宋体" w:hAnsi="宋体" w:eastAsia="宋体" w:cs="宋体"/>
          <w:color w:val="auto"/>
          <w:highlight w:val="none"/>
        </w:rPr>
      </w:pPr>
      <w:r>
        <w:rPr>
          <w:rFonts w:hint="eastAsia" w:ascii="宋体" w:hAnsi="宋体" w:eastAsia="宋体" w:cs="宋体"/>
          <w:color w:val="auto"/>
          <w:highlight w:val="none"/>
        </w:rPr>
        <w:t>项目所需的工程维修改造服务，并声明提交的下列文件是准确和真实的。1、企业法人营业执照。</w:t>
      </w:r>
    </w:p>
    <w:p w14:paraId="1840219A">
      <w:pPr>
        <w:pStyle w:val="9"/>
        <w:spacing w:before="121"/>
        <w:ind w:left="758"/>
        <w:rPr>
          <w:rFonts w:hint="eastAsia" w:ascii="宋体" w:hAnsi="宋体" w:eastAsia="宋体" w:cs="宋体"/>
          <w:color w:val="auto"/>
          <w:highlight w:val="none"/>
        </w:rPr>
      </w:pPr>
      <w:r>
        <w:rPr>
          <w:rFonts w:hint="eastAsia" w:ascii="宋体" w:hAnsi="宋体" w:eastAsia="宋体" w:cs="宋体"/>
          <w:color w:val="auto"/>
          <w:highlight w:val="none"/>
        </w:rPr>
        <w:t>2、税务登记证（多证合一的不需要提供）。</w:t>
      </w:r>
    </w:p>
    <w:p w14:paraId="5D420B38">
      <w:pPr>
        <w:pStyle w:val="9"/>
        <w:spacing w:before="158"/>
        <w:ind w:left="758"/>
        <w:rPr>
          <w:rFonts w:hint="eastAsia" w:ascii="宋体" w:hAnsi="宋体" w:eastAsia="宋体" w:cs="宋体"/>
          <w:color w:val="auto"/>
          <w:highlight w:val="none"/>
        </w:rPr>
      </w:pPr>
      <w:r>
        <w:rPr>
          <w:rFonts w:hint="eastAsia" w:ascii="宋体" w:hAnsi="宋体" w:eastAsia="宋体" w:cs="宋体"/>
          <w:color w:val="auto"/>
          <w:highlight w:val="none"/>
        </w:rPr>
        <w:t>3、组织机构代码证（多证合一的不需要提供）。</w:t>
      </w:r>
    </w:p>
    <w:p w14:paraId="2C91898B">
      <w:pPr>
        <w:pStyle w:val="9"/>
        <w:spacing w:before="161"/>
        <w:ind w:left="758"/>
        <w:rPr>
          <w:rFonts w:hint="eastAsia" w:ascii="宋体" w:hAnsi="宋体" w:eastAsia="宋体" w:cs="宋体"/>
          <w:color w:val="auto"/>
          <w:highlight w:val="none"/>
        </w:rPr>
      </w:pPr>
      <w:r>
        <w:rPr>
          <w:rFonts w:hint="eastAsia" w:ascii="宋体" w:hAnsi="宋体" w:eastAsia="宋体" w:cs="宋体"/>
          <w:color w:val="auto"/>
          <w:highlight w:val="none"/>
        </w:rPr>
        <w:t>4、法定代表人授权委托书。</w:t>
      </w:r>
    </w:p>
    <w:p w14:paraId="31126B72">
      <w:pPr>
        <w:pStyle w:val="9"/>
        <w:spacing w:before="158"/>
        <w:ind w:left="758"/>
        <w:rPr>
          <w:rFonts w:hint="eastAsia" w:ascii="宋体" w:hAnsi="宋体" w:eastAsia="宋体" w:cs="宋体"/>
          <w:color w:val="auto"/>
          <w:highlight w:val="none"/>
        </w:rPr>
      </w:pPr>
      <w:r>
        <w:rPr>
          <w:rFonts w:hint="eastAsia" w:ascii="宋体" w:hAnsi="宋体" w:eastAsia="宋体" w:cs="宋体"/>
          <w:color w:val="auto"/>
          <w:highlight w:val="none"/>
        </w:rPr>
        <w:t>5、委托代理人身份证。</w:t>
      </w:r>
    </w:p>
    <w:p w14:paraId="1F0A3D15">
      <w:pPr>
        <w:pStyle w:val="9"/>
        <w:spacing w:before="161"/>
        <w:ind w:left="758"/>
        <w:rPr>
          <w:rFonts w:hint="eastAsia" w:ascii="宋体" w:hAnsi="宋体" w:eastAsia="宋体" w:cs="宋体"/>
          <w:color w:val="auto"/>
          <w:highlight w:val="none"/>
        </w:rPr>
      </w:pPr>
      <w:r>
        <w:rPr>
          <w:rFonts w:hint="eastAsia" w:ascii="宋体" w:hAnsi="宋体" w:eastAsia="宋体" w:cs="宋体"/>
          <w:color w:val="auto"/>
          <w:highlight w:val="none"/>
        </w:rPr>
        <w:t>6、其它证明文件或证件。</w:t>
      </w:r>
    </w:p>
    <w:p w14:paraId="40BE7B36">
      <w:pPr>
        <w:pStyle w:val="9"/>
        <w:spacing w:before="158"/>
        <w:ind w:left="758"/>
        <w:rPr>
          <w:rFonts w:hint="eastAsia" w:ascii="宋体" w:hAnsi="宋体" w:eastAsia="宋体" w:cs="宋体"/>
          <w:color w:val="auto"/>
          <w:highlight w:val="none"/>
        </w:rPr>
      </w:pPr>
      <w:r>
        <w:rPr>
          <w:rFonts w:hint="eastAsia" w:ascii="宋体" w:hAnsi="宋体" w:eastAsia="宋体" w:cs="宋体"/>
          <w:color w:val="auto"/>
          <w:highlight w:val="none"/>
        </w:rPr>
        <w:t>本签字人确认资格文件中的说明是真实的、准确的。</w:t>
      </w:r>
    </w:p>
    <w:p w14:paraId="6CEB5598">
      <w:pPr>
        <w:pStyle w:val="9"/>
        <w:rPr>
          <w:rFonts w:hint="eastAsia" w:ascii="宋体" w:hAnsi="宋体" w:eastAsia="宋体" w:cs="宋体"/>
          <w:color w:val="auto"/>
          <w:highlight w:val="none"/>
        </w:rPr>
      </w:pPr>
    </w:p>
    <w:p w14:paraId="2FE2FEB8">
      <w:pPr>
        <w:pStyle w:val="9"/>
        <w:rPr>
          <w:rFonts w:hint="eastAsia" w:ascii="宋体" w:hAnsi="宋体" w:eastAsia="宋体" w:cs="宋体"/>
          <w:color w:val="auto"/>
          <w:highlight w:val="none"/>
        </w:rPr>
      </w:pPr>
    </w:p>
    <w:p w14:paraId="38BD5E3F">
      <w:pPr>
        <w:pStyle w:val="9"/>
        <w:tabs>
          <w:tab w:val="left" w:pos="5018"/>
        </w:tabs>
        <w:spacing w:before="167"/>
        <w:ind w:left="698"/>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lang w:val="en-US" w:eastAsia="zh-CN"/>
        </w:rPr>
        <w:t>电子</w:t>
      </w:r>
      <w:r>
        <w:rPr>
          <w:rFonts w:hint="eastAsia" w:ascii="宋体" w:hAnsi="宋体" w:eastAsia="宋体" w:cs="宋体"/>
          <w:color w:val="auto"/>
          <w:highlight w:val="none"/>
          <w:u w:val="single"/>
        </w:rPr>
        <w:t>公章</w:t>
      </w:r>
      <w:r>
        <w:rPr>
          <w:rFonts w:hint="eastAsia" w:ascii="宋体" w:hAnsi="宋体" w:eastAsia="宋体" w:cs="宋体"/>
          <w:color w:val="auto"/>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t>法定代表人（签字）：</w:t>
      </w:r>
    </w:p>
    <w:p w14:paraId="5C2DB1F1">
      <w:pPr>
        <w:pStyle w:val="9"/>
        <w:tabs>
          <w:tab w:val="left" w:pos="4958"/>
        </w:tabs>
        <w:spacing w:before="161"/>
        <w:ind w:left="758"/>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rPr>
        <w:tab/>
      </w:r>
      <w:r>
        <w:rPr>
          <w:rFonts w:hint="eastAsia" w:ascii="宋体" w:hAnsi="宋体" w:eastAsia="宋体" w:cs="宋体"/>
          <w:color w:val="auto"/>
          <w:highlight w:val="none"/>
        </w:rPr>
        <w:t>邮政编码：</w:t>
      </w:r>
    </w:p>
    <w:p w14:paraId="79189031">
      <w:pPr>
        <w:pStyle w:val="9"/>
        <w:tabs>
          <w:tab w:val="left" w:pos="4958"/>
          <w:tab w:val="left" w:pos="5078"/>
        </w:tabs>
        <w:spacing w:before="158" w:line="364" w:lineRule="auto"/>
        <w:ind w:left="758" w:right="3287"/>
        <w:rPr>
          <w:rFonts w:hint="eastAsia" w:ascii="宋体" w:hAnsi="宋体" w:eastAsia="宋体" w:cs="宋体"/>
          <w:color w:val="auto"/>
          <w:highlight w:val="none"/>
        </w:rPr>
      </w:pPr>
      <w:r>
        <w:rPr>
          <w:rFonts w:hint="eastAsia" w:ascii="宋体" w:hAnsi="宋体" w:eastAsia="宋体" w:cs="宋体"/>
          <w:color w:val="auto"/>
          <w:highlight w:val="none"/>
        </w:rPr>
        <w:t>签字人姓名、职务（印刷体）：</w:t>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54A0A479">
      <w:pPr>
        <w:pStyle w:val="9"/>
        <w:tabs>
          <w:tab w:val="left" w:pos="4958"/>
          <w:tab w:val="left" w:pos="5078"/>
        </w:tabs>
        <w:spacing w:before="158" w:line="364" w:lineRule="auto"/>
        <w:ind w:left="758" w:right="3287"/>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rPr>
        <w:tab/>
      </w:r>
      <w:r>
        <w:rPr>
          <w:rFonts w:hint="eastAsia" w:ascii="宋体" w:hAnsi="宋体" w:eastAsia="宋体" w:cs="宋体"/>
          <w:color w:val="auto"/>
          <w:highlight w:val="none"/>
        </w:rPr>
        <w:t>传真：</w:t>
      </w:r>
    </w:p>
    <w:p w14:paraId="53376B29">
      <w:pPr>
        <w:pStyle w:val="9"/>
        <w:spacing w:line="306" w:lineRule="exact"/>
        <w:ind w:left="758"/>
        <w:rPr>
          <w:rFonts w:hint="eastAsia" w:ascii="宋体" w:hAnsi="宋体" w:eastAsia="宋体" w:cs="宋体"/>
          <w:color w:val="auto"/>
          <w:highlight w:val="none"/>
        </w:rPr>
      </w:pPr>
      <w:r>
        <w:rPr>
          <w:rFonts w:hint="eastAsia" w:ascii="宋体" w:hAnsi="宋体" w:eastAsia="宋体" w:cs="宋体"/>
          <w:color w:val="auto"/>
          <w:highlight w:val="none"/>
        </w:rPr>
        <w:t>日期：</w:t>
      </w:r>
    </w:p>
    <w:p w14:paraId="3B877941">
      <w:pPr>
        <w:spacing w:line="306" w:lineRule="exact"/>
        <w:rPr>
          <w:rFonts w:hint="eastAsia" w:ascii="宋体" w:hAnsi="宋体" w:eastAsia="宋体" w:cs="宋体"/>
          <w:color w:val="auto"/>
          <w:highlight w:val="none"/>
        </w:rPr>
        <w:sectPr>
          <w:type w:val="continuous"/>
          <w:pgSz w:w="11850" w:h="16790"/>
          <w:pgMar w:top="1600" w:right="1180" w:bottom="920" w:left="1580" w:header="720" w:footer="720" w:gutter="0"/>
          <w:cols w:space="720" w:num="1"/>
        </w:sectPr>
      </w:pPr>
    </w:p>
    <w:p w14:paraId="7DB7757F">
      <w:pPr>
        <w:spacing w:before="40"/>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附件十二：</w:t>
      </w:r>
    </w:p>
    <w:p w14:paraId="63A887D1">
      <w:pPr>
        <w:pStyle w:val="9"/>
        <w:spacing w:before="5"/>
        <w:rPr>
          <w:rFonts w:hint="eastAsia" w:ascii="宋体" w:hAnsi="宋体" w:eastAsia="宋体" w:cs="宋体"/>
          <w:b/>
          <w:color w:val="auto"/>
          <w:highlight w:val="none"/>
        </w:rPr>
      </w:pPr>
    </w:p>
    <w:p w14:paraId="534AAD46">
      <w:pPr>
        <w:spacing w:before="54"/>
        <w:ind w:left="592" w:right="985"/>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w:t>
      </w:r>
    </w:p>
    <w:p w14:paraId="798D6194">
      <w:pPr>
        <w:pStyle w:val="9"/>
        <w:spacing w:before="9"/>
        <w:rPr>
          <w:rFonts w:hint="eastAsia" w:ascii="宋体" w:hAnsi="宋体" w:eastAsia="宋体" w:cs="宋体"/>
          <w:b/>
          <w:color w:val="auto"/>
          <w:sz w:val="32"/>
          <w:highlight w:val="none"/>
        </w:rPr>
      </w:pPr>
    </w:p>
    <w:p w14:paraId="56F339C4">
      <w:pPr>
        <w:pStyle w:val="9"/>
        <w:tabs>
          <w:tab w:val="left" w:pos="6393"/>
        </w:tabs>
        <w:ind w:left="218"/>
        <w:rPr>
          <w:rFonts w:hint="eastAsia" w:ascii="宋体" w:hAnsi="宋体" w:eastAsia="宋体" w:cs="宋体"/>
          <w:color w:val="auto"/>
          <w:highlight w:val="none"/>
        </w:rPr>
      </w:pPr>
      <w:r>
        <w:rPr>
          <w:rFonts w:hint="eastAsia" w:ascii="宋体" w:hAnsi="宋体" w:eastAsia="宋体" w:cs="宋体"/>
          <w:color w:val="auto"/>
          <w:spacing w:val="-1"/>
          <w:highlight w:val="none"/>
        </w:rPr>
        <w:t>委</w:t>
      </w:r>
      <w:r>
        <w:rPr>
          <w:rFonts w:hint="eastAsia" w:ascii="宋体" w:hAnsi="宋体" w:eastAsia="宋体" w:cs="宋体"/>
          <w:color w:val="auto"/>
          <w:highlight w:val="none"/>
        </w:rPr>
        <w:t>托单位：</w:t>
      </w:r>
      <w:r>
        <w:rPr>
          <w:rFonts w:hint="eastAsia" w:ascii="宋体" w:hAnsi="宋体" w:eastAsia="宋体" w:cs="宋体"/>
          <w:color w:val="auto"/>
          <w:highlight w:val="none"/>
          <w:u w:val="single"/>
        </w:rPr>
        <w:tab/>
      </w:r>
    </w:p>
    <w:p w14:paraId="297A36CE">
      <w:pPr>
        <w:pStyle w:val="9"/>
        <w:spacing w:before="1"/>
        <w:rPr>
          <w:rFonts w:hint="eastAsia" w:ascii="宋体" w:hAnsi="宋体" w:eastAsia="宋体" w:cs="宋体"/>
          <w:color w:val="auto"/>
          <w:sz w:val="21"/>
          <w:highlight w:val="none"/>
        </w:rPr>
      </w:pPr>
    </w:p>
    <w:p w14:paraId="19911DEA">
      <w:pPr>
        <w:pStyle w:val="9"/>
        <w:tabs>
          <w:tab w:val="left" w:pos="937"/>
          <w:tab w:val="left" w:pos="6033"/>
          <w:tab w:val="left" w:pos="8530"/>
        </w:tabs>
        <w:spacing w:before="74"/>
        <w:ind w:left="218"/>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highlight w:val="none"/>
          <w:u w:val="single"/>
        </w:rPr>
        <w:tab/>
      </w: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ab/>
      </w:r>
    </w:p>
    <w:p w14:paraId="63201C53">
      <w:pPr>
        <w:pStyle w:val="9"/>
        <w:spacing w:before="10"/>
        <w:rPr>
          <w:rFonts w:hint="eastAsia" w:ascii="宋体" w:hAnsi="宋体" w:eastAsia="宋体" w:cs="宋体"/>
          <w:color w:val="auto"/>
          <w:sz w:val="20"/>
          <w:highlight w:val="none"/>
        </w:rPr>
      </w:pPr>
    </w:p>
    <w:p w14:paraId="54256756">
      <w:pPr>
        <w:pStyle w:val="9"/>
        <w:tabs>
          <w:tab w:val="left" w:pos="3249"/>
          <w:tab w:val="left" w:pos="3489"/>
          <w:tab w:val="left" w:pos="4721"/>
          <w:tab w:val="left" w:pos="6792"/>
          <w:tab w:val="left" w:pos="7513"/>
          <w:tab w:val="left" w:pos="8233"/>
        </w:tabs>
        <w:spacing w:before="74"/>
        <w:ind w:left="218"/>
        <w:rPr>
          <w:rFonts w:hint="eastAsia" w:ascii="宋体" w:hAnsi="宋体" w:eastAsia="宋体" w:cs="宋体"/>
          <w:color w:val="auto"/>
          <w:highlight w:val="none"/>
        </w:rPr>
      </w:pPr>
      <w:r>
        <w:rPr>
          <w:rFonts w:hint="eastAsia" w:ascii="宋体" w:hAnsi="宋体" w:eastAsia="宋体" w:cs="宋体"/>
          <w:color w:val="auto"/>
          <w:highlight w:val="none"/>
        </w:rPr>
        <w:t>受托人姓名</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ab/>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出生日期</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4CD9C26A">
      <w:pPr>
        <w:pStyle w:val="9"/>
        <w:rPr>
          <w:rFonts w:hint="eastAsia" w:ascii="宋体" w:hAnsi="宋体" w:eastAsia="宋体" w:cs="宋体"/>
          <w:color w:val="auto"/>
          <w:sz w:val="19"/>
          <w:highlight w:val="none"/>
        </w:rPr>
      </w:pPr>
    </w:p>
    <w:p w14:paraId="11E350BA">
      <w:pPr>
        <w:pStyle w:val="9"/>
        <w:tabs>
          <w:tab w:val="left" w:pos="5433"/>
          <w:tab w:val="left" w:pos="8530"/>
        </w:tabs>
        <w:spacing w:before="74"/>
        <w:ind w:left="218"/>
        <w:rPr>
          <w:rFonts w:hint="eastAsia" w:ascii="宋体" w:hAnsi="宋体" w:eastAsia="宋体" w:cs="宋体"/>
          <w:color w:val="auto"/>
          <w:highlight w:val="none"/>
        </w:rPr>
      </w:pPr>
      <w:r>
        <w:rPr>
          <w:rFonts w:hint="eastAsia" w:ascii="宋体" w:hAnsi="宋体" w:eastAsia="宋体" w:cs="宋体"/>
          <w:color w:val="auto"/>
          <w:highlight w:val="none"/>
        </w:rPr>
        <w:t>所在单位：</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ab/>
      </w:r>
    </w:p>
    <w:p w14:paraId="10A32883">
      <w:pPr>
        <w:pStyle w:val="9"/>
        <w:spacing w:before="10"/>
        <w:rPr>
          <w:rFonts w:hint="eastAsia" w:ascii="宋体" w:hAnsi="宋体" w:eastAsia="宋体" w:cs="宋体"/>
          <w:color w:val="auto"/>
          <w:sz w:val="20"/>
          <w:highlight w:val="none"/>
        </w:rPr>
      </w:pPr>
    </w:p>
    <w:p w14:paraId="1CE709B1">
      <w:pPr>
        <w:pStyle w:val="9"/>
        <w:tabs>
          <w:tab w:val="left" w:pos="4113"/>
          <w:tab w:val="left" w:pos="5378"/>
          <w:tab w:val="left" w:pos="8530"/>
        </w:tabs>
        <w:spacing w:before="74" w:line="256" w:lineRule="auto"/>
        <w:ind w:left="698" w:right="556" w:hanging="480"/>
        <w:rPr>
          <w:rFonts w:hint="eastAsia" w:ascii="宋体" w:hAnsi="宋体" w:eastAsia="宋体" w:cs="宋体"/>
          <w:color w:val="auto"/>
          <w:highlight w:val="none"/>
        </w:rPr>
      </w:pPr>
      <w:r>
        <w:rPr>
          <w:rFonts w:hint="eastAsia" w:ascii="宋体" w:hAnsi="宋体" w:eastAsia="宋体" w:cs="宋体"/>
          <w:color w:val="auto"/>
          <w:highlight w:val="none"/>
        </w:rPr>
        <w:t>身份证：</w:t>
      </w:r>
      <w:r>
        <w:rPr>
          <w:rFonts w:hint="eastAsia" w:ascii="宋体" w:hAnsi="宋体" w:eastAsia="宋体" w:cs="宋体"/>
          <w:color w:val="auto"/>
          <w:highlight w:val="none"/>
          <w:u w:val="single"/>
        </w:rPr>
        <w:tab/>
      </w:r>
      <w:r>
        <w:rPr>
          <w:rFonts w:hint="eastAsia" w:ascii="宋体" w:hAnsi="宋体" w:eastAsia="宋体" w:cs="宋体"/>
          <w:color w:val="auto"/>
          <w:highlight w:val="none"/>
        </w:rPr>
        <w:t>现住：</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兹委托受托人代表我单位参加</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项目谈判事宜</w:t>
      </w:r>
      <w:r>
        <w:rPr>
          <w:rFonts w:hint="eastAsia" w:ascii="宋体" w:hAnsi="宋体" w:eastAsia="宋体" w:cs="宋体"/>
          <w:color w:val="auto"/>
          <w:spacing w:val="-24"/>
          <w:highlight w:val="none"/>
        </w:rPr>
        <w:t>，</w:t>
      </w:r>
      <w:r>
        <w:rPr>
          <w:rFonts w:hint="eastAsia" w:ascii="宋体" w:hAnsi="宋体" w:eastAsia="宋体" w:cs="宋体"/>
          <w:color w:val="auto"/>
          <w:highlight w:val="none"/>
        </w:rPr>
        <w:t>并授权其全权</w:t>
      </w:r>
    </w:p>
    <w:p w14:paraId="60A5E9C2">
      <w:pPr>
        <w:pStyle w:val="9"/>
        <w:spacing w:line="297" w:lineRule="exact"/>
        <w:ind w:left="218"/>
        <w:rPr>
          <w:rFonts w:hint="eastAsia" w:ascii="宋体" w:hAnsi="宋体" w:eastAsia="宋体" w:cs="宋体"/>
          <w:color w:val="auto"/>
          <w:highlight w:val="none"/>
        </w:rPr>
      </w:pPr>
      <w:r>
        <w:rPr>
          <w:rFonts w:hint="eastAsia" w:ascii="宋体" w:hAnsi="宋体" w:eastAsia="宋体" w:cs="宋体"/>
          <w:color w:val="auto"/>
          <w:highlight w:val="none"/>
        </w:rPr>
        <w:t>办理以下事宜：</w:t>
      </w:r>
    </w:p>
    <w:p w14:paraId="5C8F4F9B">
      <w:pPr>
        <w:pStyle w:val="9"/>
        <w:spacing w:before="12"/>
        <w:ind w:left="698"/>
        <w:rPr>
          <w:rFonts w:hint="eastAsia" w:ascii="宋体" w:hAnsi="宋体" w:eastAsia="宋体" w:cs="宋体"/>
          <w:color w:val="auto"/>
          <w:highlight w:val="none"/>
        </w:rPr>
      </w:pPr>
      <w:r>
        <w:rPr>
          <w:rFonts w:hint="eastAsia" w:ascii="宋体" w:hAnsi="宋体" w:eastAsia="宋体" w:cs="宋体"/>
          <w:color w:val="auto"/>
          <w:highlight w:val="none"/>
        </w:rPr>
        <w:t>1、参加谈判活动。</w:t>
      </w:r>
    </w:p>
    <w:p w14:paraId="54A739B7">
      <w:pPr>
        <w:pStyle w:val="9"/>
        <w:spacing w:before="14"/>
        <w:ind w:left="698"/>
        <w:rPr>
          <w:rFonts w:hint="eastAsia" w:ascii="宋体" w:hAnsi="宋体" w:eastAsia="宋体" w:cs="宋体"/>
          <w:color w:val="auto"/>
          <w:highlight w:val="none"/>
        </w:rPr>
      </w:pPr>
      <w:r>
        <w:rPr>
          <w:rFonts w:hint="eastAsia" w:ascii="宋体" w:hAnsi="宋体" w:eastAsia="宋体" w:cs="宋体"/>
          <w:color w:val="auto"/>
          <w:highlight w:val="none"/>
        </w:rPr>
        <w:t>2、出席谈判会议。</w:t>
      </w:r>
    </w:p>
    <w:p w14:paraId="09D649AB">
      <w:pPr>
        <w:pStyle w:val="9"/>
        <w:spacing w:before="12"/>
        <w:ind w:left="698"/>
        <w:rPr>
          <w:rFonts w:hint="eastAsia" w:ascii="宋体" w:hAnsi="宋体" w:eastAsia="宋体" w:cs="宋体"/>
          <w:color w:val="auto"/>
          <w:highlight w:val="none"/>
        </w:rPr>
      </w:pPr>
      <w:r>
        <w:rPr>
          <w:rFonts w:hint="eastAsia" w:ascii="宋体" w:hAnsi="宋体" w:eastAsia="宋体" w:cs="宋体"/>
          <w:color w:val="auto"/>
          <w:highlight w:val="none"/>
        </w:rPr>
        <w:t>3、确定谈判采购的最终报价。</w:t>
      </w:r>
    </w:p>
    <w:p w14:paraId="4FB1B60C">
      <w:pPr>
        <w:pStyle w:val="9"/>
        <w:spacing w:before="11"/>
        <w:ind w:left="698"/>
        <w:rPr>
          <w:rFonts w:hint="eastAsia" w:ascii="宋体" w:hAnsi="宋体" w:eastAsia="宋体" w:cs="宋体"/>
          <w:color w:val="auto"/>
          <w:highlight w:val="none"/>
        </w:rPr>
      </w:pPr>
      <w:r>
        <w:rPr>
          <w:rFonts w:hint="eastAsia" w:ascii="宋体" w:hAnsi="宋体" w:eastAsia="宋体" w:cs="宋体"/>
          <w:color w:val="auto"/>
          <w:highlight w:val="none"/>
        </w:rPr>
        <w:t>4、签订与成交事宜有关的合同。</w:t>
      </w:r>
    </w:p>
    <w:p w14:paraId="108C57F8">
      <w:pPr>
        <w:pStyle w:val="9"/>
        <w:spacing w:before="14" w:line="249" w:lineRule="auto"/>
        <w:ind w:left="698" w:right="588"/>
        <w:rPr>
          <w:rFonts w:hint="eastAsia" w:ascii="宋体" w:hAnsi="宋体" w:eastAsia="宋体" w:cs="宋体"/>
          <w:color w:val="auto"/>
          <w:highlight w:val="none"/>
        </w:rPr>
      </w:pPr>
      <w:r>
        <w:rPr>
          <w:rFonts w:hint="eastAsia" w:ascii="宋体" w:hAnsi="宋体" w:eastAsia="宋体" w:cs="宋体"/>
          <w:color w:val="auto"/>
          <w:highlight w:val="none"/>
        </w:rPr>
        <w:t>5、负责合同的履行、服务以及在合同履行过程中有关事宜的洽谈和处理。受托人在办理上述事宜过程中以其自己的名义签署的所有文件我单位均予</w:t>
      </w:r>
    </w:p>
    <w:p w14:paraId="70229BED">
      <w:pPr>
        <w:pStyle w:val="9"/>
        <w:spacing w:line="307" w:lineRule="exact"/>
        <w:ind w:left="218"/>
        <w:rPr>
          <w:rFonts w:hint="eastAsia" w:ascii="宋体" w:hAnsi="宋体" w:eastAsia="宋体" w:cs="宋体"/>
          <w:color w:val="auto"/>
          <w:highlight w:val="none"/>
        </w:rPr>
      </w:pPr>
      <w:r>
        <w:rPr>
          <w:rFonts w:hint="eastAsia" w:ascii="宋体" w:hAnsi="宋体" w:eastAsia="宋体" w:cs="宋体"/>
          <w:color w:val="auto"/>
          <w:highlight w:val="none"/>
        </w:rPr>
        <w:t>以承认。</w:t>
      </w:r>
    </w:p>
    <w:p w14:paraId="53DDB654">
      <w:pPr>
        <w:pStyle w:val="9"/>
        <w:spacing w:before="15"/>
        <w:ind w:left="698"/>
        <w:rPr>
          <w:rFonts w:hint="eastAsia" w:ascii="宋体" w:hAnsi="宋体" w:eastAsia="宋体" w:cs="宋体"/>
          <w:color w:val="auto"/>
          <w:highlight w:val="none"/>
        </w:rPr>
      </w:pPr>
      <w:r>
        <w:rPr>
          <w:rFonts w:hint="eastAsia" w:ascii="宋体" w:hAnsi="宋体" w:eastAsia="宋体" w:cs="宋体"/>
          <w:color w:val="auto"/>
          <w:highlight w:val="none"/>
        </w:rPr>
        <w:t>受托人无转委托权。</w:t>
      </w:r>
    </w:p>
    <w:p w14:paraId="44B8C394">
      <w:pPr>
        <w:pStyle w:val="9"/>
        <w:tabs>
          <w:tab w:val="left" w:pos="2498"/>
          <w:tab w:val="left" w:pos="4298"/>
        </w:tabs>
        <w:spacing w:before="11" w:line="480" w:lineRule="auto"/>
        <w:ind w:left="698" w:right="4548"/>
        <w:rPr>
          <w:rFonts w:hint="eastAsia" w:ascii="宋体" w:hAnsi="宋体" w:eastAsia="宋体" w:cs="宋体"/>
          <w:color w:val="auto"/>
          <w:highlight w:val="none"/>
        </w:rPr>
      </w:pPr>
      <w:r>
        <w:rPr>
          <w:rFonts w:hint="eastAsia" w:ascii="宋体" w:hAnsi="宋体" w:eastAsia="宋体" w:cs="宋体"/>
          <w:color w:val="auto"/>
          <w:highlight w:val="none"/>
        </w:rPr>
        <w:t>委托期限：至上述事宜处理完毕止</w:t>
      </w:r>
      <w:r>
        <w:rPr>
          <w:rFonts w:hint="eastAsia" w:ascii="宋体" w:hAnsi="宋体" w:eastAsia="宋体" w:cs="宋体"/>
          <w:color w:val="auto"/>
          <w:spacing w:val="-18"/>
          <w:highlight w:val="none"/>
        </w:rPr>
        <w:t>。</w:t>
      </w:r>
      <w:r>
        <w:rPr>
          <w:rFonts w:hint="eastAsia" w:ascii="宋体" w:hAnsi="宋体" w:eastAsia="宋体" w:cs="宋体"/>
          <w:color w:val="auto"/>
          <w:highlight w:val="none"/>
        </w:rPr>
        <w:t>委托单位：</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电子</w:t>
      </w:r>
      <w:r>
        <w:rPr>
          <w:rFonts w:hint="eastAsia" w:ascii="宋体" w:hAnsi="宋体" w:eastAsia="宋体" w:cs="宋体"/>
          <w:color w:val="auto"/>
          <w:highlight w:val="none"/>
          <w:u w:val="single"/>
        </w:rPr>
        <w:t>公章）</w:t>
      </w:r>
      <w:r>
        <w:rPr>
          <w:rFonts w:hint="eastAsia" w:ascii="宋体" w:hAnsi="宋体" w:eastAsia="宋体" w:cs="宋体"/>
          <w:color w:val="auto"/>
          <w:highlight w:val="none"/>
          <w:u w:val="single"/>
        </w:rPr>
        <w:tab/>
      </w:r>
    </w:p>
    <w:p w14:paraId="5845E5CB">
      <w:pPr>
        <w:pStyle w:val="9"/>
        <w:tabs>
          <w:tab w:val="left" w:pos="2498"/>
          <w:tab w:val="left" w:pos="4298"/>
        </w:tabs>
        <w:spacing w:before="6"/>
        <w:ind w:left="698"/>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电子</w:t>
      </w:r>
      <w:r>
        <w:rPr>
          <w:rFonts w:hint="eastAsia" w:ascii="宋体" w:hAnsi="宋体" w:eastAsia="宋体" w:cs="宋体"/>
          <w:color w:val="auto"/>
          <w:highlight w:val="none"/>
          <w:u w:val="single"/>
        </w:rPr>
        <w:t>签字）</w:t>
      </w:r>
      <w:r>
        <w:rPr>
          <w:rFonts w:hint="eastAsia" w:ascii="宋体" w:hAnsi="宋体" w:eastAsia="宋体" w:cs="宋体"/>
          <w:color w:val="auto"/>
          <w:highlight w:val="none"/>
          <w:u w:val="single"/>
        </w:rPr>
        <w:tab/>
      </w:r>
    </w:p>
    <w:p w14:paraId="1CCCBF6F">
      <w:pPr>
        <w:pStyle w:val="9"/>
        <w:rPr>
          <w:rFonts w:hint="eastAsia" w:ascii="宋体" w:hAnsi="宋体" w:eastAsia="宋体" w:cs="宋体"/>
          <w:color w:val="auto"/>
          <w:sz w:val="20"/>
          <w:highlight w:val="none"/>
        </w:rPr>
      </w:pPr>
    </w:p>
    <w:p w14:paraId="54549337">
      <w:pPr>
        <w:pStyle w:val="9"/>
        <w:rPr>
          <w:rFonts w:hint="eastAsia" w:ascii="宋体" w:hAnsi="宋体" w:eastAsia="宋体" w:cs="宋体"/>
          <w:color w:val="auto"/>
          <w:sz w:val="20"/>
          <w:highlight w:val="none"/>
        </w:rPr>
      </w:pPr>
    </w:p>
    <w:p w14:paraId="455744B2">
      <w:pPr>
        <w:pStyle w:val="9"/>
        <w:spacing w:before="2"/>
        <w:rPr>
          <w:rFonts w:hint="eastAsia" w:ascii="宋体" w:hAnsi="宋体" w:eastAsia="宋体" w:cs="宋体"/>
          <w:color w:val="auto"/>
          <w:sz w:val="27"/>
          <w:highlight w:val="none"/>
        </w:rPr>
      </w:pPr>
    </w:p>
    <w:p w14:paraId="2BD2308C">
      <w:pPr>
        <w:pStyle w:val="9"/>
        <w:tabs>
          <w:tab w:val="left" w:pos="817"/>
          <w:tab w:val="left" w:pos="1537"/>
          <w:tab w:val="left" w:pos="2258"/>
        </w:tabs>
        <w:spacing w:before="67"/>
        <w:ind w:left="218"/>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33E11F51">
      <w:pPr>
        <w:rPr>
          <w:rFonts w:hint="eastAsia" w:ascii="宋体" w:hAnsi="宋体" w:eastAsia="宋体" w:cs="宋体"/>
          <w:color w:val="auto"/>
          <w:highlight w:val="none"/>
        </w:rPr>
        <w:sectPr>
          <w:pgSz w:w="11850" w:h="16790"/>
          <w:pgMar w:top="1400" w:right="1180" w:bottom="920" w:left="1580" w:header="0" w:footer="721" w:gutter="0"/>
          <w:cols w:space="720" w:num="1"/>
        </w:sectPr>
      </w:pPr>
    </w:p>
    <w:p w14:paraId="4DF17D02">
      <w:pPr>
        <w:spacing w:before="40"/>
        <w:ind w:left="218"/>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附件十三:</w:t>
      </w:r>
    </w:p>
    <w:p w14:paraId="2B8B9086">
      <w:pPr>
        <w:spacing w:line="380" w:lineRule="exact"/>
        <w:jc w:val="center"/>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中小企业声明函（工程、服务）</w:t>
      </w:r>
    </w:p>
    <w:p w14:paraId="04F688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zh-CN" w:eastAsia="zh-CN" w:bidi="zh-CN"/>
        </w:rPr>
      </w:pPr>
    </w:p>
    <w:p w14:paraId="088FD2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46214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（标的名称），属于（采购文件中明确的所属行业）； 承建（承接）企业为（企业名称），从业人员</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人，营业收入为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万元，资产总额为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 xml:space="preserve">万元1，属于（中型企业、小型企业、微型企业）； </w:t>
      </w:r>
    </w:p>
    <w:p w14:paraId="40B8D7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2.</w:t>
      </w:r>
      <w:r>
        <w:rPr>
          <w:rFonts w:hint="eastAsia" w:ascii="宋体" w:hAnsi="宋体" w:eastAsia="宋体" w:cs="宋体"/>
          <w:color w:val="auto"/>
          <w:sz w:val="24"/>
          <w:szCs w:val="24"/>
          <w:highlight w:val="none"/>
          <w:lang w:val="zh-CN" w:eastAsia="zh-CN" w:bidi="zh-CN"/>
        </w:rPr>
        <w:t>（标的名称），属于（采购文件中明确的所属行业）； 承建（承接）企业为（企业名称），从业人员</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 xml:space="preserve"> 人，营业收入为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万元，资产总额为</w:t>
      </w:r>
      <w:r>
        <w:rPr>
          <w:rFonts w:hint="eastAsia" w:ascii="宋体" w:hAnsi="宋体" w:eastAsia="宋体" w:cs="宋体"/>
          <w:color w:val="auto"/>
          <w:sz w:val="24"/>
          <w:szCs w:val="24"/>
          <w:highlight w:val="none"/>
          <w:lang w:val="en-US" w:eastAsia="zh-CN" w:bidi="zh-CN"/>
        </w:rPr>
        <w:t xml:space="preserve">    </w:t>
      </w:r>
      <w:r>
        <w:rPr>
          <w:rFonts w:hint="eastAsia" w:ascii="宋体" w:hAnsi="宋体" w:eastAsia="宋体" w:cs="宋体"/>
          <w:color w:val="auto"/>
          <w:sz w:val="24"/>
          <w:szCs w:val="24"/>
          <w:highlight w:val="none"/>
          <w:lang w:val="zh-CN" w:eastAsia="zh-CN" w:bidi="zh-CN"/>
        </w:rPr>
        <w:t>万元，属于（中型企业、 小型企业、微型企业）； ……</w:t>
      </w:r>
    </w:p>
    <w:p w14:paraId="5E9C0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以上企业，不属于大企业的分支机构，不存在控股股东 为大企业的情形，也不存在与大企业的负责人为同一人的情形。</w:t>
      </w:r>
    </w:p>
    <w:p w14:paraId="23339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本企业对上述声明内容的真实性负责。如有虚假，将依 法承担相应责任。 </w:t>
      </w:r>
    </w:p>
    <w:p w14:paraId="325A4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企业名称（盖章）： </w:t>
      </w:r>
    </w:p>
    <w:p w14:paraId="1C3669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 xml:space="preserve">日 期： </w:t>
      </w:r>
    </w:p>
    <w:p w14:paraId="53F722CB">
      <w:pPr>
        <w:pStyle w:val="8"/>
        <w:rPr>
          <w:rFonts w:hint="eastAsia" w:ascii="宋体" w:hAnsi="宋体" w:eastAsia="宋体" w:cs="宋体"/>
          <w:color w:val="auto"/>
          <w:sz w:val="24"/>
          <w:szCs w:val="24"/>
          <w:highlight w:val="none"/>
          <w:lang w:val="en-US" w:eastAsia="zh-CN" w:bidi="zh-CN"/>
        </w:rPr>
      </w:pPr>
    </w:p>
    <w:p w14:paraId="5096A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注：1.从业人员、营业收入、资产总额填报上一年度数据，无上一年度数据的新成立企业可不填报。</w:t>
      </w:r>
    </w:p>
    <w:p w14:paraId="00DD98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2.本项目如是只面向中小企业采购的应当必须提供。</w:t>
      </w:r>
    </w:p>
    <w:p w14:paraId="3A20F4F4">
      <w:pPr>
        <w:pStyle w:val="9"/>
        <w:rPr>
          <w:rFonts w:hint="eastAsia" w:ascii="宋体" w:hAnsi="宋体" w:eastAsia="宋体" w:cs="宋体"/>
          <w:color w:val="auto"/>
          <w:sz w:val="24"/>
          <w:szCs w:val="24"/>
          <w:highlight w:val="none"/>
          <w:lang w:val="zh-CN" w:eastAsia="zh-CN" w:bidi="zh-CN"/>
        </w:rPr>
      </w:pPr>
    </w:p>
    <w:p w14:paraId="4D736424">
      <w:pPr>
        <w:rPr>
          <w:rFonts w:hint="eastAsia" w:ascii="宋体" w:hAnsi="宋体" w:eastAsia="宋体" w:cs="宋体"/>
          <w:color w:val="auto"/>
          <w:highlight w:val="none"/>
          <w:lang w:val="zh-CN" w:eastAsia="zh-CN"/>
        </w:rPr>
      </w:pPr>
    </w:p>
    <w:p w14:paraId="09AA0076">
      <w:pPr>
        <w:rPr>
          <w:rFonts w:hint="eastAsia" w:ascii="宋体" w:hAnsi="宋体" w:eastAsia="宋体" w:cs="宋体"/>
          <w:b/>
          <w:color w:val="auto"/>
          <w:sz w:val="28"/>
          <w:highlight w:val="none"/>
        </w:rPr>
      </w:pPr>
    </w:p>
    <w:p w14:paraId="780B341A">
      <w:pPr>
        <w:pStyle w:val="33"/>
        <w:rPr>
          <w:rFonts w:hint="eastAsia" w:ascii="宋体" w:hAnsi="宋体" w:eastAsia="宋体" w:cs="宋体"/>
          <w:b/>
          <w:color w:val="auto"/>
          <w:sz w:val="28"/>
          <w:highlight w:val="none"/>
        </w:rPr>
      </w:pPr>
    </w:p>
    <w:p w14:paraId="49A73E1B">
      <w:pPr>
        <w:pStyle w:val="8"/>
        <w:rPr>
          <w:rFonts w:hint="eastAsia" w:ascii="宋体" w:hAnsi="宋体" w:eastAsia="宋体" w:cs="宋体"/>
          <w:b/>
          <w:color w:val="auto"/>
          <w:sz w:val="28"/>
          <w:highlight w:val="none"/>
        </w:rPr>
      </w:pPr>
    </w:p>
    <w:p w14:paraId="412AEFF6">
      <w:pPr>
        <w:rPr>
          <w:rFonts w:hint="eastAsia" w:ascii="宋体" w:hAnsi="宋体" w:eastAsia="宋体" w:cs="宋体"/>
          <w:b/>
          <w:color w:val="auto"/>
          <w:sz w:val="28"/>
          <w:highlight w:val="none"/>
        </w:rPr>
      </w:pPr>
    </w:p>
    <w:p w14:paraId="0C119244">
      <w:pPr>
        <w:pStyle w:val="33"/>
        <w:rPr>
          <w:rFonts w:hint="eastAsia" w:ascii="宋体" w:hAnsi="宋体" w:eastAsia="宋体" w:cs="宋体"/>
          <w:color w:val="auto"/>
          <w:highlight w:val="none"/>
        </w:rPr>
      </w:pPr>
    </w:p>
    <w:p w14:paraId="5B8D657A">
      <w:pPr>
        <w:pStyle w:val="8"/>
        <w:rPr>
          <w:rFonts w:hint="eastAsia" w:ascii="宋体" w:hAnsi="宋体" w:eastAsia="宋体" w:cs="宋体"/>
          <w:color w:val="auto"/>
          <w:highlight w:val="none"/>
        </w:rPr>
      </w:pPr>
    </w:p>
    <w:p w14:paraId="3D2C13BB">
      <w:pPr>
        <w:rPr>
          <w:rFonts w:hint="eastAsia" w:ascii="宋体" w:hAnsi="宋体" w:eastAsia="宋体" w:cs="宋体"/>
          <w:color w:val="auto"/>
          <w:highlight w:val="none"/>
        </w:rPr>
      </w:pPr>
    </w:p>
    <w:p w14:paraId="083304E4">
      <w:pPr>
        <w:pStyle w:val="33"/>
        <w:rPr>
          <w:rFonts w:hint="eastAsia" w:ascii="宋体" w:hAnsi="宋体" w:eastAsia="宋体" w:cs="宋体"/>
          <w:color w:val="auto"/>
          <w:highlight w:val="none"/>
        </w:rPr>
      </w:pPr>
    </w:p>
    <w:p w14:paraId="7A2BF79F">
      <w:pPr>
        <w:pStyle w:val="8"/>
        <w:rPr>
          <w:rFonts w:hint="eastAsia" w:ascii="宋体" w:hAnsi="宋体" w:eastAsia="宋体" w:cs="宋体"/>
          <w:color w:val="auto"/>
          <w:highlight w:val="none"/>
        </w:rPr>
      </w:pPr>
    </w:p>
    <w:p w14:paraId="33444705">
      <w:pPr>
        <w:pStyle w:val="9"/>
        <w:rPr>
          <w:rFonts w:hint="eastAsia" w:ascii="宋体" w:hAnsi="宋体" w:eastAsia="宋体" w:cs="宋体"/>
          <w:b/>
          <w:color w:val="auto"/>
          <w:sz w:val="29"/>
          <w:highlight w:val="none"/>
        </w:rPr>
      </w:pPr>
    </w:p>
    <w:p w14:paraId="6F63014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C7C02F4">
      <w:pPr>
        <w:spacing w:before="40"/>
        <w:ind w:left="218"/>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附件十</w:t>
      </w:r>
      <w:r>
        <w:rPr>
          <w:rFonts w:hint="eastAsia" w:ascii="宋体" w:hAnsi="宋体" w:eastAsia="宋体" w:cs="宋体"/>
          <w:b/>
          <w:color w:val="auto"/>
          <w:sz w:val="28"/>
          <w:highlight w:val="none"/>
          <w:lang w:val="en-US" w:eastAsia="zh-CN"/>
        </w:rPr>
        <w:t>四</w:t>
      </w:r>
      <w:r>
        <w:rPr>
          <w:rFonts w:hint="eastAsia" w:ascii="宋体" w:hAnsi="宋体" w:eastAsia="宋体" w:cs="宋体"/>
          <w:b/>
          <w:color w:val="auto"/>
          <w:sz w:val="28"/>
          <w:highlight w:val="none"/>
        </w:rPr>
        <w:t>:</w:t>
      </w:r>
      <w:r>
        <w:rPr>
          <w:rFonts w:hint="eastAsia" w:ascii="宋体" w:hAnsi="宋体" w:eastAsia="宋体" w:cs="宋体"/>
          <w:b/>
          <w:bCs/>
          <w:color w:val="auto"/>
          <w:sz w:val="28"/>
          <w:highlight w:val="none"/>
        </w:rPr>
        <w:t>其它相关资料</w:t>
      </w:r>
    </w:p>
    <w:p w14:paraId="10D82B9B">
      <w:pPr>
        <w:bidi w:val="0"/>
        <w:rPr>
          <w:rFonts w:hint="eastAsia"/>
          <w:color w:val="auto"/>
          <w:highlight w:val="none"/>
        </w:rPr>
      </w:pPr>
    </w:p>
    <w:p w14:paraId="421D614A">
      <w:pPr>
        <w:rPr>
          <w:rFonts w:hint="eastAsia" w:ascii="宋体" w:hAnsi="宋体" w:eastAsia="宋体" w:cs="宋体"/>
          <w:b/>
          <w:color w:val="auto"/>
          <w:sz w:val="28"/>
          <w:highlight w:val="none"/>
        </w:rPr>
      </w:pPr>
    </w:p>
    <w:p w14:paraId="5FFBBBAB">
      <w:pPr>
        <w:pStyle w:val="33"/>
        <w:rPr>
          <w:rFonts w:hint="eastAsia" w:ascii="宋体" w:hAnsi="宋体" w:eastAsia="宋体" w:cs="宋体"/>
          <w:b/>
          <w:color w:val="auto"/>
          <w:sz w:val="28"/>
          <w:highlight w:val="none"/>
        </w:rPr>
      </w:pPr>
    </w:p>
    <w:p w14:paraId="21B5B0E4">
      <w:pPr>
        <w:pStyle w:val="8"/>
        <w:rPr>
          <w:rFonts w:hint="eastAsia" w:ascii="宋体" w:hAnsi="宋体" w:eastAsia="宋体" w:cs="宋体"/>
          <w:b/>
          <w:color w:val="auto"/>
          <w:sz w:val="28"/>
          <w:highlight w:val="none"/>
        </w:rPr>
      </w:pPr>
    </w:p>
    <w:p w14:paraId="10DBFAE0">
      <w:pPr>
        <w:rPr>
          <w:rFonts w:hint="eastAsia" w:ascii="宋体" w:hAnsi="宋体" w:eastAsia="宋体" w:cs="宋体"/>
          <w:b/>
          <w:color w:val="auto"/>
          <w:sz w:val="28"/>
          <w:highlight w:val="none"/>
        </w:rPr>
      </w:pPr>
    </w:p>
    <w:p w14:paraId="65411DFC">
      <w:pPr>
        <w:pStyle w:val="33"/>
        <w:rPr>
          <w:rFonts w:hint="eastAsia" w:ascii="宋体" w:hAnsi="宋体" w:eastAsia="宋体" w:cs="宋体"/>
          <w:b/>
          <w:color w:val="auto"/>
          <w:sz w:val="28"/>
          <w:highlight w:val="none"/>
        </w:rPr>
      </w:pPr>
    </w:p>
    <w:p w14:paraId="67772D69">
      <w:pPr>
        <w:pStyle w:val="8"/>
        <w:rPr>
          <w:rFonts w:hint="eastAsia" w:ascii="宋体" w:hAnsi="宋体" w:eastAsia="宋体" w:cs="宋体"/>
          <w:b/>
          <w:color w:val="auto"/>
          <w:sz w:val="28"/>
          <w:highlight w:val="none"/>
        </w:rPr>
      </w:pPr>
    </w:p>
    <w:p w14:paraId="5DDB1564">
      <w:pPr>
        <w:rPr>
          <w:rFonts w:hint="eastAsia" w:ascii="宋体" w:hAnsi="宋体" w:eastAsia="宋体" w:cs="宋体"/>
          <w:b/>
          <w:color w:val="auto"/>
          <w:sz w:val="28"/>
          <w:highlight w:val="none"/>
        </w:rPr>
      </w:pPr>
    </w:p>
    <w:p w14:paraId="19B11F55">
      <w:pPr>
        <w:pStyle w:val="33"/>
        <w:rPr>
          <w:rFonts w:hint="eastAsia" w:ascii="宋体" w:hAnsi="宋体" w:eastAsia="宋体" w:cs="宋体"/>
          <w:b/>
          <w:color w:val="auto"/>
          <w:sz w:val="28"/>
          <w:highlight w:val="none"/>
        </w:rPr>
      </w:pPr>
    </w:p>
    <w:p w14:paraId="57BBBB01">
      <w:pPr>
        <w:pStyle w:val="8"/>
        <w:rPr>
          <w:rFonts w:hint="eastAsia" w:ascii="宋体" w:hAnsi="宋体" w:eastAsia="宋体" w:cs="宋体"/>
          <w:b/>
          <w:color w:val="auto"/>
          <w:sz w:val="28"/>
          <w:highlight w:val="none"/>
        </w:rPr>
      </w:pPr>
    </w:p>
    <w:p w14:paraId="06F8246C">
      <w:pPr>
        <w:rPr>
          <w:rFonts w:hint="eastAsia" w:ascii="宋体" w:hAnsi="宋体" w:eastAsia="宋体" w:cs="宋体"/>
          <w:b/>
          <w:color w:val="auto"/>
          <w:sz w:val="28"/>
          <w:highlight w:val="none"/>
        </w:rPr>
      </w:pPr>
    </w:p>
    <w:p w14:paraId="7BE2AE23">
      <w:pPr>
        <w:pStyle w:val="33"/>
        <w:rPr>
          <w:rFonts w:hint="eastAsia" w:ascii="宋体" w:hAnsi="宋体" w:eastAsia="宋体" w:cs="宋体"/>
          <w:b/>
          <w:color w:val="auto"/>
          <w:sz w:val="28"/>
          <w:highlight w:val="none"/>
        </w:rPr>
      </w:pPr>
    </w:p>
    <w:p w14:paraId="74574488">
      <w:pPr>
        <w:pStyle w:val="8"/>
        <w:rPr>
          <w:rFonts w:hint="eastAsia" w:ascii="宋体" w:hAnsi="宋体" w:eastAsia="宋体" w:cs="宋体"/>
          <w:b/>
          <w:color w:val="auto"/>
          <w:sz w:val="28"/>
          <w:highlight w:val="none"/>
        </w:rPr>
      </w:pPr>
    </w:p>
    <w:p w14:paraId="3E3E9AD4">
      <w:pPr>
        <w:rPr>
          <w:rFonts w:hint="eastAsia" w:ascii="宋体" w:hAnsi="宋体" w:eastAsia="宋体" w:cs="宋体"/>
          <w:b/>
          <w:color w:val="auto"/>
          <w:sz w:val="28"/>
          <w:highlight w:val="none"/>
        </w:rPr>
      </w:pPr>
    </w:p>
    <w:p w14:paraId="70C73A0C">
      <w:pPr>
        <w:pStyle w:val="33"/>
        <w:rPr>
          <w:rFonts w:hint="eastAsia" w:ascii="宋体" w:hAnsi="宋体" w:eastAsia="宋体" w:cs="宋体"/>
          <w:b/>
          <w:color w:val="auto"/>
          <w:sz w:val="28"/>
          <w:highlight w:val="none"/>
        </w:rPr>
      </w:pPr>
    </w:p>
    <w:p w14:paraId="2094AEA3">
      <w:pPr>
        <w:pStyle w:val="8"/>
        <w:rPr>
          <w:rFonts w:hint="eastAsia" w:ascii="宋体" w:hAnsi="宋体" w:eastAsia="宋体" w:cs="宋体"/>
          <w:b/>
          <w:color w:val="auto"/>
          <w:sz w:val="28"/>
          <w:highlight w:val="none"/>
        </w:rPr>
      </w:pPr>
    </w:p>
    <w:p w14:paraId="7720A67E">
      <w:pPr>
        <w:rPr>
          <w:rFonts w:hint="eastAsia" w:ascii="宋体" w:hAnsi="宋体" w:eastAsia="宋体" w:cs="宋体"/>
          <w:b/>
          <w:color w:val="auto"/>
          <w:sz w:val="28"/>
          <w:highlight w:val="none"/>
        </w:rPr>
      </w:pPr>
    </w:p>
    <w:p w14:paraId="561B0699">
      <w:pPr>
        <w:pStyle w:val="33"/>
        <w:rPr>
          <w:rFonts w:hint="eastAsia" w:ascii="宋体" w:hAnsi="宋体" w:eastAsia="宋体" w:cs="宋体"/>
          <w:b/>
          <w:color w:val="auto"/>
          <w:sz w:val="28"/>
          <w:highlight w:val="none"/>
        </w:rPr>
      </w:pPr>
    </w:p>
    <w:p w14:paraId="564BB580">
      <w:pPr>
        <w:pStyle w:val="8"/>
        <w:rPr>
          <w:rFonts w:hint="eastAsia" w:ascii="宋体" w:hAnsi="宋体" w:eastAsia="宋体" w:cs="宋体"/>
          <w:b/>
          <w:color w:val="auto"/>
          <w:sz w:val="28"/>
          <w:highlight w:val="none"/>
        </w:rPr>
      </w:pPr>
    </w:p>
    <w:p w14:paraId="024EC287">
      <w:pPr>
        <w:rPr>
          <w:rFonts w:hint="eastAsia" w:ascii="宋体" w:hAnsi="宋体" w:eastAsia="宋体" w:cs="宋体"/>
          <w:b/>
          <w:color w:val="auto"/>
          <w:sz w:val="28"/>
          <w:highlight w:val="none"/>
        </w:rPr>
      </w:pPr>
    </w:p>
    <w:p w14:paraId="2D6DD553">
      <w:pPr>
        <w:pStyle w:val="33"/>
        <w:rPr>
          <w:rFonts w:hint="eastAsia" w:ascii="宋体" w:hAnsi="宋体" w:eastAsia="宋体" w:cs="宋体"/>
          <w:b/>
          <w:color w:val="auto"/>
          <w:sz w:val="28"/>
          <w:highlight w:val="none"/>
        </w:rPr>
      </w:pPr>
    </w:p>
    <w:p w14:paraId="13172830">
      <w:pPr>
        <w:pStyle w:val="8"/>
        <w:rPr>
          <w:rFonts w:hint="eastAsia" w:ascii="宋体" w:hAnsi="宋体" w:eastAsia="宋体" w:cs="宋体"/>
          <w:b/>
          <w:color w:val="auto"/>
          <w:sz w:val="28"/>
          <w:highlight w:val="none"/>
        </w:rPr>
      </w:pPr>
    </w:p>
    <w:p w14:paraId="7A65B9C0">
      <w:pPr>
        <w:rPr>
          <w:rFonts w:hint="eastAsia" w:ascii="宋体" w:hAnsi="宋体" w:eastAsia="宋体" w:cs="宋体"/>
          <w:b/>
          <w:color w:val="auto"/>
          <w:sz w:val="28"/>
          <w:highlight w:val="none"/>
        </w:rPr>
      </w:pPr>
    </w:p>
    <w:p w14:paraId="63FE337B">
      <w:pPr>
        <w:pStyle w:val="33"/>
        <w:rPr>
          <w:rFonts w:hint="eastAsia" w:ascii="宋体" w:hAnsi="宋体" w:eastAsia="宋体" w:cs="宋体"/>
          <w:b/>
          <w:color w:val="auto"/>
          <w:sz w:val="28"/>
          <w:highlight w:val="none"/>
        </w:rPr>
      </w:pPr>
    </w:p>
    <w:p w14:paraId="79E0AB38">
      <w:pPr>
        <w:pStyle w:val="8"/>
        <w:rPr>
          <w:rFonts w:hint="eastAsia" w:ascii="宋体" w:hAnsi="宋体" w:eastAsia="宋体" w:cs="宋体"/>
          <w:b/>
          <w:color w:val="auto"/>
          <w:sz w:val="28"/>
          <w:highlight w:val="none"/>
        </w:rPr>
      </w:pPr>
    </w:p>
    <w:p w14:paraId="0D375784">
      <w:pPr>
        <w:rPr>
          <w:rFonts w:hint="eastAsia" w:ascii="宋体" w:hAnsi="宋体" w:eastAsia="宋体" w:cs="宋体"/>
          <w:b/>
          <w:color w:val="auto"/>
          <w:sz w:val="28"/>
          <w:highlight w:val="none"/>
        </w:rPr>
      </w:pPr>
    </w:p>
    <w:p w14:paraId="2FA94418">
      <w:pPr>
        <w:pStyle w:val="33"/>
        <w:rPr>
          <w:rFonts w:hint="eastAsia" w:ascii="宋体" w:hAnsi="宋体" w:eastAsia="宋体" w:cs="宋体"/>
          <w:b/>
          <w:color w:val="auto"/>
          <w:sz w:val="28"/>
          <w:highlight w:val="none"/>
        </w:rPr>
      </w:pPr>
    </w:p>
    <w:p w14:paraId="76A282F6">
      <w:pPr>
        <w:pStyle w:val="8"/>
        <w:rPr>
          <w:rFonts w:hint="eastAsia" w:ascii="宋体" w:hAnsi="宋体" w:eastAsia="宋体" w:cs="宋体"/>
          <w:b/>
          <w:color w:val="auto"/>
          <w:sz w:val="28"/>
          <w:highlight w:val="none"/>
        </w:rPr>
      </w:pPr>
    </w:p>
    <w:p w14:paraId="6390E2F5">
      <w:pPr>
        <w:rPr>
          <w:rFonts w:hint="eastAsia" w:ascii="宋体" w:hAnsi="宋体" w:eastAsia="宋体" w:cs="宋体"/>
          <w:b/>
          <w:color w:val="auto"/>
          <w:sz w:val="28"/>
          <w:highlight w:val="none"/>
        </w:rPr>
      </w:pPr>
    </w:p>
    <w:p w14:paraId="2E42A3B5">
      <w:pPr>
        <w:pStyle w:val="33"/>
        <w:rPr>
          <w:rFonts w:hint="eastAsia" w:ascii="宋体" w:hAnsi="宋体" w:eastAsia="宋体" w:cs="宋体"/>
          <w:b/>
          <w:color w:val="auto"/>
          <w:sz w:val="28"/>
          <w:highlight w:val="none"/>
        </w:rPr>
      </w:pPr>
    </w:p>
    <w:p w14:paraId="58731236">
      <w:pPr>
        <w:pStyle w:val="8"/>
        <w:rPr>
          <w:rFonts w:hint="eastAsia" w:ascii="宋体" w:hAnsi="宋体" w:eastAsia="宋体" w:cs="宋体"/>
          <w:b/>
          <w:color w:val="auto"/>
          <w:sz w:val="28"/>
          <w:highlight w:val="none"/>
        </w:rPr>
      </w:pPr>
    </w:p>
    <w:p w14:paraId="11F272C2">
      <w:pPr>
        <w:rPr>
          <w:rFonts w:hint="eastAsia" w:ascii="宋体" w:hAnsi="宋体" w:eastAsia="宋体" w:cs="宋体"/>
          <w:b/>
          <w:color w:val="auto"/>
          <w:sz w:val="28"/>
          <w:highlight w:val="none"/>
        </w:rPr>
      </w:pPr>
    </w:p>
    <w:p w14:paraId="33533191">
      <w:pPr>
        <w:pStyle w:val="33"/>
        <w:rPr>
          <w:rFonts w:hint="eastAsia" w:ascii="宋体" w:hAnsi="宋体" w:eastAsia="宋体" w:cs="宋体"/>
          <w:b/>
          <w:color w:val="auto"/>
          <w:sz w:val="28"/>
          <w:highlight w:val="none"/>
        </w:rPr>
      </w:pPr>
    </w:p>
    <w:p w14:paraId="314FC85F">
      <w:pPr>
        <w:pStyle w:val="8"/>
        <w:rPr>
          <w:rFonts w:hint="eastAsia" w:ascii="宋体" w:hAnsi="宋体" w:eastAsia="宋体" w:cs="宋体"/>
          <w:b/>
          <w:color w:val="auto"/>
          <w:sz w:val="28"/>
          <w:highlight w:val="none"/>
        </w:rPr>
      </w:pPr>
    </w:p>
    <w:p w14:paraId="0D2AADAC">
      <w:pPr>
        <w:rPr>
          <w:rFonts w:hint="eastAsia" w:ascii="宋体" w:hAnsi="宋体" w:eastAsia="宋体" w:cs="宋体"/>
          <w:b/>
          <w:color w:val="auto"/>
          <w:sz w:val="28"/>
          <w:highlight w:val="none"/>
        </w:rPr>
      </w:pPr>
    </w:p>
    <w:p w14:paraId="32D12FB7">
      <w:pPr>
        <w:pStyle w:val="33"/>
        <w:rPr>
          <w:rFonts w:hint="eastAsia" w:ascii="宋体" w:hAnsi="宋体" w:eastAsia="宋体" w:cs="宋体"/>
          <w:b/>
          <w:color w:val="auto"/>
          <w:sz w:val="28"/>
          <w:highlight w:val="none"/>
        </w:rPr>
      </w:pPr>
    </w:p>
    <w:p w14:paraId="626C5681">
      <w:pPr>
        <w:pStyle w:val="8"/>
        <w:rPr>
          <w:rFonts w:hint="eastAsia" w:ascii="宋体" w:hAnsi="宋体" w:eastAsia="宋体" w:cs="宋体"/>
          <w:b/>
          <w:color w:val="auto"/>
          <w:sz w:val="28"/>
          <w:highlight w:val="none"/>
        </w:rPr>
      </w:pPr>
    </w:p>
    <w:p w14:paraId="7DDA8296">
      <w:pPr>
        <w:rPr>
          <w:rFonts w:hint="eastAsia" w:ascii="宋体" w:hAnsi="宋体" w:eastAsia="宋体" w:cs="宋体"/>
          <w:color w:val="auto"/>
          <w:highlight w:val="none"/>
        </w:rPr>
      </w:pPr>
    </w:p>
    <w:p w14:paraId="6CE9738E">
      <w:pPr>
        <w:keepNext w:val="0"/>
        <w:keepLines w:val="0"/>
        <w:pageBreakBefore w:val="0"/>
        <w:kinsoku/>
        <w:wordWrap/>
        <w:overflowPunct/>
        <w:bidi w:val="0"/>
        <w:spacing w:before="0" w:after="0" w:line="500" w:lineRule="exact"/>
        <w:ind w:firstLine="0"/>
        <w:jc w:val="center"/>
        <w:textAlignment w:val="auto"/>
        <w:outlineLvl w:val="9"/>
        <w:rPr>
          <w:rFonts w:hint="eastAsia" w:ascii="宋体" w:hAnsi="宋体" w:eastAsia="宋体" w:cs="宋体"/>
          <w:b/>
          <w:color w:val="auto"/>
          <w:sz w:val="28"/>
          <w:highlight w:val="none"/>
          <w:lang w:val="en-US"/>
        </w:rPr>
      </w:pPr>
      <w:r>
        <w:rPr>
          <w:rFonts w:hint="eastAsia" w:ascii="宋体" w:hAnsi="宋体" w:eastAsia="宋体" w:cs="宋体"/>
          <w:b/>
          <w:color w:val="auto"/>
          <w:sz w:val="28"/>
          <w:highlight w:val="none"/>
        </w:rPr>
        <w:t>十</w:t>
      </w:r>
      <w:r>
        <w:rPr>
          <w:rFonts w:hint="eastAsia" w:ascii="宋体" w:hAnsi="宋体" w:eastAsia="宋体" w:cs="宋体"/>
          <w:b/>
          <w:color w:val="auto"/>
          <w:sz w:val="28"/>
          <w:highlight w:val="none"/>
          <w:lang w:val="en-US" w:eastAsia="zh-CN"/>
        </w:rPr>
        <w:t>五</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rPr>
        <w:t>周口市政府采购合同（工程类）标准文本</w:t>
      </w:r>
    </w:p>
    <w:p w14:paraId="375065C9">
      <w:pPr>
        <w:keepNext w:val="0"/>
        <w:keepLines w:val="0"/>
        <w:pageBreakBefore w:val="0"/>
        <w:kinsoku/>
        <w:wordWrap/>
        <w:overflowPunct/>
        <w:bidi w:val="0"/>
        <w:ind w:firstLine="880" w:firstLineChars="200"/>
        <w:jc w:val="center"/>
        <w:textAlignment w:val="auto"/>
        <w:outlineLvl w:val="9"/>
        <w:rPr>
          <w:rFonts w:hint="eastAsia" w:ascii="宋体" w:hAnsi="宋体" w:eastAsia="宋体" w:cs="宋体"/>
          <w:color w:val="auto"/>
          <w:sz w:val="44"/>
          <w:szCs w:val="44"/>
          <w:highlight w:val="none"/>
          <w:lang w:val="en-US"/>
        </w:rPr>
      </w:pPr>
    </w:p>
    <w:p w14:paraId="68A32E4A">
      <w:pPr>
        <w:pStyle w:val="42"/>
        <w:keepNext w:val="0"/>
        <w:keepLines w:val="0"/>
        <w:pageBreakBefore w:val="0"/>
        <w:kinsoku/>
        <w:wordWrap/>
        <w:overflowPunct/>
        <w:bidi w:val="0"/>
        <w:spacing w:beforeLines="0" w:afterLines="0"/>
        <w:ind w:left="0" w:firstLine="640" w:firstLineChars="200"/>
        <w:jc w:val="both"/>
        <w:textAlignment w:val="auto"/>
        <w:outlineLvl w:val="9"/>
        <w:rPr>
          <w:rFonts w:hint="eastAsia" w:ascii="宋体" w:hAnsi="宋体" w:eastAsia="宋体" w:cs="宋体"/>
          <w:color w:val="auto"/>
          <w:sz w:val="32"/>
          <w:szCs w:val="32"/>
          <w:highlight w:val="none"/>
          <w:lang w:val="en-US"/>
        </w:rPr>
      </w:pPr>
    </w:p>
    <w:p w14:paraId="33F7055B">
      <w:pPr>
        <w:pStyle w:val="42"/>
        <w:keepNext w:val="0"/>
        <w:keepLines w:val="0"/>
        <w:pageBreakBefore w:val="0"/>
        <w:kinsoku/>
        <w:wordWrap/>
        <w:overflowPunct/>
        <w:bidi w:val="0"/>
        <w:spacing w:beforeLines="0" w:afterLines="0"/>
        <w:ind w:left="0" w:firstLine="640" w:firstLineChars="200"/>
        <w:jc w:val="both"/>
        <w:textAlignment w:val="auto"/>
        <w:outlineLvl w:val="9"/>
        <w:rPr>
          <w:rFonts w:hint="eastAsia" w:ascii="宋体" w:hAnsi="宋体" w:eastAsia="宋体" w:cs="宋体"/>
          <w:color w:val="auto"/>
          <w:sz w:val="32"/>
          <w:szCs w:val="32"/>
          <w:highlight w:val="none"/>
          <w:lang w:val="en-US"/>
        </w:rPr>
      </w:pPr>
    </w:p>
    <w:p w14:paraId="0283E1D7">
      <w:pPr>
        <w:pStyle w:val="42"/>
        <w:keepNext w:val="0"/>
        <w:keepLines w:val="0"/>
        <w:pageBreakBefore w:val="0"/>
        <w:kinsoku/>
        <w:wordWrap/>
        <w:overflowPunct/>
        <w:bidi w:val="0"/>
        <w:spacing w:beforeLines="0" w:afterLines="0"/>
        <w:ind w:left="0" w:firstLine="640" w:firstLineChars="200"/>
        <w:jc w:val="both"/>
        <w:textAlignment w:val="auto"/>
        <w:outlineLvl w:val="9"/>
        <w:rPr>
          <w:rFonts w:hint="eastAsia" w:ascii="宋体" w:hAnsi="宋体" w:eastAsia="宋体" w:cs="宋体"/>
          <w:color w:val="auto"/>
          <w:sz w:val="32"/>
          <w:szCs w:val="32"/>
          <w:highlight w:val="none"/>
          <w:lang w:val="en-US"/>
        </w:rPr>
      </w:pPr>
    </w:p>
    <w:p w14:paraId="5DFA5900">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4865892E">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442AC910">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28C8D358">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政府采购项目名称：</w:t>
      </w:r>
    </w:p>
    <w:p w14:paraId="313D50E8">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政府采购项目编号：</w:t>
      </w:r>
    </w:p>
    <w:p w14:paraId="6F101133">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采      购    人：</w:t>
      </w:r>
    </w:p>
    <w:p w14:paraId="09F470FC">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供      应    商：</w:t>
      </w:r>
    </w:p>
    <w:p w14:paraId="1D60D840">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 订 地：</w:t>
      </w:r>
    </w:p>
    <w:p w14:paraId="045116C2">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签订 时 间：</w:t>
      </w:r>
    </w:p>
    <w:p w14:paraId="741A09F9">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17001BFA">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19D3ADE4">
      <w:pPr>
        <w:pStyle w:val="42"/>
        <w:keepNext w:val="0"/>
        <w:keepLines w:val="0"/>
        <w:pageBreakBefore w:val="0"/>
        <w:kinsoku/>
        <w:wordWrap/>
        <w:overflowPunct/>
        <w:bidi w:val="0"/>
        <w:spacing w:beforeLines="0" w:afterLines="0"/>
        <w:ind w:left="0" w:firstLine="600" w:firstLineChars="200"/>
        <w:jc w:val="both"/>
        <w:textAlignment w:val="auto"/>
        <w:outlineLvl w:val="9"/>
        <w:rPr>
          <w:rFonts w:hint="eastAsia" w:ascii="宋体" w:hAnsi="宋体" w:eastAsia="宋体" w:cs="宋体"/>
          <w:color w:val="auto"/>
          <w:sz w:val="30"/>
          <w:szCs w:val="30"/>
          <w:highlight w:val="none"/>
          <w:lang w:val="en-US"/>
        </w:rPr>
      </w:pPr>
    </w:p>
    <w:p w14:paraId="5A1BCDB2">
      <w:pPr>
        <w:pStyle w:val="42"/>
        <w:keepNext w:val="0"/>
        <w:keepLines w:val="0"/>
        <w:pageBreakBefore w:val="0"/>
        <w:kinsoku/>
        <w:wordWrap/>
        <w:overflowPunct/>
        <w:bidi w:val="0"/>
        <w:spacing w:beforeLines="0" w:afterLines="0"/>
        <w:ind w:left="0"/>
        <w:jc w:val="both"/>
        <w:textAlignment w:val="auto"/>
        <w:outlineLvl w:val="9"/>
        <w:rPr>
          <w:rFonts w:hint="eastAsia" w:ascii="宋体" w:hAnsi="宋体" w:eastAsia="宋体" w:cs="宋体"/>
          <w:color w:val="auto"/>
          <w:sz w:val="30"/>
          <w:szCs w:val="30"/>
          <w:highlight w:val="none"/>
        </w:rPr>
      </w:pPr>
    </w:p>
    <w:p w14:paraId="243DB9D2">
      <w:pPr>
        <w:keepNext w:val="0"/>
        <w:keepLines w:val="0"/>
        <w:pageBreakBefore w:val="0"/>
        <w:kinsoku/>
        <w:wordWrap/>
        <w:overflowPunct/>
        <w:bidi w:val="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2F0B4C1">
      <w:pPr>
        <w:pStyle w:val="42"/>
        <w:keepNext w:val="0"/>
        <w:keepLines w:val="0"/>
        <w:pageBreakBefore w:val="0"/>
        <w:kinsoku/>
        <w:wordWrap/>
        <w:overflowPunct/>
        <w:bidi w:val="0"/>
        <w:spacing w:beforeLines="0" w:afterLines="0" w:line="440" w:lineRule="exact"/>
        <w:ind w:left="0"/>
        <w:jc w:val="center"/>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合同签订指引</w:t>
      </w:r>
    </w:p>
    <w:p w14:paraId="45CAE82C">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一、采购人在签订合同时应提供的资料：</w:t>
      </w:r>
    </w:p>
    <w:p w14:paraId="30CC73B4">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招标采购文件（以网上发布内容为准）；</w:t>
      </w:r>
    </w:p>
    <w:p w14:paraId="587B2301">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2、该政府采购项目</w:t>
      </w:r>
      <w:r>
        <w:rPr>
          <w:rFonts w:hint="eastAsia" w:ascii="宋体" w:hAnsi="宋体" w:eastAsia="宋体" w:cs="宋体"/>
          <w:color w:val="auto"/>
          <w:sz w:val="21"/>
          <w:szCs w:val="21"/>
          <w:highlight w:val="none"/>
        </w:rPr>
        <w:t>招标文件的澄清和修改内容（公告内容）；</w:t>
      </w:r>
    </w:p>
    <w:p w14:paraId="14C80EB7">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3、该政府采购项目评审报告；</w:t>
      </w:r>
    </w:p>
    <w:p w14:paraId="34F32AB6">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4、采购单位法人授权委托书（法人到场并签字的除外）；</w:t>
      </w:r>
    </w:p>
    <w:p w14:paraId="02F753AB">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5、采购单位被授权人身份证件（法人到场并签字的除外）；</w:t>
      </w:r>
    </w:p>
    <w:p w14:paraId="51959E5F">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6、采购人和中标供应商（或服务商，下同）约定的其它内容（不得超出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0B892F35">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供应商在签订合同时应提供的资料：</w:t>
      </w:r>
    </w:p>
    <w:p w14:paraId="523B999A">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投标文件（纸质或</w:t>
      </w:r>
      <w:r>
        <w:rPr>
          <w:rFonts w:hint="eastAsia" w:ascii="宋体" w:hAnsi="宋体" w:eastAsia="宋体" w:cs="宋体"/>
          <w:color w:val="auto"/>
          <w:sz w:val="21"/>
          <w:szCs w:val="21"/>
          <w:highlight w:val="none"/>
          <w:lang w:val="en-US"/>
        </w:rPr>
        <w:t>DPF格式的电子</w:t>
      </w:r>
      <w:r>
        <w:rPr>
          <w:rFonts w:hint="eastAsia" w:ascii="宋体" w:hAnsi="宋体" w:eastAsia="宋体" w:cs="宋体"/>
          <w:color w:val="auto"/>
          <w:sz w:val="21"/>
          <w:szCs w:val="21"/>
          <w:highlight w:val="none"/>
        </w:rPr>
        <w:t>投标文件）；</w:t>
      </w:r>
    </w:p>
    <w:p w14:paraId="7D99CB98">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2、针对该项目评审时评审委员会提出的质询答复（纸质并签章）；</w:t>
      </w:r>
    </w:p>
    <w:p w14:paraId="4861670B">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3、该政府采购项目中标通知书；</w:t>
      </w:r>
    </w:p>
    <w:p w14:paraId="7D7850EF">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4、供应商法人授权委托书（法人到场并签字的除外）；</w:t>
      </w:r>
    </w:p>
    <w:p w14:paraId="45C52A4E">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5、供应商被授权人身份证件（法人到场并签字的除外）；</w:t>
      </w:r>
    </w:p>
    <w:p w14:paraId="3A32AF77">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6、供应商和采购人约定的其它内容（不得超出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55082A1A">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t>三、本合同签订后二个工作日内有采购人在“周口市政府采购网”上进行合同公示。</w:t>
      </w:r>
    </w:p>
    <w:p w14:paraId="76C4ED25">
      <w:pPr>
        <w:pStyle w:val="42"/>
        <w:keepNext w:val="0"/>
        <w:keepLines w:val="0"/>
        <w:pageBreakBefore w:val="0"/>
        <w:kinsoku/>
        <w:wordWrap/>
        <w:overflowPunct/>
        <w:bidi w:val="0"/>
        <w:spacing w:beforeLines="0" w:afterLines="0" w:line="440" w:lineRule="exact"/>
        <w:ind w:left="0"/>
        <w:jc w:val="center"/>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供应商履约验收指引</w:t>
      </w:r>
    </w:p>
    <w:p w14:paraId="3B5BF166">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Cs w:val="27"/>
          <w:highlight w:val="none"/>
        </w:rPr>
      </w:pPr>
      <w:r>
        <w:rPr>
          <w:rFonts w:hint="eastAsia" w:ascii="宋体" w:hAnsi="宋体" w:eastAsia="宋体" w:cs="宋体"/>
          <w:color w:val="auto"/>
          <w:sz w:val="21"/>
          <w:szCs w:val="21"/>
          <w:highlight w:val="none"/>
          <w:lang w:val="en-US"/>
        </w:rPr>
        <w:t>1、供应商不得</w:t>
      </w:r>
      <w:r>
        <w:rPr>
          <w:rFonts w:hint="eastAsia" w:ascii="宋体" w:hAnsi="宋体" w:eastAsia="宋体" w:cs="宋体"/>
          <w:color w:val="auto"/>
          <w:sz w:val="21"/>
          <w:szCs w:val="21"/>
          <w:highlight w:val="none"/>
        </w:rPr>
        <w:t>擅自变更合同标的服务内容；</w:t>
      </w:r>
    </w:p>
    <w:p w14:paraId="65E5835A">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不得以次充优，随意降低服务标准和水平；</w:t>
      </w:r>
    </w:p>
    <w:p w14:paraId="485F3546">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对因客观上采购人采购需求发生变化造成的，应提供采、供双方的纸质备忘录材料；</w:t>
      </w:r>
    </w:p>
    <w:p w14:paraId="6BE6D8DE">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4、在满足</w:t>
      </w:r>
      <w:r>
        <w:rPr>
          <w:rFonts w:hint="eastAsia" w:ascii="宋体" w:hAnsi="宋体" w:eastAsia="宋体" w:cs="宋体"/>
          <w:color w:val="auto"/>
          <w:sz w:val="21"/>
          <w:szCs w:val="21"/>
          <w:highlight w:val="none"/>
        </w:rPr>
        <w:t>验收条件</w:t>
      </w:r>
      <w:r>
        <w:rPr>
          <w:rFonts w:hint="eastAsia" w:ascii="宋体" w:hAnsi="宋体" w:eastAsia="宋体" w:cs="宋体"/>
          <w:color w:val="auto"/>
          <w:sz w:val="21"/>
          <w:szCs w:val="21"/>
          <w:highlight w:val="none"/>
          <w:lang w:val="en-US"/>
        </w:rPr>
        <w:t>5个工作日</w:t>
      </w:r>
      <w:r>
        <w:rPr>
          <w:rFonts w:hint="eastAsia" w:ascii="宋体" w:hAnsi="宋体" w:eastAsia="宋体" w:cs="宋体"/>
          <w:color w:val="auto"/>
          <w:sz w:val="21"/>
          <w:szCs w:val="21"/>
          <w:highlight w:val="none"/>
        </w:rPr>
        <w:t>内通知采购人组织验收；</w:t>
      </w:r>
    </w:p>
    <w:p w14:paraId="0B38EBFA">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5、供应商应提供需验收服务的清单、标准、达到的水平等量化资料；</w:t>
      </w:r>
    </w:p>
    <w:p w14:paraId="351D381F">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6、采、供</w:t>
      </w:r>
      <w:r>
        <w:rPr>
          <w:rFonts w:hint="eastAsia" w:ascii="宋体" w:hAnsi="宋体" w:eastAsia="宋体" w:cs="宋体"/>
          <w:color w:val="auto"/>
          <w:sz w:val="21"/>
          <w:szCs w:val="21"/>
          <w:highlight w:val="none"/>
        </w:rPr>
        <w:t>双方约定的验收机构及相关人员组成情况。</w:t>
      </w:r>
    </w:p>
    <w:p w14:paraId="1B045EB0">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7、督促采购人在项目验收结束并达到相关要求后一个工作日内，在</w:t>
      </w:r>
      <w:r>
        <w:rPr>
          <w:rFonts w:hint="eastAsia" w:ascii="宋体" w:hAnsi="宋体" w:eastAsia="宋体" w:cs="宋体"/>
          <w:color w:val="auto"/>
          <w:sz w:val="21"/>
          <w:szCs w:val="21"/>
          <w:highlight w:val="none"/>
        </w:rPr>
        <w:t>“周口市政府采购网”上进行“履约验收”公示。</w:t>
      </w:r>
    </w:p>
    <w:p w14:paraId="675DFB45">
      <w:pPr>
        <w:pStyle w:val="42"/>
        <w:keepNext w:val="0"/>
        <w:keepLines w:val="0"/>
        <w:pageBreakBefore w:val="0"/>
        <w:kinsoku/>
        <w:wordWrap/>
        <w:overflowPunct/>
        <w:bidi w:val="0"/>
        <w:spacing w:beforeLines="0" w:afterLines="0" w:line="440" w:lineRule="exact"/>
        <w:ind w:left="0" w:firstLine="420" w:firstLineChars="200"/>
        <w:jc w:val="both"/>
        <w:textAlignment w:val="auto"/>
        <w:outlineLvl w:val="9"/>
        <w:rPr>
          <w:rFonts w:hint="eastAsia" w:ascii="宋体" w:hAnsi="宋体" w:eastAsia="宋体" w:cs="宋体"/>
          <w:color w:val="auto"/>
          <w:sz w:val="21"/>
          <w:szCs w:val="21"/>
          <w:highlight w:val="none"/>
        </w:rPr>
      </w:pPr>
    </w:p>
    <w:p w14:paraId="7B1E2A0A">
      <w:pPr>
        <w:pStyle w:val="42"/>
        <w:keepNext w:val="0"/>
        <w:keepLines w:val="0"/>
        <w:pageBreakBefore w:val="0"/>
        <w:kinsoku/>
        <w:wordWrap/>
        <w:overflowPunct/>
        <w:bidi w:val="0"/>
        <w:spacing w:beforeLines="0" w:afterLines="0" w:line="60" w:lineRule="auto"/>
        <w:ind w:left="0" w:firstLine="420" w:firstLineChars="200"/>
        <w:jc w:val="both"/>
        <w:textAlignment w:val="auto"/>
        <w:outlineLvl w:val="9"/>
        <w:rPr>
          <w:rFonts w:hint="eastAsia" w:ascii="宋体" w:hAnsi="宋体" w:eastAsia="宋体" w:cs="宋体"/>
          <w:color w:val="auto"/>
          <w:sz w:val="21"/>
          <w:szCs w:val="21"/>
          <w:highlight w:val="none"/>
        </w:rPr>
      </w:pPr>
    </w:p>
    <w:p w14:paraId="3B1D51C6">
      <w:pPr>
        <w:keepNext w:val="0"/>
        <w:keepLines w:val="0"/>
        <w:pageBreakBefore w:val="0"/>
        <w:kinsoku/>
        <w:wordWrap/>
        <w:overflowPunct/>
        <w:bidi w:val="0"/>
        <w:textAlignment w:val="auto"/>
        <w:outlineLvl w:val="9"/>
        <w:rPr>
          <w:rFonts w:hint="eastAsia" w:ascii="宋体" w:hAnsi="宋体" w:eastAsia="宋体" w:cs="宋体"/>
          <w:b w:val="0"/>
          <w:bCs w:val="0"/>
          <w:color w:val="auto"/>
          <w:sz w:val="36"/>
          <w:szCs w:val="36"/>
          <w:highlight w:val="none"/>
        </w:rPr>
      </w:pPr>
      <w:bookmarkStart w:id="73" w:name="_Toc48834555"/>
      <w:r>
        <w:rPr>
          <w:rFonts w:hint="eastAsia" w:ascii="宋体" w:hAnsi="宋体" w:eastAsia="宋体" w:cs="宋体"/>
          <w:b w:val="0"/>
          <w:bCs w:val="0"/>
          <w:color w:val="auto"/>
          <w:sz w:val="36"/>
          <w:szCs w:val="36"/>
          <w:highlight w:val="none"/>
        </w:rPr>
        <w:br w:type="page"/>
      </w:r>
    </w:p>
    <w:p w14:paraId="1AB4F567">
      <w:pPr>
        <w:keepNext w:val="0"/>
        <w:keepLines w:val="0"/>
        <w:pageBreakBefore w:val="0"/>
        <w:kinsoku/>
        <w:wordWrap/>
        <w:overflowPunct/>
        <w:bidi w:val="0"/>
        <w:spacing w:line="460" w:lineRule="exact"/>
        <w:jc w:val="center"/>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w:t>
      </w:r>
      <w:bookmarkEnd w:id="73"/>
      <w:r>
        <w:rPr>
          <w:rFonts w:hint="eastAsia" w:ascii="宋体" w:hAnsi="宋体" w:eastAsia="宋体" w:cs="宋体"/>
          <w:color w:val="auto"/>
          <w:sz w:val="32"/>
          <w:szCs w:val="32"/>
          <w:highlight w:val="none"/>
        </w:rPr>
        <w:t>内容</w:t>
      </w:r>
    </w:p>
    <w:p w14:paraId="781A59A1">
      <w:pPr>
        <w:keepNext w:val="0"/>
        <w:keepLines w:val="0"/>
        <w:pageBreakBefore w:val="0"/>
        <w:kinsoku/>
        <w:wordWrap/>
        <w:overflowPunct/>
        <w:bidi w:val="0"/>
        <w:ind w:firstLine="440" w:firstLineChars="200"/>
        <w:jc w:val="both"/>
        <w:textAlignment w:val="auto"/>
        <w:outlineLvl w:val="9"/>
        <w:rPr>
          <w:rFonts w:hint="eastAsia" w:ascii="宋体" w:hAnsi="宋体" w:eastAsia="宋体" w:cs="宋体"/>
          <w:color w:val="auto"/>
          <w:highlight w:val="none"/>
        </w:rPr>
      </w:pPr>
    </w:p>
    <w:p w14:paraId="07780617">
      <w:pPr>
        <w:keepNext w:val="0"/>
        <w:keepLines w:val="0"/>
        <w:pageBreakBefore w:val="0"/>
        <w:kinsoku/>
        <w:wordWrap/>
        <w:overflowPunct/>
        <w:bidi w:val="0"/>
        <w:spacing w:line="460" w:lineRule="exact"/>
        <w:jc w:val="center"/>
        <w:textAlignment w:val="auto"/>
        <w:outlineLvl w:val="9"/>
        <w:rPr>
          <w:rFonts w:hint="eastAsia" w:ascii="宋体" w:hAnsi="宋体" w:eastAsia="宋体" w:cs="宋体"/>
          <w:color w:val="auto"/>
          <w:sz w:val="32"/>
          <w:szCs w:val="32"/>
          <w:highlight w:val="none"/>
        </w:rPr>
      </w:pPr>
      <w:bookmarkStart w:id="74" w:name="_Toc428024701"/>
      <w:bookmarkStart w:id="75" w:name="_Toc351203494"/>
      <w:bookmarkStart w:id="76" w:name="_Toc427566452"/>
      <w:r>
        <w:rPr>
          <w:rFonts w:hint="eastAsia" w:ascii="宋体" w:hAnsi="宋体" w:eastAsia="宋体" w:cs="宋体"/>
          <w:color w:val="auto"/>
          <w:sz w:val="32"/>
          <w:szCs w:val="32"/>
          <w:highlight w:val="none"/>
        </w:rPr>
        <w:t>第一部分协议书</w:t>
      </w:r>
    </w:p>
    <w:p w14:paraId="7B5A8E58">
      <w:pPr>
        <w:keepNext w:val="0"/>
        <w:keepLines w:val="0"/>
        <w:pageBreakBefore w:val="0"/>
        <w:kinsoku/>
        <w:wordWrap/>
        <w:overflowPunct/>
        <w:bidi w:val="0"/>
        <w:spacing w:line="460" w:lineRule="exact"/>
        <w:ind w:firstLine="803" w:firstLineChars="200"/>
        <w:jc w:val="both"/>
        <w:textAlignment w:val="auto"/>
        <w:outlineLvl w:val="9"/>
        <w:rPr>
          <w:rFonts w:hint="eastAsia" w:ascii="宋体" w:hAnsi="宋体" w:eastAsia="宋体" w:cs="宋体"/>
          <w:b/>
          <w:color w:val="auto"/>
          <w:sz w:val="40"/>
          <w:szCs w:val="32"/>
          <w:highlight w:val="none"/>
        </w:rPr>
      </w:pPr>
    </w:p>
    <w:p w14:paraId="1D739BCD">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发包人（全称）：</w:t>
      </w:r>
    </w:p>
    <w:p w14:paraId="14693AE2">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承包人（全称）：</w:t>
      </w:r>
    </w:p>
    <w:p w14:paraId="100CD9F9">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18E92D20">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一、工程概况</w:t>
      </w:r>
    </w:p>
    <w:p w14:paraId="633839A1">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工程名称：</w:t>
      </w:r>
    </w:p>
    <w:p w14:paraId="762FCA02">
      <w:pPr>
        <w:keepNext w:val="0"/>
        <w:keepLines w:val="0"/>
        <w:pageBreakBefore w:val="0"/>
        <w:kinsoku/>
        <w:wordWrap/>
        <w:overflowPunct/>
        <w:bidi w:val="0"/>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工程地点：</w:t>
      </w:r>
    </w:p>
    <w:p w14:paraId="21A00175">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工程内容：</w:t>
      </w:r>
    </w:p>
    <w:p w14:paraId="0C41546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工程立项批准文号：</w:t>
      </w:r>
    </w:p>
    <w:p w14:paraId="14177FE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资金来源：</w:t>
      </w:r>
    </w:p>
    <w:p w14:paraId="01312BF9">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二、工程承包范围</w:t>
      </w:r>
    </w:p>
    <w:p w14:paraId="4B342F90">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承包范围：</w:t>
      </w:r>
      <w:r>
        <w:rPr>
          <w:rFonts w:hint="eastAsia" w:ascii="宋体" w:hAnsi="宋体" w:eastAsia="宋体" w:cs="宋体"/>
          <w:color w:val="auto"/>
          <w:highlight w:val="none"/>
          <w:u w:val="single"/>
        </w:rPr>
        <w:t>工程量清单中包含的所有内容</w:t>
      </w:r>
    </w:p>
    <w:p w14:paraId="530E2175">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三、合同工期</w:t>
      </w:r>
    </w:p>
    <w:p w14:paraId="6019C098">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开工日期：年月日</w:t>
      </w:r>
    </w:p>
    <w:p w14:paraId="266F407D">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竣工日期：年月日</w:t>
      </w:r>
    </w:p>
    <w:p w14:paraId="1664A24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合同工期总日历天数：</w:t>
      </w:r>
      <w:r>
        <w:rPr>
          <w:rFonts w:hint="eastAsia" w:ascii="宋体" w:hAnsi="宋体" w:eastAsia="宋体" w:cs="宋体"/>
          <w:color w:val="auto"/>
          <w:highlight w:val="none"/>
          <w:u w:val="single"/>
        </w:rPr>
        <w:t>日历</w:t>
      </w:r>
      <w:r>
        <w:rPr>
          <w:rFonts w:hint="eastAsia" w:ascii="宋体" w:hAnsi="宋体" w:eastAsia="宋体" w:cs="宋体"/>
          <w:color w:val="auto"/>
          <w:highlight w:val="none"/>
        </w:rPr>
        <w:t>天（有效工期）</w:t>
      </w:r>
    </w:p>
    <w:p w14:paraId="40628D56">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四、质量标准</w:t>
      </w:r>
    </w:p>
    <w:p w14:paraId="1CF3DA82">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工程质量标准：</w:t>
      </w:r>
      <w:r>
        <w:rPr>
          <w:rFonts w:hint="eastAsia" w:ascii="宋体" w:hAnsi="宋体" w:eastAsia="宋体" w:cs="宋体"/>
          <w:color w:val="auto"/>
          <w:highlight w:val="none"/>
          <w:u w:val="single"/>
        </w:rPr>
        <w:t>合格</w:t>
      </w:r>
    </w:p>
    <w:p w14:paraId="5E96E1B2">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五、合同价款</w:t>
      </w:r>
    </w:p>
    <w:p w14:paraId="089D2116">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金额（大写）：(人民币)  </w:t>
      </w:r>
    </w:p>
    <w:p w14:paraId="0FD6D93E">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￥：元(人民币)  </w:t>
      </w:r>
    </w:p>
    <w:p w14:paraId="48840A8D">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六、组成合同的文件</w:t>
      </w:r>
    </w:p>
    <w:p w14:paraId="25E5B5AB">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组成本合同的文件包括：</w:t>
      </w:r>
    </w:p>
    <w:p w14:paraId="04E38139">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1.本合同协议书</w:t>
      </w:r>
    </w:p>
    <w:p w14:paraId="25427ADE">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14:paraId="355D9584">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3.投标书及其附件</w:t>
      </w:r>
    </w:p>
    <w:p w14:paraId="3B3F6B8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4.本合同专用条款</w:t>
      </w:r>
    </w:p>
    <w:p w14:paraId="04DA5A2A">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5.本合同通用条款</w:t>
      </w:r>
    </w:p>
    <w:p w14:paraId="5051D325">
      <w:pPr>
        <w:keepNext w:val="0"/>
        <w:keepLines w:val="0"/>
        <w:pageBreakBefore w:val="0"/>
        <w:tabs>
          <w:tab w:val="left" w:pos="6345"/>
        </w:tabs>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6.标准、规范及有关技术文件</w:t>
      </w:r>
      <w:r>
        <w:rPr>
          <w:rFonts w:hint="eastAsia" w:ascii="宋体" w:hAnsi="宋体" w:eastAsia="宋体" w:cs="宋体"/>
          <w:color w:val="auto"/>
          <w:highlight w:val="none"/>
        </w:rPr>
        <w:tab/>
      </w:r>
    </w:p>
    <w:p w14:paraId="385E5521">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7.图纸（含图纸会审纪要、路灯效果图及技术参数）</w:t>
      </w:r>
    </w:p>
    <w:p w14:paraId="6DE42F2C">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8.工程量清单</w:t>
      </w:r>
    </w:p>
    <w:p w14:paraId="3152ECD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9.工程报价单或预算书</w:t>
      </w:r>
    </w:p>
    <w:p w14:paraId="2DFAA87F">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双方有关工程的洽商、变更等书面协议或文件视为本合同的组成部分。</w:t>
      </w:r>
    </w:p>
    <w:p w14:paraId="47502158">
      <w:pPr>
        <w:keepNext w:val="0"/>
        <w:keepLines w:val="0"/>
        <w:pageBreakBefore w:val="0"/>
        <w:kinsoku/>
        <w:wordWrap/>
        <w:overflowPunct/>
        <w:bidi w:val="0"/>
        <w:spacing w:line="46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七、本协议书中有关词语含义与本合同第二部分《通用条款》中分别赋予它们的定义相同。</w:t>
      </w:r>
    </w:p>
    <w:p w14:paraId="0DED46E0">
      <w:pPr>
        <w:keepNext w:val="0"/>
        <w:keepLines w:val="0"/>
        <w:pageBreakBefore w:val="0"/>
        <w:kinsoku/>
        <w:wordWrap/>
        <w:overflowPunct/>
        <w:bidi w:val="0"/>
        <w:spacing w:line="46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八、承包人向发包人承诺按照合同约定进行施工、竣工并在质量保修期内承担工程质量保修责任。</w:t>
      </w:r>
    </w:p>
    <w:p w14:paraId="16930131">
      <w:pPr>
        <w:keepNext w:val="0"/>
        <w:keepLines w:val="0"/>
        <w:pageBreakBefore w:val="0"/>
        <w:kinsoku/>
        <w:wordWrap/>
        <w:overflowPunct/>
        <w:bidi w:val="0"/>
        <w:spacing w:line="46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九、发包人向承包人承诺按照合同约定的期限和支付方式支付合同价款及其他应当支付的款项。</w:t>
      </w:r>
    </w:p>
    <w:p w14:paraId="46CB06B7">
      <w:pPr>
        <w:keepNext w:val="0"/>
        <w:keepLines w:val="0"/>
        <w:pageBreakBefore w:val="0"/>
        <w:kinsoku/>
        <w:wordWrap/>
        <w:overflowPunct/>
        <w:bidi w:val="0"/>
        <w:spacing w:line="46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十、合同生效</w:t>
      </w:r>
    </w:p>
    <w:p w14:paraId="04F8EA0A">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合同订立时间：年月日</w:t>
      </w:r>
    </w:p>
    <w:p w14:paraId="51C4AC6B">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合同订立地点：</w:t>
      </w:r>
    </w:p>
    <w:p w14:paraId="69A91477">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本合同双方约定：</w:t>
      </w:r>
      <w:r>
        <w:rPr>
          <w:rFonts w:hint="eastAsia" w:ascii="宋体" w:hAnsi="宋体" w:eastAsia="宋体" w:cs="宋体"/>
          <w:color w:val="auto"/>
          <w:highlight w:val="none"/>
          <w:u w:val="single"/>
        </w:rPr>
        <w:t>双方签字盖章后生效</w:t>
      </w:r>
    </w:p>
    <w:p w14:paraId="516452DF">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发包人：（公章）承包人：（公章）</w:t>
      </w:r>
    </w:p>
    <w:p w14:paraId="054D63D0">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住所：住所：</w:t>
      </w:r>
    </w:p>
    <w:p w14:paraId="693E2FF2">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法定代表人：法定代表人：</w:t>
      </w:r>
    </w:p>
    <w:p w14:paraId="18985D9C">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委托代理人：委托代理人：</w:t>
      </w:r>
    </w:p>
    <w:p w14:paraId="0E93E14B">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电话：电话：</w:t>
      </w:r>
    </w:p>
    <w:p w14:paraId="41A23E86">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传真：传真：</w:t>
      </w:r>
    </w:p>
    <w:p w14:paraId="41DFE334">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开户银行：开户银行：</w:t>
      </w:r>
    </w:p>
    <w:p w14:paraId="19460C33">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账号：账号：</w:t>
      </w:r>
    </w:p>
    <w:p w14:paraId="3DEA3F7E">
      <w:pPr>
        <w:keepNext w:val="0"/>
        <w:keepLines w:val="0"/>
        <w:pageBreakBefore w:val="0"/>
        <w:kinsoku/>
        <w:wordWrap/>
        <w:overflowPunct/>
        <w:bidi w:val="0"/>
        <w:spacing w:line="46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邮政编码：邮政编码：</w:t>
      </w:r>
    </w:p>
    <w:p w14:paraId="2E636727">
      <w:pPr>
        <w:keepNext w:val="0"/>
        <w:keepLines w:val="0"/>
        <w:pageBreakBefore w:val="0"/>
        <w:kinsoku/>
        <w:wordWrap/>
        <w:overflowPunct/>
        <w:bidi w:val="0"/>
        <w:textAlignment w:val="auto"/>
        <w:outlineLvl w:val="9"/>
        <w:rPr>
          <w:rFonts w:hint="eastAsia"/>
          <w:color w:val="auto"/>
          <w:highlight w:val="none"/>
        </w:rPr>
      </w:pPr>
    </w:p>
    <w:p w14:paraId="3BF216A9">
      <w:pPr>
        <w:keepNext w:val="0"/>
        <w:keepLines w:val="0"/>
        <w:pageBreakBefore w:val="0"/>
        <w:kinsoku/>
        <w:wordWrap/>
        <w:overflowPunct/>
        <w:bidi w:val="0"/>
        <w:jc w:val="center"/>
        <w:textAlignment w:val="auto"/>
        <w:outlineLvl w:val="9"/>
        <w:rPr>
          <w:rFonts w:hint="eastAsia" w:ascii="宋体" w:hAnsi="宋体" w:eastAsia="宋体" w:cs="宋体"/>
          <w:color w:val="auto"/>
          <w:sz w:val="32"/>
          <w:highlight w:val="none"/>
        </w:rPr>
      </w:pPr>
      <w:bookmarkStart w:id="77" w:name="_Toc48834557"/>
      <w:r>
        <w:rPr>
          <w:rFonts w:hint="eastAsia" w:ascii="宋体" w:hAnsi="宋体" w:eastAsia="宋体" w:cs="宋体"/>
          <w:color w:val="auto"/>
          <w:sz w:val="32"/>
          <w:highlight w:val="none"/>
        </w:rPr>
        <w:t>第二部分 通用合同条款</w:t>
      </w:r>
      <w:bookmarkEnd w:id="74"/>
      <w:bookmarkEnd w:id="75"/>
      <w:bookmarkEnd w:id="76"/>
      <w:bookmarkEnd w:id="77"/>
    </w:p>
    <w:p w14:paraId="5A68D2CE">
      <w:pPr>
        <w:keepNext w:val="0"/>
        <w:keepLines w:val="0"/>
        <w:pageBreakBefore w:val="0"/>
        <w:kinsoku/>
        <w:wordWrap/>
        <w:overflowPunct/>
        <w:bidi w:val="0"/>
        <w:jc w:val="center"/>
        <w:textAlignment w:val="auto"/>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（根据国家相关示范文本）</w:t>
      </w:r>
    </w:p>
    <w:p w14:paraId="7D2E235B">
      <w:pPr>
        <w:pStyle w:val="43"/>
        <w:keepNext w:val="0"/>
        <w:keepLines w:val="0"/>
        <w:pageBreakBefore w:val="0"/>
        <w:kinsoku/>
        <w:wordWrap/>
        <w:overflowPunct/>
        <w:bidi w:val="0"/>
        <w:spacing w:before="0" w:beforeAutospacing="0" w:after="0" w:afterAutospacing="0" w:line="360" w:lineRule="auto"/>
        <w:ind w:firstLine="110" w:firstLineChars="50"/>
        <w:jc w:val="both"/>
        <w:textAlignment w:val="auto"/>
        <w:outlineLvl w:val="9"/>
        <w:rPr>
          <w:rFonts w:hint="eastAsia" w:ascii="宋体" w:hAnsi="宋体" w:eastAsia="宋体" w:cs="宋体"/>
          <w:color w:val="auto"/>
          <w:highlight w:val="none"/>
        </w:rPr>
      </w:pPr>
    </w:p>
    <w:p w14:paraId="6B0E32D4">
      <w:pPr>
        <w:pStyle w:val="43"/>
        <w:keepNext w:val="0"/>
        <w:keepLines w:val="0"/>
        <w:pageBreakBefore w:val="0"/>
        <w:kinsoku/>
        <w:wordWrap/>
        <w:overflowPunct/>
        <w:bidi w:val="0"/>
        <w:spacing w:before="0" w:beforeAutospacing="0" w:after="0" w:afterAutospacing="0" w:line="360" w:lineRule="auto"/>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参见建设工程施工合同</w:t>
      </w:r>
    </w:p>
    <w:p w14:paraId="12B6237E">
      <w:pPr>
        <w:pStyle w:val="43"/>
        <w:keepNext w:val="0"/>
        <w:keepLines w:val="0"/>
        <w:pageBreakBefore w:val="0"/>
        <w:kinsoku/>
        <w:wordWrap/>
        <w:overflowPunct/>
        <w:bidi w:val="0"/>
        <w:spacing w:before="0" w:beforeAutospacing="0" w:after="0" w:afterAutospacing="0" w:line="360" w:lineRule="auto"/>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"http://www.mohurd.gov.cn/wjfb/201710/W020171030112646.doc"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建设工程施工合同（示范文本）》（GF-2017-0201）</w:t>
      </w:r>
      <w:r>
        <w:rPr>
          <w:rFonts w:hint="eastAsia" w:ascii="宋体" w:hAnsi="宋体" w:eastAsia="宋体" w:cs="宋体"/>
          <w:color w:val="auto"/>
          <w:highlight w:val="none"/>
        </w:rPr>
        <w:fldChar w:fldCharType="end"/>
      </w:r>
    </w:p>
    <w:p w14:paraId="19F5E41C">
      <w:pPr>
        <w:pStyle w:val="43"/>
        <w:keepNext w:val="0"/>
        <w:keepLines w:val="0"/>
        <w:pageBreakBefore w:val="0"/>
        <w:kinsoku/>
        <w:wordWrap/>
        <w:overflowPunct/>
        <w:bidi w:val="0"/>
        <w:spacing w:before="0" w:beforeAutospacing="0" w:after="0" w:afterAutospacing="0" w:line="360" w:lineRule="auto"/>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通用合同条款内容。</w:t>
      </w:r>
    </w:p>
    <w:p w14:paraId="5A15BC34">
      <w:pPr>
        <w:keepNext w:val="0"/>
        <w:keepLines w:val="0"/>
        <w:pageBreakBefore w:val="0"/>
        <w:kinsoku/>
        <w:wordWrap/>
        <w:overflowPunct/>
        <w:bidi w:val="0"/>
        <w:spacing w:line="360" w:lineRule="auto"/>
        <w:jc w:val="both"/>
        <w:textAlignment w:val="auto"/>
        <w:outlineLvl w:val="9"/>
        <w:rPr>
          <w:rFonts w:hint="eastAsia" w:ascii="宋体" w:hAnsi="宋体" w:eastAsia="宋体" w:cs="宋体"/>
          <w:color w:val="auto"/>
          <w:highlight w:val="none"/>
        </w:rPr>
      </w:pPr>
    </w:p>
    <w:p w14:paraId="2D6ACD8A">
      <w:pPr>
        <w:rPr>
          <w:rFonts w:hint="eastAsia" w:ascii="宋体" w:hAnsi="宋体" w:eastAsia="宋体" w:cs="宋体"/>
          <w:color w:val="auto"/>
          <w:sz w:val="32"/>
          <w:highlight w:val="none"/>
        </w:rPr>
      </w:pPr>
      <w:bookmarkStart w:id="78" w:name="_Toc427566453"/>
      <w:bookmarkStart w:id="79" w:name="_Toc48834558"/>
      <w:bookmarkStart w:id="80" w:name="_Toc428024702"/>
      <w:r>
        <w:rPr>
          <w:rFonts w:hint="eastAsia" w:ascii="宋体" w:hAnsi="宋体" w:eastAsia="宋体" w:cs="宋体"/>
          <w:color w:val="auto"/>
          <w:sz w:val="32"/>
          <w:highlight w:val="none"/>
        </w:rPr>
        <w:br w:type="page"/>
      </w:r>
    </w:p>
    <w:p w14:paraId="4B3AA1D1">
      <w:pPr>
        <w:keepNext w:val="0"/>
        <w:keepLines w:val="0"/>
        <w:pageBreakBefore w:val="0"/>
        <w:kinsoku/>
        <w:wordWrap/>
        <w:overflowPunct/>
        <w:bidi w:val="0"/>
        <w:jc w:val="center"/>
        <w:textAlignment w:val="auto"/>
        <w:outlineLvl w:val="9"/>
        <w:rPr>
          <w:rFonts w:hint="eastAsia" w:ascii="宋体" w:hAnsi="宋体" w:eastAsia="宋体" w:cs="宋体"/>
          <w:color w:val="auto"/>
          <w:sz w:val="32"/>
          <w:highlight w:val="none"/>
        </w:rPr>
      </w:pPr>
      <w:r>
        <w:rPr>
          <w:rFonts w:hint="eastAsia" w:ascii="宋体" w:hAnsi="宋体" w:eastAsia="宋体" w:cs="宋体"/>
          <w:color w:val="auto"/>
          <w:sz w:val="32"/>
          <w:highlight w:val="none"/>
        </w:rPr>
        <w:t>第三部分 专用合同条款</w:t>
      </w:r>
      <w:bookmarkEnd w:id="78"/>
      <w:bookmarkEnd w:id="79"/>
      <w:bookmarkEnd w:id="80"/>
    </w:p>
    <w:p w14:paraId="72911A29">
      <w:pPr>
        <w:keepNext w:val="0"/>
        <w:keepLines w:val="0"/>
        <w:pageBreakBefore w:val="0"/>
        <w:kinsoku/>
        <w:wordWrap/>
        <w:overflowPunct/>
        <w:bidi w:val="0"/>
        <w:jc w:val="center"/>
        <w:textAlignment w:val="auto"/>
        <w:outlineLvl w:val="9"/>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（根据国家相关示范文本）</w:t>
      </w:r>
    </w:p>
    <w:p w14:paraId="6509D3A3">
      <w:pPr>
        <w:keepNext w:val="0"/>
        <w:keepLines w:val="0"/>
        <w:pageBreakBefore w:val="0"/>
        <w:kinsoku/>
        <w:wordWrap/>
        <w:overflowPunct/>
        <w:bidi w:val="0"/>
        <w:spacing w:line="460" w:lineRule="exact"/>
        <w:jc w:val="both"/>
        <w:textAlignment w:val="auto"/>
        <w:outlineLvl w:val="9"/>
        <w:rPr>
          <w:rFonts w:hint="eastAsia" w:ascii="宋体" w:hAnsi="宋体" w:eastAsia="宋体" w:cs="宋体"/>
          <w:b/>
          <w:bCs/>
          <w:color w:val="auto"/>
          <w:highlight w:val="none"/>
        </w:rPr>
      </w:pPr>
    </w:p>
    <w:p w14:paraId="05124C0B">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一、词语定义及合同文件</w:t>
      </w:r>
    </w:p>
    <w:p w14:paraId="4490356E">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 合同文件及解释顺序</w:t>
      </w:r>
    </w:p>
    <w:p w14:paraId="3D6DB2E5">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合同文件组成及解释顺序</w:t>
      </w:r>
      <w:r>
        <w:rPr>
          <w:rFonts w:hint="eastAsia" w:ascii="宋体" w:hAnsi="宋体" w:eastAsia="宋体" w:cs="宋体"/>
          <w:color w:val="auto"/>
          <w:highlight w:val="none"/>
          <w:u w:val="single"/>
        </w:rPr>
        <w:t>执行通用条款第2. 1、2.2条</w:t>
      </w:r>
    </w:p>
    <w:p w14:paraId="68AC45C4">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3．语言文字和适用法律、标准及规范</w:t>
      </w:r>
    </w:p>
    <w:p w14:paraId="18F1A6AC">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3.1本合同除使用汉语外，还使用</w:t>
      </w:r>
      <w:r>
        <w:rPr>
          <w:rFonts w:hint="eastAsia" w:ascii="宋体" w:hAnsi="宋体" w:eastAsia="宋体" w:cs="宋体"/>
          <w:color w:val="auto"/>
          <w:highlight w:val="none"/>
          <w:u w:val="single"/>
        </w:rPr>
        <w:t>/</w:t>
      </w:r>
      <w:r>
        <w:rPr>
          <w:rFonts w:hint="eastAsia" w:ascii="宋体" w:hAnsi="宋体" w:eastAsia="宋体" w:cs="宋体"/>
          <w:color w:val="auto"/>
          <w:highlight w:val="none"/>
        </w:rPr>
        <w:t>语言文字。</w:t>
      </w:r>
    </w:p>
    <w:p w14:paraId="638DBFFA">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3.2适用法律和法规</w:t>
      </w:r>
    </w:p>
    <w:p w14:paraId="29D0C034">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需要明示的法律、行政法规：</w:t>
      </w:r>
      <w:r>
        <w:rPr>
          <w:rFonts w:hint="eastAsia" w:ascii="宋体" w:hAnsi="宋体" w:eastAsia="宋体" w:cs="宋体"/>
          <w:color w:val="auto"/>
          <w:highlight w:val="none"/>
          <w:u w:val="single"/>
        </w:rPr>
        <w:t>现行的国家或地方有关市政工程的法律、法规。</w:t>
      </w:r>
    </w:p>
    <w:p w14:paraId="6AB50A72">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3.3适用标准、规范</w:t>
      </w:r>
    </w:p>
    <w:p w14:paraId="6D74DC4B">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适用标准、规范的名称：</w:t>
      </w:r>
      <w:r>
        <w:rPr>
          <w:rFonts w:hint="eastAsia" w:ascii="宋体" w:hAnsi="宋体" w:eastAsia="宋体" w:cs="宋体"/>
          <w:color w:val="auto"/>
          <w:highlight w:val="none"/>
          <w:u w:val="single"/>
        </w:rPr>
        <w:t>除招标文件、工程设计罗列部分外，国家、河南省及周口市现行与本工程建设相关的标准和规范。</w:t>
      </w:r>
    </w:p>
    <w:p w14:paraId="24E0BB50">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发包人提供标准、规范的时间：</w:t>
      </w:r>
      <w:r>
        <w:rPr>
          <w:rFonts w:hint="eastAsia" w:ascii="宋体" w:hAnsi="宋体" w:eastAsia="宋体" w:cs="宋体"/>
          <w:color w:val="auto"/>
          <w:highlight w:val="none"/>
          <w:u w:val="single"/>
        </w:rPr>
        <w:t>/</w:t>
      </w:r>
    </w:p>
    <w:p w14:paraId="3BBBEF63">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国内没有相应标准、规范时的约定：</w:t>
      </w:r>
      <w:r>
        <w:rPr>
          <w:rFonts w:hint="eastAsia" w:ascii="宋体" w:hAnsi="宋体" w:eastAsia="宋体" w:cs="宋体"/>
          <w:color w:val="auto"/>
          <w:highlight w:val="none"/>
          <w:u w:val="single"/>
        </w:rPr>
        <w:t>由发包人拟派工程师解决。</w:t>
      </w:r>
    </w:p>
    <w:p w14:paraId="7EBC5AF1">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4.图纸</w:t>
      </w:r>
    </w:p>
    <w:p w14:paraId="1AFECDC3">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4.1发包人向承包人提供图纸日期和套数：</w:t>
      </w:r>
      <w:r>
        <w:rPr>
          <w:rFonts w:hint="eastAsia" w:ascii="宋体" w:hAnsi="宋体" w:eastAsia="宋体" w:cs="宋体"/>
          <w:color w:val="auto"/>
          <w:highlight w:val="none"/>
          <w:u w:val="single"/>
        </w:rPr>
        <w:t>合同签订后   天内提供施工图2套</w:t>
      </w:r>
      <w:r>
        <w:rPr>
          <w:rFonts w:hint="eastAsia" w:ascii="宋体" w:hAnsi="宋体" w:eastAsia="宋体" w:cs="宋体"/>
          <w:color w:val="auto"/>
          <w:highlight w:val="none"/>
        </w:rPr>
        <w:t>发包人对图纸的保密要求：</w:t>
      </w:r>
      <w:r>
        <w:rPr>
          <w:rFonts w:hint="eastAsia" w:ascii="宋体" w:hAnsi="宋体" w:eastAsia="宋体" w:cs="宋体"/>
          <w:color w:val="auto"/>
          <w:highlight w:val="none"/>
          <w:u w:val="single"/>
        </w:rPr>
        <w:t>不准向本工程外的工程提供图纸或图纸复印件</w:t>
      </w:r>
      <w:r>
        <w:rPr>
          <w:rFonts w:hint="eastAsia" w:ascii="宋体" w:hAnsi="宋体" w:eastAsia="宋体" w:cs="宋体"/>
          <w:color w:val="auto"/>
          <w:highlight w:val="none"/>
        </w:rPr>
        <w:t>使用国外图纸的要求及费用承担</w:t>
      </w:r>
      <w:r>
        <w:rPr>
          <w:rFonts w:hint="eastAsia" w:ascii="宋体" w:hAnsi="宋体" w:eastAsia="宋体" w:cs="宋体"/>
          <w:color w:val="auto"/>
          <w:highlight w:val="none"/>
          <w:u w:val="single"/>
        </w:rPr>
        <w:t xml:space="preserve">：    </w:t>
      </w:r>
    </w:p>
    <w:p w14:paraId="41D699DF">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二、双方一般权利和义务</w:t>
      </w:r>
    </w:p>
    <w:p w14:paraId="4742AC03">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5.工程师</w:t>
      </w:r>
    </w:p>
    <w:p w14:paraId="7E8DC6C1">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5.2监理单位委派的工程师</w:t>
      </w:r>
    </w:p>
    <w:p w14:paraId="1B56928C">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姓名：职务：</w:t>
      </w:r>
      <w:r>
        <w:rPr>
          <w:rFonts w:hint="eastAsia" w:ascii="宋体" w:hAnsi="宋体" w:eastAsia="宋体" w:cs="宋体"/>
          <w:color w:val="auto"/>
          <w:highlight w:val="none"/>
          <w:u w:val="single"/>
        </w:rPr>
        <w:t>总监理工程师</w:t>
      </w:r>
    </w:p>
    <w:p w14:paraId="6F4CC78D">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发包人委托的职权：</w:t>
      </w:r>
      <w:r>
        <w:rPr>
          <w:rFonts w:hint="eastAsia" w:ascii="宋体" w:hAnsi="宋体" w:eastAsia="宋体" w:cs="宋体"/>
          <w:color w:val="auto"/>
          <w:highlight w:val="none"/>
          <w:u w:val="single"/>
        </w:rPr>
        <w:t>施工组织设计及方案审批，质量监督权，工程量签认权，进出厂材料、设备检验及批准使用权，监理合同中赋予的职权。</w:t>
      </w:r>
    </w:p>
    <w:p w14:paraId="1B38ED0D">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color w:val="auto"/>
          <w:highlight w:val="none"/>
          <w:u w:val="single"/>
        </w:rPr>
        <w:t>：发布开（停）工令，工期顺延签认，不称职人员撤换建议权。</w:t>
      </w:r>
    </w:p>
    <w:p w14:paraId="305064E0">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5.3发包人派驻的工程师</w:t>
      </w:r>
    </w:p>
    <w:p w14:paraId="1E715D14">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姓名：职务：</w:t>
      </w:r>
      <w:r>
        <w:rPr>
          <w:rFonts w:hint="eastAsia" w:ascii="宋体" w:hAnsi="宋体" w:eastAsia="宋体" w:cs="宋体"/>
          <w:color w:val="auto"/>
          <w:highlight w:val="none"/>
          <w:u w:val="single"/>
        </w:rPr>
        <w:t>工程师</w:t>
      </w:r>
    </w:p>
    <w:p w14:paraId="48709E96">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职权：</w:t>
      </w:r>
      <w:r>
        <w:rPr>
          <w:rFonts w:hint="eastAsia" w:ascii="宋体" w:hAnsi="宋体" w:eastAsia="宋体" w:cs="宋体"/>
          <w:color w:val="auto"/>
          <w:highlight w:val="none"/>
          <w:u w:val="single"/>
        </w:rPr>
        <w:t>作为发包方代表处理与本工程建设相关的一切事宜。</w:t>
      </w:r>
    </w:p>
    <w:p w14:paraId="5C289D73">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5.6不实行监理的，工程师的职权：</w:t>
      </w:r>
      <w:r>
        <w:rPr>
          <w:rFonts w:hint="eastAsia" w:ascii="宋体" w:hAnsi="宋体" w:eastAsia="宋体" w:cs="宋体"/>
          <w:color w:val="auto"/>
          <w:highlight w:val="none"/>
          <w:u w:val="single"/>
        </w:rPr>
        <w:t xml:space="preserve">/    </w:t>
      </w:r>
    </w:p>
    <w:p w14:paraId="25013AF9">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rPr>
        <w:t>6</w:t>
      </w:r>
      <w:r>
        <w:rPr>
          <w:rFonts w:hint="eastAsia" w:ascii="宋体" w:hAnsi="宋体" w:eastAsia="宋体" w:cs="宋体"/>
          <w:b/>
          <w:color w:val="auto"/>
          <w:highlight w:val="none"/>
        </w:rPr>
        <w:t>.项目经理</w:t>
      </w:r>
    </w:p>
    <w:p w14:paraId="0BFA5488">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姓名：职务：</w:t>
      </w:r>
      <w:r>
        <w:rPr>
          <w:rFonts w:hint="eastAsia" w:ascii="宋体" w:hAnsi="宋体" w:eastAsia="宋体" w:cs="宋体"/>
          <w:color w:val="auto"/>
          <w:highlight w:val="none"/>
          <w:u w:val="single"/>
        </w:rPr>
        <w:t>项目经理</w:t>
      </w:r>
    </w:p>
    <w:p w14:paraId="35F8E30D">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rPr>
        <w:t>7</w:t>
      </w:r>
      <w:r>
        <w:rPr>
          <w:rFonts w:hint="eastAsia" w:ascii="宋体" w:hAnsi="宋体" w:eastAsia="宋体" w:cs="宋体"/>
          <w:b/>
          <w:color w:val="auto"/>
          <w:highlight w:val="none"/>
        </w:rPr>
        <w:t>.发包人工作</w:t>
      </w:r>
    </w:p>
    <w:p w14:paraId="1FF7465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7</w:t>
      </w:r>
      <w:r>
        <w:rPr>
          <w:rFonts w:hint="eastAsia" w:ascii="宋体" w:hAnsi="宋体" w:eastAsia="宋体" w:cs="宋体"/>
          <w:color w:val="auto"/>
          <w:highlight w:val="none"/>
        </w:rPr>
        <w:t>.1发包人应按约定的时间和要求完成以下工作：</w:t>
      </w:r>
    </w:p>
    <w:p w14:paraId="3042B91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（1）施工场地具备施工条件的要求及完成的时间：</w:t>
      </w:r>
    </w:p>
    <w:p w14:paraId="7FF69F1A">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已具备开工条件</w:t>
      </w:r>
    </w:p>
    <w:p w14:paraId="7392E70B">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（2）将施工所需的水、电、电讯线路接至施工场地的时间、地点和供应要求：</w:t>
      </w:r>
      <w:r>
        <w:rPr>
          <w:rFonts w:hint="eastAsia" w:ascii="宋体" w:hAnsi="宋体" w:eastAsia="宋体" w:cs="宋体"/>
          <w:color w:val="auto"/>
          <w:highlight w:val="none"/>
          <w:u w:val="single"/>
        </w:rPr>
        <w:t>已具备</w:t>
      </w:r>
    </w:p>
    <w:p w14:paraId="48FB038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（3）施工场地与公共道路的开通时间和要求：</w:t>
      </w:r>
      <w:r>
        <w:rPr>
          <w:rFonts w:hint="eastAsia" w:ascii="宋体" w:hAnsi="宋体" w:eastAsia="宋体" w:cs="宋体"/>
          <w:color w:val="auto"/>
          <w:highlight w:val="none"/>
          <w:u w:val="single"/>
        </w:rPr>
        <w:t>已开通</w:t>
      </w:r>
    </w:p>
    <w:p w14:paraId="6DCDE2BA">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（4）工程地质和地下管线资料的提供时间：</w:t>
      </w:r>
      <w:r>
        <w:rPr>
          <w:rFonts w:hint="eastAsia" w:ascii="宋体" w:hAnsi="宋体" w:eastAsia="宋体" w:cs="宋体"/>
          <w:color w:val="auto"/>
          <w:highlight w:val="none"/>
          <w:u w:val="single"/>
        </w:rPr>
        <w:t>开工前</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天</w:t>
      </w:r>
    </w:p>
    <w:p w14:paraId="742DF85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（5）由发包人办理的施工所需证件、批件的名称和完成时间：</w:t>
      </w:r>
      <w:r>
        <w:rPr>
          <w:rFonts w:hint="eastAsia" w:ascii="宋体" w:hAnsi="宋体" w:eastAsia="宋体" w:cs="宋体"/>
          <w:color w:val="auto"/>
          <w:highlight w:val="none"/>
          <w:u w:val="single"/>
        </w:rPr>
        <w:t>开工前</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天（因施工单位的原因导致所需证件不能及时办理的，施工单位不得因此要求顺延工期）</w:t>
      </w:r>
    </w:p>
    <w:p w14:paraId="54A00C22">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（6）水准点与坐标控制点交验要求：</w:t>
      </w:r>
      <w:r>
        <w:rPr>
          <w:rFonts w:hint="eastAsia" w:ascii="宋体" w:hAnsi="宋体" w:eastAsia="宋体" w:cs="宋体"/>
          <w:color w:val="auto"/>
          <w:highlight w:val="none"/>
          <w:u w:val="single"/>
        </w:rPr>
        <w:t>按照发包方提供的资料及现场交点进行校验</w:t>
      </w:r>
    </w:p>
    <w:p w14:paraId="3EE73D2C">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（7）图纸会审和设计交底时间：</w:t>
      </w:r>
      <w:r>
        <w:rPr>
          <w:rFonts w:hint="eastAsia" w:ascii="宋体" w:hAnsi="宋体" w:eastAsia="宋体" w:cs="宋体"/>
          <w:color w:val="auto"/>
          <w:highlight w:val="none"/>
          <w:u w:val="single"/>
        </w:rPr>
        <w:t>开工前</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天</w:t>
      </w:r>
    </w:p>
    <w:p w14:paraId="77774E38">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（8）协调处理施工场地周围地下管线和邻近建筑物、构筑物（含文物保护建筑）、古树名木的保护：</w:t>
      </w:r>
      <w:r>
        <w:rPr>
          <w:rFonts w:hint="eastAsia" w:ascii="宋体" w:hAnsi="宋体" w:eastAsia="宋体" w:cs="宋体"/>
          <w:color w:val="auto"/>
          <w:highlight w:val="none"/>
          <w:u w:val="single"/>
        </w:rPr>
        <w:t>承包方按照发包方要求和有关规定做好保护工作</w:t>
      </w:r>
    </w:p>
    <w:p w14:paraId="57A8327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（9）双方约定发包人应做的其他工作：</w:t>
      </w:r>
      <w:r>
        <w:rPr>
          <w:rFonts w:hint="eastAsia" w:ascii="宋体" w:hAnsi="宋体" w:eastAsia="宋体" w:cs="宋体"/>
          <w:color w:val="auto"/>
          <w:highlight w:val="none"/>
          <w:u w:val="single"/>
        </w:rPr>
        <w:t>双方协商</w:t>
      </w:r>
    </w:p>
    <w:p w14:paraId="5964B52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lang w:val="en-US"/>
        </w:rPr>
        <w:t>7</w:t>
      </w:r>
      <w:r>
        <w:rPr>
          <w:rFonts w:hint="eastAsia" w:ascii="宋体" w:hAnsi="宋体" w:eastAsia="宋体" w:cs="宋体"/>
          <w:color w:val="auto"/>
          <w:highlight w:val="none"/>
        </w:rPr>
        <w:t>.2发包人委托承包人办理的工作：</w:t>
      </w:r>
      <w:r>
        <w:rPr>
          <w:rFonts w:hint="eastAsia" w:ascii="宋体" w:hAnsi="宋体" w:eastAsia="宋体" w:cs="宋体"/>
          <w:color w:val="auto"/>
          <w:highlight w:val="none"/>
          <w:u w:val="single"/>
        </w:rPr>
        <w:t>承包方协助发包方做好施工期间与周边关系的协调工作。</w:t>
      </w:r>
    </w:p>
    <w:p w14:paraId="4722061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.承包人工作</w:t>
      </w:r>
    </w:p>
    <w:p w14:paraId="3869E162">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.1承包人应按约定时间和要求，完成以下工作：</w:t>
      </w:r>
    </w:p>
    <w:p w14:paraId="574936FC">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（1）需由设计资质等级和业务范围允许的承包人完成的设计文件提交时间：</w:t>
      </w:r>
      <w:r>
        <w:rPr>
          <w:rFonts w:hint="eastAsia" w:ascii="宋体" w:hAnsi="宋体" w:eastAsia="宋体" w:cs="宋体"/>
          <w:color w:val="auto"/>
          <w:highlight w:val="none"/>
          <w:u w:val="single"/>
        </w:rPr>
        <w:t>无</w:t>
      </w:r>
    </w:p>
    <w:p w14:paraId="4D8F0A5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（2）应提供计划、报表的名称及完成时间：</w:t>
      </w:r>
      <w:r>
        <w:rPr>
          <w:rFonts w:hint="eastAsia" w:ascii="宋体" w:hAnsi="宋体" w:eastAsia="宋体" w:cs="宋体"/>
          <w:color w:val="auto"/>
          <w:highlight w:val="none"/>
          <w:u w:val="single"/>
        </w:rPr>
        <w:t>开工前</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日提供正式总进度计划表、详细的分部工程施工计划、资金使用计划等一式三份，每月</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日提供当月实际完成工程量，报当月签证、变更和下月施工计划表。以上计划必须经过监理工程师签字认可后报发包人。</w:t>
      </w:r>
    </w:p>
    <w:p w14:paraId="6B1B169F">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（3）承担施工安全保卫工作及非夜间施工照明的责任和要求：</w:t>
      </w:r>
      <w:r>
        <w:rPr>
          <w:rFonts w:hint="eastAsia" w:ascii="宋体" w:hAnsi="宋体" w:eastAsia="宋体" w:cs="宋体"/>
          <w:color w:val="auto"/>
          <w:highlight w:val="none"/>
          <w:u w:val="single"/>
        </w:rPr>
        <w:t>负责施工现场的日夜值班保卫及夜间照明，对施工中的安全负全责。</w:t>
      </w:r>
    </w:p>
    <w:p w14:paraId="59850BB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（4）向发包人提供的办公和生活房屋及设施的要求：</w:t>
      </w:r>
      <w:r>
        <w:rPr>
          <w:rFonts w:hint="eastAsia" w:ascii="宋体" w:hAnsi="宋体" w:eastAsia="宋体" w:cs="宋体"/>
          <w:color w:val="auto"/>
          <w:highlight w:val="none"/>
          <w:u w:val="single"/>
        </w:rPr>
        <w:t>双方协商。</w:t>
      </w:r>
    </w:p>
    <w:p w14:paraId="03C7F6EC">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（5）需承包人办理的有关施工场地交通、环卫和施工噪音管理等手续：</w:t>
      </w:r>
      <w:r>
        <w:rPr>
          <w:rFonts w:hint="eastAsia" w:ascii="宋体" w:hAnsi="宋体" w:eastAsia="宋体" w:cs="宋体"/>
          <w:color w:val="auto"/>
          <w:highlight w:val="none"/>
          <w:u w:val="single"/>
        </w:rPr>
        <w:t>由施工单位掌握办理时间，以不影响施工正常进行为原则，并承担因此发生的费用。</w:t>
      </w:r>
    </w:p>
    <w:p w14:paraId="22BD69C0">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（6）已完工程成品保护的特殊要求及费用承担：</w:t>
      </w:r>
      <w:r>
        <w:rPr>
          <w:rFonts w:hint="eastAsia" w:ascii="宋体" w:hAnsi="宋体" w:eastAsia="宋体" w:cs="宋体"/>
          <w:color w:val="auto"/>
          <w:highlight w:val="none"/>
          <w:u w:val="single"/>
        </w:rPr>
        <w:t>施工期间的成品保护由承包方负责，质保期满、竣工综合移交验收后由发包方负责。</w:t>
      </w:r>
    </w:p>
    <w:p w14:paraId="4F9F7A93">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（7）施工场地周围地下管线和邻近建筑物、构筑物（含文物保护建筑）、古树名木的保护要求及费用承担：</w:t>
      </w:r>
    </w:p>
    <w:p w14:paraId="7E562A0B">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（8）施工场地清洁卫生的要求：</w:t>
      </w:r>
    </w:p>
    <w:p w14:paraId="2CF75D16">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（9）双方约定承包人应做的其他工作：</w:t>
      </w:r>
    </w:p>
    <w:p w14:paraId="2ADE4054">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三、施工组织设计和工期</w:t>
      </w:r>
    </w:p>
    <w:p w14:paraId="000021A2">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rPr>
        <w:t>9</w:t>
      </w:r>
      <w:r>
        <w:rPr>
          <w:rFonts w:hint="eastAsia" w:ascii="宋体" w:hAnsi="宋体" w:eastAsia="宋体" w:cs="宋体"/>
          <w:b/>
          <w:color w:val="auto"/>
          <w:highlight w:val="none"/>
        </w:rPr>
        <w:t>.进度计划</w:t>
      </w:r>
    </w:p>
    <w:p w14:paraId="10B8C11F">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9</w:t>
      </w:r>
      <w:r>
        <w:rPr>
          <w:rFonts w:hint="eastAsia" w:ascii="宋体" w:hAnsi="宋体" w:eastAsia="宋体" w:cs="宋体"/>
          <w:color w:val="auto"/>
          <w:highlight w:val="none"/>
        </w:rPr>
        <w:t>.1承包人提供施工组织设计（施工方案）和进度计划的时间：</w:t>
      </w:r>
    </w:p>
    <w:p w14:paraId="2DF98E7B">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实施前</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天提交施工组织设计（施工方案）和进度计划（含时标网络计划）</w:t>
      </w:r>
    </w:p>
    <w:p w14:paraId="678284AB">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工程师确认的时间</w:t>
      </w:r>
      <w:r>
        <w:rPr>
          <w:rFonts w:hint="eastAsia" w:ascii="宋体" w:hAnsi="宋体" w:eastAsia="宋体" w:cs="宋体"/>
          <w:color w:val="auto"/>
          <w:highlight w:val="none"/>
          <w:u w:val="single"/>
        </w:rPr>
        <w:t>：收到后</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个工作日</w:t>
      </w:r>
    </w:p>
    <w:p w14:paraId="62B3FBDE">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lang w:val="en-US"/>
        </w:rPr>
        <w:t>9</w:t>
      </w:r>
      <w:r>
        <w:rPr>
          <w:rFonts w:hint="eastAsia" w:ascii="宋体" w:hAnsi="宋体" w:eastAsia="宋体" w:cs="宋体"/>
          <w:color w:val="auto"/>
          <w:highlight w:val="none"/>
        </w:rPr>
        <w:t>.2群体工程中有关进度计划的要求：</w:t>
      </w:r>
      <w:r>
        <w:rPr>
          <w:rFonts w:hint="eastAsia" w:ascii="宋体" w:hAnsi="宋体" w:eastAsia="宋体" w:cs="宋体"/>
          <w:color w:val="auto"/>
          <w:highlight w:val="none"/>
          <w:u w:val="single"/>
        </w:rPr>
        <w:t>无</w:t>
      </w:r>
    </w:p>
    <w:p w14:paraId="446DB18F">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13.工期延误</w:t>
      </w:r>
    </w:p>
    <w:p w14:paraId="37B4E765">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13.1双方约定工期顺延的其他情况：</w:t>
      </w:r>
    </w:p>
    <w:p w14:paraId="1273E3F2">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四、质量与验收</w:t>
      </w:r>
    </w:p>
    <w:p w14:paraId="54CCA64E">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17.隐蔽工程和中间验收</w:t>
      </w:r>
    </w:p>
    <w:p w14:paraId="2BC62CE0">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17.1双约定中间验收部位：</w:t>
      </w:r>
    </w:p>
    <w:p w14:paraId="5243C0BA">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19.工程试车</w:t>
      </w:r>
    </w:p>
    <w:p w14:paraId="103C1B46">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19.5试车费用地承担：</w:t>
      </w:r>
      <w:r>
        <w:rPr>
          <w:rFonts w:hint="eastAsia" w:ascii="宋体" w:hAnsi="宋体" w:eastAsia="宋体" w:cs="宋体"/>
          <w:color w:val="auto"/>
          <w:highlight w:val="none"/>
          <w:u w:val="single"/>
        </w:rPr>
        <w:t>无</w:t>
      </w:r>
    </w:p>
    <w:p w14:paraId="1E707146">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五、安全施工：</w:t>
      </w:r>
    </w:p>
    <w:p w14:paraId="275A861A">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遵照国家、建设部、河南省及周口市现行有关规定执行。</w:t>
      </w:r>
    </w:p>
    <w:p w14:paraId="3B62CD69">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六、合同价款及调整</w:t>
      </w:r>
    </w:p>
    <w:p w14:paraId="0C75C0EE">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23. 合同价款及调整</w:t>
      </w:r>
    </w:p>
    <w:p w14:paraId="738AE12F">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23.2本合同价款采用</w:t>
      </w:r>
      <w:r>
        <w:rPr>
          <w:rFonts w:hint="eastAsia" w:ascii="宋体" w:hAnsi="宋体" w:eastAsia="宋体" w:cs="宋体"/>
          <w:color w:val="auto"/>
          <w:highlight w:val="none"/>
          <w:u w:val="single"/>
        </w:rPr>
        <w:t>（1）</w:t>
      </w:r>
      <w:r>
        <w:rPr>
          <w:rFonts w:hint="eastAsia" w:ascii="宋体" w:hAnsi="宋体" w:eastAsia="宋体" w:cs="宋体"/>
          <w:color w:val="auto"/>
          <w:highlight w:val="none"/>
        </w:rPr>
        <w:t>方式确定。</w:t>
      </w:r>
    </w:p>
    <w:p w14:paraId="3FE322B2">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（1）采用固定价格合同，合同价款中包括：</w:t>
      </w:r>
    </w:p>
    <w:p w14:paraId="2BCB8C12">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除下列原因外合同的固定总价均不得改变：</w:t>
      </w:r>
    </w:p>
    <w:p w14:paraId="442B9770">
      <w:pPr>
        <w:keepNext w:val="0"/>
        <w:keepLines w:val="0"/>
        <w:pageBreakBefore w:val="0"/>
        <w:kinsoku/>
        <w:wordWrap/>
        <w:overflowPunct/>
        <w:bidi w:val="0"/>
        <w:snapToGrid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①甲方有效签证确认的设计变更、现场签证；合同中已有适用于变更工程的价格，按合同已有的价格变更合同价款；合同中只有类似于变更工程的价格，可以参照类似价格变更合同价款。</w:t>
      </w:r>
    </w:p>
    <w:p w14:paraId="7329BE0E">
      <w:pPr>
        <w:keepNext w:val="0"/>
        <w:keepLines w:val="0"/>
        <w:pageBreakBefore w:val="0"/>
        <w:kinsoku/>
        <w:wordWrap/>
        <w:overflowPunct/>
        <w:bidi w:val="0"/>
        <w:snapToGrid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②如果直接取消某分部分项工程量清单项目，则该项目价款不予支付。</w:t>
      </w:r>
    </w:p>
    <w:p w14:paraId="48758400">
      <w:pPr>
        <w:keepNext w:val="0"/>
        <w:keepLines w:val="0"/>
        <w:pageBreakBefore w:val="0"/>
        <w:kinsoku/>
        <w:wordWrap/>
        <w:overflowPunct/>
        <w:bidi w:val="0"/>
        <w:snapToGrid w:val="0"/>
        <w:spacing w:line="40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③措施费均为税后的包干价，不因设计变更而调增。</w:t>
      </w:r>
    </w:p>
    <w:p w14:paraId="2E1327FD">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（2）采用可调价格合同，合同价款调整方法：</w:t>
      </w:r>
    </w:p>
    <w:p w14:paraId="7B8532D0">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（3）采用成本加酬金合同，有关成本和酬金的约定：</w:t>
      </w:r>
    </w:p>
    <w:p w14:paraId="317F19A9">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23.3双方约定合同价款的其他调整因素：</w:t>
      </w:r>
    </w:p>
    <w:p w14:paraId="36E87D97">
      <w:pPr>
        <w:keepNext w:val="0"/>
        <w:keepLines w:val="0"/>
        <w:pageBreakBefore w:val="0"/>
        <w:kinsoku/>
        <w:wordWrap/>
        <w:overflowPunct/>
        <w:bidi w:val="0"/>
        <w:spacing w:line="40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24.工程预付款</w:t>
      </w:r>
    </w:p>
    <w:p w14:paraId="377BA0DE">
      <w:pPr>
        <w:keepNext w:val="0"/>
        <w:keepLines w:val="0"/>
        <w:pageBreakBefore w:val="0"/>
        <w:kinsoku/>
        <w:wordWrap/>
        <w:overflowPunct/>
        <w:bidi w:val="0"/>
        <w:spacing w:line="40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发包人向承包人预付工程款的时间和金额或占合同价款总额的比例：</w:t>
      </w:r>
    </w:p>
    <w:p w14:paraId="67D80909">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扣回工程款的时间、比例：</w:t>
      </w:r>
    </w:p>
    <w:p w14:paraId="71AA2B60">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25.工程量确认</w:t>
      </w:r>
    </w:p>
    <w:p w14:paraId="3C449D2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25.1承包人向工程师提交已完工程量报告的时间：</w:t>
      </w:r>
      <w:r>
        <w:rPr>
          <w:rFonts w:hint="eastAsia" w:ascii="宋体" w:hAnsi="宋体" w:eastAsia="宋体" w:cs="宋体"/>
          <w:color w:val="auto"/>
          <w:highlight w:val="none"/>
          <w:u w:val="single"/>
        </w:rPr>
        <w:t>每月</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日前提供当月已完工程量报表三份，监理工程师在收到后</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个工作日内审查完毕并报发包人审核，发包人在收到后</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天内审核完毕。</w:t>
      </w:r>
    </w:p>
    <w:p w14:paraId="13BDF7AB">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26. 工程款支付</w:t>
      </w:r>
    </w:p>
    <w:p w14:paraId="5C8646E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双方约定的工程款（进度款）支付的方式和时间：中标后双方协商。</w:t>
      </w:r>
    </w:p>
    <w:p w14:paraId="78A45311">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七、材料设备供应</w:t>
      </w:r>
    </w:p>
    <w:p w14:paraId="679B20C3">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27.发包人供应材料设备</w:t>
      </w:r>
    </w:p>
    <w:p w14:paraId="4BAC89E6">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27.4发包人供应的材料设备与一览表不符时，双方约定发包人承担责任如下：</w:t>
      </w:r>
    </w:p>
    <w:p w14:paraId="0B0F676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（1）材料设备单价与一览表不符：</w:t>
      </w:r>
    </w:p>
    <w:p w14:paraId="17D1EC8B">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（2）材料设备的品种、规格、型号、质量等级与一览表不符：</w:t>
      </w:r>
    </w:p>
    <w:p w14:paraId="53D2179A">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（3）承包人可代为调剂串换的材料：</w:t>
      </w:r>
    </w:p>
    <w:p w14:paraId="619864A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（4）到货地点与一览表不符：</w:t>
      </w:r>
    </w:p>
    <w:p w14:paraId="73490D60">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（5）供应数量与一览表不符：</w:t>
      </w:r>
    </w:p>
    <w:p w14:paraId="3608FFC3">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（6）到货时间与一览表不符：</w:t>
      </w:r>
    </w:p>
    <w:p w14:paraId="09BE43B0">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27.6发包人供应材料设备的结算方法：</w:t>
      </w:r>
    </w:p>
    <w:p w14:paraId="245B0CC0">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28.承包人采购材料设备</w:t>
      </w:r>
    </w:p>
    <w:p w14:paraId="624B7099">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28．1承包人采购材料设备的约定：</w:t>
      </w:r>
      <w:r>
        <w:rPr>
          <w:rFonts w:hint="eastAsia" w:ascii="宋体" w:hAnsi="宋体" w:eastAsia="宋体" w:cs="宋体"/>
          <w:color w:val="auto"/>
          <w:highlight w:val="none"/>
          <w:u w:val="single"/>
        </w:rPr>
        <w:t>执行通用条款</w:t>
      </w:r>
    </w:p>
    <w:p w14:paraId="50DC5B7D">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u w:val="single"/>
        </w:rPr>
      </w:pPr>
      <w:r>
        <w:rPr>
          <w:rFonts w:hint="eastAsia" w:ascii="宋体" w:hAnsi="宋体" w:eastAsia="宋体" w:cs="宋体"/>
          <w:b/>
          <w:color w:val="auto"/>
          <w:highlight w:val="none"/>
        </w:rPr>
        <w:t>八、工程变更</w:t>
      </w:r>
      <w:r>
        <w:rPr>
          <w:rFonts w:hint="eastAsia" w:ascii="宋体" w:hAnsi="宋体" w:eastAsia="宋体" w:cs="宋体"/>
          <w:color w:val="auto"/>
          <w:highlight w:val="none"/>
          <w:u w:val="single"/>
        </w:rPr>
        <w:t>执行通用条款</w:t>
      </w:r>
    </w:p>
    <w:p w14:paraId="1437DC13">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九、竣工验收与结算</w:t>
      </w:r>
    </w:p>
    <w:p w14:paraId="35A8385B">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32.竣工验收</w:t>
      </w:r>
    </w:p>
    <w:p w14:paraId="2B110AB9">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32.1承包人提供竣工图的约定：</w:t>
      </w:r>
      <w:r>
        <w:rPr>
          <w:rFonts w:hint="eastAsia" w:ascii="宋体" w:hAnsi="宋体" w:eastAsia="宋体" w:cs="宋体"/>
          <w:color w:val="auto"/>
          <w:highlight w:val="none"/>
          <w:u w:val="single"/>
        </w:rPr>
        <w:t>提交竣工报告的同时提交竣工图</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套</w:t>
      </w:r>
    </w:p>
    <w:p w14:paraId="55E446B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32.6中间交工工程的范围和竣工时间：</w:t>
      </w:r>
      <w:r>
        <w:rPr>
          <w:rFonts w:hint="eastAsia" w:ascii="宋体" w:hAnsi="宋体" w:eastAsia="宋体" w:cs="宋体"/>
          <w:color w:val="auto"/>
          <w:highlight w:val="none"/>
          <w:u w:val="single"/>
        </w:rPr>
        <w:t>发包方和承包方协商</w:t>
      </w:r>
    </w:p>
    <w:p w14:paraId="2314EF6F">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十、违约、索赔和争议</w:t>
      </w:r>
    </w:p>
    <w:p w14:paraId="7615C37E">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35.违约</w:t>
      </w:r>
    </w:p>
    <w:p w14:paraId="47745C83">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35.1本合同中关于发包人违约的具体责任如下：</w:t>
      </w:r>
    </w:p>
    <w:p w14:paraId="2B87946A">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本合同通用条款第24条约定发包人违约应承担的违约责任：</w:t>
      </w:r>
    </w:p>
    <w:p w14:paraId="6D5DE5A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本合同通用条款第26.4款约定发包人违约应承担的违约责任：</w:t>
      </w:r>
      <w:r>
        <w:rPr>
          <w:rFonts w:hint="eastAsia" w:ascii="宋体" w:hAnsi="宋体" w:eastAsia="宋体" w:cs="宋体"/>
          <w:color w:val="auto"/>
          <w:highlight w:val="none"/>
          <w:u w:val="single"/>
        </w:rPr>
        <w:t xml:space="preserve">    /                    </w:t>
      </w:r>
    </w:p>
    <w:p w14:paraId="2F28C7E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本合同通用条款第33.3款约定发包人违约应承担的违约责任：</w:t>
      </w:r>
      <w:r>
        <w:rPr>
          <w:rFonts w:hint="eastAsia" w:ascii="宋体" w:hAnsi="宋体" w:eastAsia="宋体" w:cs="宋体"/>
          <w:color w:val="auto"/>
          <w:highlight w:val="none"/>
          <w:u w:val="single"/>
        </w:rPr>
        <w:t xml:space="preserve">          /                                      </w:t>
      </w:r>
    </w:p>
    <w:p w14:paraId="53B7296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双方约定的发包人其他违约责任：</w:t>
      </w:r>
      <w:r>
        <w:rPr>
          <w:rFonts w:hint="eastAsia" w:ascii="宋体" w:hAnsi="宋体" w:eastAsia="宋体" w:cs="宋体"/>
          <w:color w:val="auto"/>
          <w:highlight w:val="none"/>
          <w:u w:val="single"/>
        </w:rPr>
        <w:t>双方协商解决</w:t>
      </w:r>
    </w:p>
    <w:p w14:paraId="7F0032EB">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35.2本合同中关于承包人违约的具体责任如下：</w:t>
      </w:r>
    </w:p>
    <w:p w14:paraId="77D7968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本合同通用条款第14.2款约定承包人违约应承担的违约责任：</w:t>
      </w:r>
      <w:r>
        <w:rPr>
          <w:rFonts w:hint="eastAsia" w:ascii="宋体" w:hAnsi="宋体" w:eastAsia="宋体" w:cs="宋体"/>
          <w:color w:val="auto"/>
          <w:highlight w:val="none"/>
          <w:u w:val="single"/>
        </w:rPr>
        <w:t>承包人不能按约定的竣工日期或监理工程师同意顺延的工期竣工的，每延期一天承包人应向发包人支付合同价款</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‰的违约金，并承担因此给发包方造成的其它经济损失。</w:t>
      </w:r>
    </w:p>
    <w:p w14:paraId="71E6113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本合同通用条款第15.1条约定承包人违约应承担的违约责任：</w:t>
      </w:r>
      <w:r>
        <w:rPr>
          <w:rFonts w:hint="eastAsia" w:ascii="宋体" w:hAnsi="宋体" w:eastAsia="宋体" w:cs="宋体"/>
          <w:color w:val="auto"/>
          <w:highlight w:val="none"/>
          <w:u w:val="single"/>
        </w:rPr>
        <w:t>工程质量达不到约定的标准，承包人应承担因此导致的鉴定、检验及返工、拆除重建等费用，工期不予顺延，并向发包人支付合同总价</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%的违约金</w:t>
      </w:r>
    </w:p>
    <w:p w14:paraId="0C976B6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双方约定的承包人其他违约责任：</w:t>
      </w:r>
      <w:r>
        <w:rPr>
          <w:rFonts w:hint="eastAsia" w:ascii="宋体" w:hAnsi="宋体" w:eastAsia="宋体" w:cs="宋体"/>
          <w:color w:val="auto"/>
          <w:highlight w:val="none"/>
          <w:u w:val="single"/>
        </w:rPr>
        <w:t>双方协商解决</w:t>
      </w:r>
    </w:p>
    <w:p w14:paraId="784328DE">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37.争议</w:t>
      </w:r>
    </w:p>
    <w:p w14:paraId="7BE804F8">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37.1双方约定，在履行合同过程中产生争议时：</w:t>
      </w:r>
    </w:p>
    <w:p w14:paraId="26CC7807">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1</w:t>
      </w:r>
      <w:r>
        <w:rPr>
          <w:rFonts w:hint="eastAsia" w:ascii="宋体" w:hAnsi="宋体" w:eastAsia="宋体" w:cs="宋体"/>
          <w:color w:val="auto"/>
          <w:highlight w:val="none"/>
        </w:rPr>
        <w:t>）按本合同规定应该偿付的违约金、赔偿金、保管保养费和各种经济损失，应当在明确责任后10天内，按银行规定的结算办法付清，否则按逾期付款处理。但任何一方不得自行扣发货物或扣付货款来充抵。</w:t>
      </w:r>
    </w:p>
    <w:p w14:paraId="0AB39887">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rPr>
        <w:t>2</w:t>
      </w:r>
      <w:r>
        <w:rPr>
          <w:rFonts w:hint="eastAsia" w:ascii="宋体" w:hAnsi="宋体" w:eastAsia="宋体" w:cs="宋体"/>
          <w:color w:val="auto"/>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color w:val="auto"/>
          <w:highlight w:val="none"/>
          <w:u w:val="single"/>
        </w:rPr>
        <w:t>周口仲裁委员会</w:t>
      </w:r>
      <w:r>
        <w:rPr>
          <w:rFonts w:hint="eastAsia" w:ascii="宋体" w:hAnsi="宋体" w:eastAsia="宋体" w:cs="宋体"/>
          <w:color w:val="auto"/>
          <w:highlight w:val="none"/>
        </w:rPr>
        <w:t>申请仲裁。②向合同签订地有级别管辖权的人民法院起诉。</w:t>
      </w:r>
    </w:p>
    <w:p w14:paraId="4C277B71">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rPr>
        <w:t>（3）甲、乙双方均有权利向本项目具有监管职能的政府采购监督管理部门举报反映对方在合同履约中的违法违纪行为。</w:t>
      </w:r>
    </w:p>
    <w:p w14:paraId="14BA7F4F">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十一、其他</w:t>
      </w:r>
    </w:p>
    <w:p w14:paraId="19A1D5AD">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38. 工程分包</w:t>
      </w:r>
    </w:p>
    <w:p w14:paraId="430F5A29">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38.1本工程发包人同意承包人分包的工程：</w:t>
      </w:r>
    </w:p>
    <w:p w14:paraId="3E1C22F6">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分包施工单位为：</w:t>
      </w:r>
      <w:r>
        <w:rPr>
          <w:rFonts w:hint="eastAsia" w:ascii="宋体" w:hAnsi="宋体" w:eastAsia="宋体" w:cs="宋体"/>
          <w:color w:val="auto"/>
          <w:highlight w:val="none"/>
          <w:u w:val="single"/>
        </w:rPr>
        <w:t xml:space="preserve">                /                                                         </w:t>
      </w:r>
    </w:p>
    <w:p w14:paraId="77B90A2B">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39.不可抗力</w:t>
      </w:r>
    </w:p>
    <w:p w14:paraId="16A91567">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39.1双方关于不可抗力的约定：</w:t>
      </w:r>
      <w:r>
        <w:rPr>
          <w:rFonts w:hint="eastAsia" w:ascii="宋体" w:hAnsi="宋体" w:eastAsia="宋体" w:cs="宋体"/>
          <w:color w:val="auto"/>
          <w:highlight w:val="none"/>
          <w:u w:val="single"/>
        </w:rPr>
        <w:t>执行通用条款</w:t>
      </w:r>
    </w:p>
    <w:p w14:paraId="31D4E213">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40.保险</w:t>
      </w:r>
    </w:p>
    <w:p w14:paraId="74C05BF7">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40.6本工程双方约定投保内容如下：</w:t>
      </w:r>
    </w:p>
    <w:p w14:paraId="750C23C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（1）发包人投保内容：</w:t>
      </w:r>
      <w:r>
        <w:rPr>
          <w:rFonts w:hint="eastAsia" w:ascii="宋体" w:hAnsi="宋体" w:eastAsia="宋体" w:cs="宋体"/>
          <w:color w:val="auto"/>
          <w:highlight w:val="none"/>
          <w:u w:val="single"/>
        </w:rPr>
        <w:t>执行通用条款</w:t>
      </w:r>
    </w:p>
    <w:p w14:paraId="5791758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发包人委托承包人办理的保险事项：</w:t>
      </w:r>
    </w:p>
    <w:p w14:paraId="7BABA04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（2）承包人的投保内容：</w:t>
      </w:r>
    </w:p>
    <w:p w14:paraId="7683E82E">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41.担保</w:t>
      </w:r>
    </w:p>
    <w:p w14:paraId="5F1EDD7D">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41.3本工程双方承包人提供履约担保，担保事项如下：</w:t>
      </w:r>
    </w:p>
    <w:p w14:paraId="597DFF90">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（1）发包人向承包人提供履约担保，担保方式为：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担保合同作为本合同附件。</w:t>
      </w:r>
    </w:p>
    <w:p w14:paraId="4A284FA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（2）承包人向发包人提供履约担保，担保方式为：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担保合同作为本合同附件。</w:t>
      </w:r>
    </w:p>
    <w:p w14:paraId="4FE4ED3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（3）双方约定的其他担保事项：</w:t>
      </w:r>
    </w:p>
    <w:p w14:paraId="5B096F1D">
      <w:pPr>
        <w:keepNext w:val="0"/>
        <w:keepLines w:val="0"/>
        <w:pageBreakBefore w:val="0"/>
        <w:kinsoku/>
        <w:wordWrap/>
        <w:overflowPunct/>
        <w:bidi w:val="0"/>
        <w:spacing w:line="480" w:lineRule="exact"/>
        <w:ind w:firstLine="442" w:firstLineChars="200"/>
        <w:jc w:val="both"/>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46.合同份数</w:t>
      </w:r>
    </w:p>
    <w:p w14:paraId="0D829B04">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46.1双方约定合同份数：</w:t>
      </w:r>
      <w:r>
        <w:rPr>
          <w:rFonts w:hint="eastAsia" w:ascii="宋体" w:hAnsi="宋体" w:eastAsia="宋体" w:cs="宋体"/>
          <w:color w:val="auto"/>
          <w:highlight w:val="none"/>
          <w:u w:val="single"/>
        </w:rPr>
        <w:t>一式陆份，正本贰份，副本肆份。</w:t>
      </w:r>
    </w:p>
    <w:p w14:paraId="331CFDF5">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47.补充条款</w:t>
      </w:r>
    </w:p>
    <w:p w14:paraId="55B1494C">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1、有关工程量清单缺漏项的处理方法：根据实际情况，视情节由发包人、监理人、承包人三方协商解决，并由发包人、监理人、承包人三方核实确定后据实调整。</w:t>
      </w:r>
    </w:p>
    <w:p w14:paraId="39F4BEE0">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元违约金，项目经理和技术负责人与投标文件不一致时，每发现一人，承包人应向发包人支付违约金</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元。承包人必须在发包人指定的时间内安排原计划配备人员到场，否则，发包人有权终止合同，承包人赔偿因此给发包人带来的损失。</w:t>
      </w:r>
    </w:p>
    <w:p w14:paraId="053E27DF">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3、承包人派驻施工现场的项目经理每周应有</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ascii="宋体" w:hAnsi="宋体" w:eastAsia="宋体" w:cs="宋体"/>
          <w:color w:val="auto"/>
          <w:highlight w:val="none"/>
          <w:u w:val="single"/>
          <w:lang w:val="en-US"/>
        </w:rPr>
        <w:t xml:space="preserve"> </w:t>
      </w:r>
      <w:r>
        <w:rPr>
          <w:rFonts w:hint="eastAsia" w:ascii="宋体" w:hAnsi="宋体" w:eastAsia="宋体" w:cs="宋体"/>
          <w:color w:val="auto"/>
          <w:highlight w:val="none"/>
          <w:u w:val="single"/>
        </w:rPr>
        <w:t>元违约金。</w:t>
      </w:r>
    </w:p>
    <w:p w14:paraId="166363C8">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4、因发包人拆迁等原因长期不能提供施工场地导致无法组织施工的工程，不影响已完工程的竣工验收和工程款的支付。</w:t>
      </w:r>
    </w:p>
    <w:p w14:paraId="3F502BDF">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5、人工费按国家和地方有关文件规定执行。</w:t>
      </w:r>
    </w:p>
    <w:p w14:paraId="77E4A4B8">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6、施工过程中如遇国家、地方等政策性调整，按规定执行。</w:t>
      </w:r>
    </w:p>
    <w:p w14:paraId="189D7A53">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single"/>
        </w:rPr>
        <w:t>7、在保修期内给水工程的维护和维修，由承包方负责并承担全部费用。</w:t>
      </w:r>
    </w:p>
    <w:p w14:paraId="3828DEA3">
      <w:pPr>
        <w:keepNext w:val="0"/>
        <w:keepLines w:val="0"/>
        <w:pageBreakBefore w:val="0"/>
        <w:kinsoku/>
        <w:wordWrap/>
        <w:overflowPunct/>
        <w:bidi w:val="0"/>
        <w:spacing w:line="480" w:lineRule="exact"/>
        <w:ind w:firstLine="44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本合同未尽事宜，双方另行协商，协商内容作为本合同的附件，与本合同具有同等法律效力。</w:t>
      </w:r>
    </w:p>
    <w:p w14:paraId="7AA2DAD5">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u w:val="single"/>
        </w:rPr>
      </w:pPr>
    </w:p>
    <w:p w14:paraId="50AF45EA">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0D4DEF8D">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3DE21F7F">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48628CA3">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75AC595C">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605939C8">
      <w:pPr>
        <w:keepNext w:val="0"/>
        <w:keepLines w:val="0"/>
        <w:pageBreakBefore w:val="0"/>
        <w:kinsoku/>
        <w:wordWrap/>
        <w:overflowPunct/>
        <w:bidi w:val="0"/>
        <w:spacing w:line="360" w:lineRule="auto"/>
        <w:ind w:firstLine="442" w:firstLineChars="200"/>
        <w:jc w:val="both"/>
        <w:textAlignment w:val="auto"/>
        <w:outlineLvl w:val="9"/>
        <w:rPr>
          <w:rFonts w:hint="eastAsia" w:ascii="宋体" w:hAnsi="宋体" w:eastAsia="宋体" w:cs="宋体"/>
          <w:b/>
          <w:color w:val="auto"/>
          <w:szCs w:val="21"/>
          <w:highlight w:val="none"/>
        </w:rPr>
      </w:pPr>
    </w:p>
    <w:p w14:paraId="478DB156">
      <w:pPr>
        <w:keepNext w:val="0"/>
        <w:keepLines w:val="0"/>
        <w:pageBreakBefore w:val="0"/>
        <w:kinsoku/>
        <w:wordWrap/>
        <w:overflowPunct/>
        <w:bidi w:val="0"/>
        <w:spacing w:line="360" w:lineRule="auto"/>
        <w:jc w:val="both"/>
        <w:textAlignment w:val="auto"/>
        <w:outlineLvl w:val="9"/>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附件1：</w:t>
      </w:r>
    </w:p>
    <w:p w14:paraId="777AE723">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承包人承揽工程项目一览表</w:t>
      </w:r>
    </w:p>
    <w:tbl>
      <w:tblPr>
        <w:tblStyle w:val="1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6BBA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3DC1581">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900" w:type="dxa"/>
            <w:vAlign w:val="center"/>
          </w:tcPr>
          <w:p w14:paraId="51F6AA40">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w:t>
            </w:r>
          </w:p>
          <w:p w14:paraId="0DF41776">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规模</w:t>
            </w:r>
          </w:p>
        </w:tc>
        <w:tc>
          <w:tcPr>
            <w:tcW w:w="1319" w:type="dxa"/>
            <w:vAlign w:val="center"/>
          </w:tcPr>
          <w:p w14:paraId="026EC1FC">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建筑面积（平方米）</w:t>
            </w:r>
          </w:p>
        </w:tc>
        <w:tc>
          <w:tcPr>
            <w:tcW w:w="682" w:type="dxa"/>
            <w:vAlign w:val="center"/>
          </w:tcPr>
          <w:p w14:paraId="19C5A934">
            <w:pPr>
              <w:keepNext w:val="0"/>
              <w:keepLines w:val="0"/>
              <w:pageBreakBefore w:val="0"/>
              <w:kinsoku/>
              <w:wordWrap/>
              <w:overflowPunct/>
              <w:bidi w:val="0"/>
              <w:spacing w:line="360" w:lineRule="auto"/>
              <w:ind w:right="-81" w:rightChars="-37"/>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结构</w:t>
            </w:r>
          </w:p>
        </w:tc>
        <w:tc>
          <w:tcPr>
            <w:tcW w:w="709" w:type="dxa"/>
            <w:vAlign w:val="center"/>
          </w:tcPr>
          <w:p w14:paraId="4D9C8F60">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层数</w:t>
            </w:r>
          </w:p>
        </w:tc>
        <w:tc>
          <w:tcPr>
            <w:tcW w:w="877" w:type="dxa"/>
            <w:vAlign w:val="center"/>
          </w:tcPr>
          <w:p w14:paraId="2AB3F664">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跨度</w:t>
            </w:r>
          </w:p>
          <w:p w14:paraId="68EA00FD">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（米）</w:t>
            </w:r>
          </w:p>
        </w:tc>
        <w:tc>
          <w:tcPr>
            <w:tcW w:w="800" w:type="dxa"/>
            <w:vAlign w:val="center"/>
          </w:tcPr>
          <w:p w14:paraId="3015FDE6">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w:t>
            </w:r>
          </w:p>
          <w:p w14:paraId="02831097">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w:t>
            </w:r>
          </w:p>
          <w:p w14:paraId="2953561D">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850" w:type="dxa"/>
            <w:vAlign w:val="center"/>
          </w:tcPr>
          <w:p w14:paraId="6701BAC8">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w:t>
            </w:r>
          </w:p>
          <w:p w14:paraId="31988DC8">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w:t>
            </w:r>
          </w:p>
          <w:p w14:paraId="02A2975C">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709" w:type="dxa"/>
            <w:vAlign w:val="center"/>
          </w:tcPr>
          <w:p w14:paraId="2EDE220C">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w:t>
            </w:r>
          </w:p>
          <w:p w14:paraId="0C824877">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c>
          <w:tcPr>
            <w:tcW w:w="709" w:type="dxa"/>
            <w:vAlign w:val="center"/>
          </w:tcPr>
          <w:p w14:paraId="198A4EDC">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w:t>
            </w:r>
          </w:p>
          <w:p w14:paraId="6B3E7CF5">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r>
      <w:tr w14:paraId="4E46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736831">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900" w:type="dxa"/>
            <w:vAlign w:val="center"/>
          </w:tcPr>
          <w:p w14:paraId="6CD87588">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1319" w:type="dxa"/>
            <w:vAlign w:val="center"/>
          </w:tcPr>
          <w:p w14:paraId="336D535E">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682" w:type="dxa"/>
            <w:vAlign w:val="center"/>
          </w:tcPr>
          <w:p w14:paraId="5EA6C57A">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0FD7880F">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77" w:type="dxa"/>
            <w:vAlign w:val="center"/>
          </w:tcPr>
          <w:p w14:paraId="5BE97FEA">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00" w:type="dxa"/>
            <w:vAlign w:val="center"/>
          </w:tcPr>
          <w:p w14:paraId="52C1BC11">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50" w:type="dxa"/>
            <w:vAlign w:val="center"/>
          </w:tcPr>
          <w:p w14:paraId="1A9D123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55C74338">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1D5F5A8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r>
      <w:tr w14:paraId="45E4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919DC1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900" w:type="dxa"/>
            <w:vAlign w:val="center"/>
          </w:tcPr>
          <w:p w14:paraId="03CF06AF">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1319" w:type="dxa"/>
            <w:vAlign w:val="center"/>
          </w:tcPr>
          <w:p w14:paraId="37999AF5">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682" w:type="dxa"/>
            <w:vAlign w:val="center"/>
          </w:tcPr>
          <w:p w14:paraId="2672A752">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4CAE8529">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77" w:type="dxa"/>
            <w:vAlign w:val="center"/>
          </w:tcPr>
          <w:p w14:paraId="2C07DD5A">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00" w:type="dxa"/>
            <w:vAlign w:val="center"/>
          </w:tcPr>
          <w:p w14:paraId="428EAFE5">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50" w:type="dxa"/>
            <w:vAlign w:val="center"/>
          </w:tcPr>
          <w:p w14:paraId="66AA7509">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756D3126">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401CFF43">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r>
      <w:tr w14:paraId="3D83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2959126">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900" w:type="dxa"/>
            <w:vAlign w:val="center"/>
          </w:tcPr>
          <w:p w14:paraId="0802E4B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1319" w:type="dxa"/>
            <w:vAlign w:val="center"/>
          </w:tcPr>
          <w:p w14:paraId="25D293B9">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682" w:type="dxa"/>
            <w:vAlign w:val="center"/>
          </w:tcPr>
          <w:p w14:paraId="0A897292">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5450D967">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77" w:type="dxa"/>
            <w:vAlign w:val="center"/>
          </w:tcPr>
          <w:p w14:paraId="409FAA16">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00" w:type="dxa"/>
            <w:vAlign w:val="center"/>
          </w:tcPr>
          <w:p w14:paraId="4A110AF7">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850" w:type="dxa"/>
            <w:vAlign w:val="center"/>
          </w:tcPr>
          <w:p w14:paraId="425C1122">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6C618F7D">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c>
          <w:tcPr>
            <w:tcW w:w="709" w:type="dxa"/>
            <w:vAlign w:val="center"/>
          </w:tcPr>
          <w:p w14:paraId="38BE0DA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tc>
      </w:tr>
      <w:tr w14:paraId="4E57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AA69C7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108E402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56A61BB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3640D2D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F20E6D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669B9DC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0FAE5F8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0A9070F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42C62F9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89B957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1B0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37CEFD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22ABE49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670CB91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02B2932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2CF71D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12A397F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4956FD2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3BD476D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C9A14D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AA9938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0C5D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FF809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52CF49C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4E52203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5C3E655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741B981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388D221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501A8D8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A9332D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6CED06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7EA2B1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5113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D051D4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1765D22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57AFB1B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4FF7BA6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3414FB7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3CA0DBB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7BF2131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093CB2E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23F9E1B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92FC42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504F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5E6F7C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571AAEF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51B8D86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599293F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5198735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1C4C95C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5901548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4958C7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35ACCC6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24CF250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69AF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1B970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5885352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4C5FDA4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61B830B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54839A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51F231B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558D1A4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64266F8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38B9B63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F234FE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5791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6D3F8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12CAA2C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35255D8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5C88712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3AE8B22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282FDD3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0516A57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8991EC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24D646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416EB32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40C9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8C2E93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520C013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3B4453B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11619D2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D2ADEC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70EA1CE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40F1A9C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1933C15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73449C5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38E9FB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6B60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000AC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28995A8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08285F0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7A2E087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DD9265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41B2B0B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3ADB6E2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EA638E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EDE225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6EA829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4AEE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22AF23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76D23A9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4E11FB6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0FC9CAB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7BBC810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237C20A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41AC406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2CA2D75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793E138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538BE4F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34DB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A6D10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62E4DCC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3205BCF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589E52D4">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5CDBBF5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0D954FD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2EE5AF7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5DDD07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0CB12A7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211927F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15DE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011E02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58EDDB1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4D11F15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0B250131">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399EEC0">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531C112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4354B14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7D501586">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6F8F3768">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7990FAD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700F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CCAF8F3">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3602ADC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64C0E0F2">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558B948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527D32F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3D7D81D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0E123E8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48ED4FB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455D7A2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437B41CB">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r w14:paraId="787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4835D2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900" w:type="dxa"/>
            <w:vAlign w:val="center"/>
          </w:tcPr>
          <w:p w14:paraId="4E200BED">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1319" w:type="dxa"/>
            <w:vAlign w:val="center"/>
          </w:tcPr>
          <w:p w14:paraId="20C83BBA">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682" w:type="dxa"/>
            <w:vAlign w:val="center"/>
          </w:tcPr>
          <w:p w14:paraId="2BE06D5E">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4A82BF5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77" w:type="dxa"/>
            <w:vAlign w:val="center"/>
          </w:tcPr>
          <w:p w14:paraId="563E2655">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00" w:type="dxa"/>
            <w:vAlign w:val="center"/>
          </w:tcPr>
          <w:p w14:paraId="033071D9">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850" w:type="dxa"/>
            <w:vAlign w:val="center"/>
          </w:tcPr>
          <w:p w14:paraId="1E1F685C">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21C97AA7">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c>
          <w:tcPr>
            <w:tcW w:w="709" w:type="dxa"/>
            <w:vAlign w:val="center"/>
          </w:tcPr>
          <w:p w14:paraId="12958F3F">
            <w:pPr>
              <w:keepNext w:val="0"/>
              <w:keepLines w:val="0"/>
              <w:pageBreakBefore w:val="0"/>
              <w:kinsoku/>
              <w:wordWrap/>
              <w:overflowPunct/>
              <w:bidi w:val="0"/>
              <w:spacing w:line="360" w:lineRule="auto"/>
              <w:ind w:firstLine="640" w:firstLineChars="200"/>
              <w:jc w:val="both"/>
              <w:textAlignment w:val="auto"/>
              <w:outlineLvl w:val="9"/>
              <w:rPr>
                <w:rFonts w:hint="eastAsia" w:ascii="宋体" w:hAnsi="宋体" w:eastAsia="宋体" w:cs="宋体"/>
                <w:color w:val="auto"/>
                <w:sz w:val="32"/>
                <w:highlight w:val="none"/>
              </w:rPr>
            </w:pPr>
          </w:p>
        </w:tc>
      </w:tr>
    </w:tbl>
    <w:p w14:paraId="2CEB5EFD">
      <w:pPr>
        <w:keepNext w:val="0"/>
        <w:keepLines w:val="0"/>
        <w:pageBreakBefore w:val="0"/>
        <w:kinsoku/>
        <w:wordWrap/>
        <w:overflowPunct/>
        <w:bidi w:val="0"/>
        <w:spacing w:line="360" w:lineRule="auto"/>
        <w:ind w:firstLine="643" w:firstLineChars="200"/>
        <w:jc w:val="both"/>
        <w:textAlignment w:val="auto"/>
        <w:outlineLvl w:val="9"/>
        <w:rPr>
          <w:rFonts w:hint="eastAsia" w:ascii="宋体" w:hAnsi="宋体" w:eastAsia="宋体" w:cs="宋体"/>
          <w:b/>
          <w:color w:val="auto"/>
          <w:sz w:val="32"/>
          <w:highlight w:val="none"/>
        </w:rPr>
      </w:pPr>
    </w:p>
    <w:p w14:paraId="4BA8995C">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EEF0E92">
      <w:pPr>
        <w:keepNext w:val="0"/>
        <w:keepLines w:val="0"/>
        <w:pageBreakBefore w:val="0"/>
        <w:kinsoku/>
        <w:wordWrap/>
        <w:overflowPunct/>
        <w:bidi w:val="0"/>
        <w:spacing w:line="360" w:lineRule="auto"/>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附件2：</w:t>
      </w:r>
    </w:p>
    <w:p w14:paraId="254C3979">
      <w:pPr>
        <w:keepNext w:val="0"/>
        <w:keepLines w:val="0"/>
        <w:pageBreakBefore w:val="0"/>
        <w:kinsoku/>
        <w:wordWrap/>
        <w:overflowPunct/>
        <w:bidi w:val="0"/>
        <w:spacing w:line="360" w:lineRule="auto"/>
        <w:jc w:val="center"/>
        <w:textAlignment w:val="auto"/>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主要材料设备一览表</w:t>
      </w:r>
    </w:p>
    <w:tbl>
      <w:tblPr>
        <w:tblStyle w:val="19"/>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54F3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630C0B8">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46" w:type="dxa"/>
            <w:vAlign w:val="center"/>
          </w:tcPr>
          <w:p w14:paraId="3FFF9A65">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w:t>
            </w:r>
          </w:p>
          <w:p w14:paraId="1A69AA7A">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w:t>
            </w:r>
          </w:p>
          <w:p w14:paraId="2DDC3186">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品种</w:t>
            </w:r>
          </w:p>
        </w:tc>
        <w:tc>
          <w:tcPr>
            <w:tcW w:w="851" w:type="dxa"/>
            <w:vAlign w:val="center"/>
          </w:tcPr>
          <w:p w14:paraId="5ED63786">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382B55B9">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08" w:type="dxa"/>
            <w:vAlign w:val="center"/>
          </w:tcPr>
          <w:p w14:paraId="63B27A4E">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10" w:type="dxa"/>
            <w:vAlign w:val="center"/>
          </w:tcPr>
          <w:p w14:paraId="0C6C5E5C">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51" w:type="dxa"/>
            <w:vAlign w:val="center"/>
          </w:tcPr>
          <w:p w14:paraId="2958D5F7">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736" w:type="dxa"/>
            <w:vAlign w:val="center"/>
          </w:tcPr>
          <w:p w14:paraId="0F858C6A">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质量等级</w:t>
            </w:r>
          </w:p>
        </w:tc>
        <w:tc>
          <w:tcPr>
            <w:tcW w:w="910" w:type="dxa"/>
            <w:vAlign w:val="center"/>
          </w:tcPr>
          <w:p w14:paraId="149817D5">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w:t>
            </w:r>
          </w:p>
          <w:p w14:paraId="14CAB05E">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1088" w:type="dxa"/>
            <w:vAlign w:val="center"/>
          </w:tcPr>
          <w:p w14:paraId="1617F2ED">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送达</w:t>
            </w:r>
          </w:p>
          <w:p w14:paraId="65F9C1DD">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878" w:type="dxa"/>
            <w:vAlign w:val="center"/>
          </w:tcPr>
          <w:p w14:paraId="0138DC48">
            <w:pPr>
              <w:keepNext w:val="0"/>
              <w:keepLines w:val="0"/>
              <w:pageBreakBefore w:val="0"/>
              <w:kinsoku/>
              <w:wordWrap/>
              <w:overflowPunct/>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C34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58D48A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6E9058A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64FAEA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153183A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133BABDB">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2BD410A6">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2495362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4DFAA2E6">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545B5DA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7ED33A3E">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0BBD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C2386E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3C64658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7FC5BCD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05F36C1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517E733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DFDBDDB">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33B1F89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23AC361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7B83C83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2C75B2DE">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31F5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7AA25CE">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7B1AE33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7051AFA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39AAE9FB">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5E8A001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9FC543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36D8C73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20E0AE1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0924354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6490BA3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6EE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254532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6EDF1B4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041D60A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34E6EE4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27EA2A6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73C53D9">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50AD4DB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0FEBADC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0D73AC6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6A8B89C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51C9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2BE7FA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782A457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1C84872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0BD34856">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06DF894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7A38AF59">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134D64F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22441F72">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402D3F2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0B72388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50DC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E27D2B2">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71A17F6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03BBB73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687E00E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39E5A2D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532094D9">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11990BDE">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314BF27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32E3898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6099B03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1B7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404DBE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07DEDE9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3C696FC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6896B38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3DA799A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1368FD4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07CD8B8B">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2B7ED4F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2CDCD1BC">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264A47F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10AC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AA12CB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7E4CA71F">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817F31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3EA37254">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7754C99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E0FD5B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3D6365E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13F765D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05E06DF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478C0D3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6D0C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452734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6B5B964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6B63F672">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13D3755E">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7E0B5F2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C07D047">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32D12FF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4B9E7B89">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0B8D2751">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00544EE6">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5C07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BD73702">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053A338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15DC423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0A6A202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3AC8F47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538A56B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082C3E82">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59F5EDE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6181282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652DC96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r w14:paraId="783B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E03E800">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446" w:type="dxa"/>
            <w:vAlign w:val="center"/>
          </w:tcPr>
          <w:p w14:paraId="232C2863">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4355668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08" w:type="dxa"/>
            <w:vAlign w:val="center"/>
          </w:tcPr>
          <w:p w14:paraId="1E767665">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10" w:type="dxa"/>
            <w:vAlign w:val="center"/>
          </w:tcPr>
          <w:p w14:paraId="0126E51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51" w:type="dxa"/>
            <w:vAlign w:val="center"/>
          </w:tcPr>
          <w:p w14:paraId="6CA09969">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736" w:type="dxa"/>
            <w:vAlign w:val="center"/>
          </w:tcPr>
          <w:p w14:paraId="5A33438A">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910" w:type="dxa"/>
            <w:vAlign w:val="center"/>
          </w:tcPr>
          <w:p w14:paraId="657E9A7D">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1088" w:type="dxa"/>
            <w:vAlign w:val="center"/>
          </w:tcPr>
          <w:p w14:paraId="5DF405B6">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c>
          <w:tcPr>
            <w:tcW w:w="878" w:type="dxa"/>
            <w:vAlign w:val="center"/>
          </w:tcPr>
          <w:p w14:paraId="064A5948">
            <w:pPr>
              <w:keepNext w:val="0"/>
              <w:keepLines w:val="0"/>
              <w:pageBreakBefore w:val="0"/>
              <w:kinsoku/>
              <w:wordWrap/>
              <w:overflowPunct/>
              <w:bidi w:val="0"/>
              <w:spacing w:line="360" w:lineRule="auto"/>
              <w:ind w:firstLine="800" w:firstLineChars="200"/>
              <w:jc w:val="both"/>
              <w:textAlignment w:val="auto"/>
              <w:outlineLvl w:val="9"/>
              <w:rPr>
                <w:rFonts w:hint="eastAsia" w:ascii="宋体" w:hAnsi="宋体" w:eastAsia="宋体" w:cs="宋体"/>
                <w:color w:val="auto"/>
                <w:sz w:val="40"/>
                <w:szCs w:val="32"/>
                <w:highlight w:val="none"/>
              </w:rPr>
            </w:pPr>
          </w:p>
        </w:tc>
      </w:tr>
    </w:tbl>
    <w:p w14:paraId="1C2ADF0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73F4210">
      <w:pPr>
        <w:keepNext w:val="0"/>
        <w:keepLines w:val="0"/>
        <w:pageBreakBefore w:val="0"/>
        <w:kinsoku/>
        <w:wordWrap/>
        <w:overflowPunct/>
        <w:bidi w:val="0"/>
        <w:spacing w:line="360" w:lineRule="auto"/>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附件3：</w:t>
      </w:r>
    </w:p>
    <w:p w14:paraId="69BF4EA1">
      <w:pPr>
        <w:keepNext w:val="0"/>
        <w:keepLines w:val="0"/>
        <w:pageBreakBefore w:val="0"/>
        <w:kinsoku/>
        <w:wordWrap/>
        <w:overflowPunct/>
        <w:bidi w:val="0"/>
        <w:spacing w:line="360" w:lineRule="auto"/>
        <w:jc w:val="both"/>
        <w:textAlignment w:val="auto"/>
        <w:outlineLvl w:val="9"/>
        <w:rPr>
          <w:rFonts w:hint="eastAsia" w:ascii="宋体" w:hAnsi="宋体" w:eastAsia="宋体" w:cs="宋体"/>
          <w:b/>
          <w:bCs/>
          <w:color w:val="auto"/>
          <w:sz w:val="32"/>
          <w:highlight w:val="none"/>
        </w:rPr>
      </w:pPr>
    </w:p>
    <w:p w14:paraId="7275F8EC">
      <w:pPr>
        <w:keepNext w:val="0"/>
        <w:keepLines w:val="0"/>
        <w:pageBreakBefore w:val="0"/>
        <w:kinsoku/>
        <w:wordWrap/>
        <w:overflowPunct/>
        <w:bidi w:val="0"/>
        <w:spacing w:line="360" w:lineRule="auto"/>
        <w:jc w:val="center"/>
        <w:textAlignment w:val="auto"/>
        <w:outlineLvl w:val="9"/>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工程质量保修书</w:t>
      </w:r>
    </w:p>
    <w:p w14:paraId="7BE3AC33">
      <w:pPr>
        <w:keepNext w:val="0"/>
        <w:keepLines w:val="0"/>
        <w:pageBreakBefore w:val="0"/>
        <w:kinsoku/>
        <w:wordWrap/>
        <w:overflowPunct/>
        <w:bidi w:val="0"/>
        <w:spacing w:line="360" w:lineRule="auto"/>
        <w:ind w:firstLine="361" w:firstLineChars="200"/>
        <w:jc w:val="both"/>
        <w:textAlignment w:val="auto"/>
        <w:outlineLvl w:val="9"/>
        <w:rPr>
          <w:rFonts w:hint="eastAsia" w:ascii="宋体" w:hAnsi="宋体" w:eastAsia="宋体" w:cs="宋体"/>
          <w:b/>
          <w:bCs/>
          <w:color w:val="auto"/>
          <w:sz w:val="18"/>
          <w:szCs w:val="18"/>
          <w:highlight w:val="none"/>
        </w:rPr>
      </w:pPr>
    </w:p>
    <w:p w14:paraId="54B140A7">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p>
    <w:p w14:paraId="35547F9D">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p>
    <w:p w14:paraId="1C2FE74B">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为保证（工程名称）在合理使用期限内正常使用，发包人承包人协商一致签订工程质量保修书。承包人在质量保修期内按照有关管理规定及双方约定承担工程质量保修责任。</w:t>
      </w:r>
    </w:p>
    <w:p w14:paraId="75EB7EEA">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一、工程质量保修范围和内容</w:t>
      </w:r>
    </w:p>
    <w:p w14:paraId="570125C6">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10E98C80">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二、质量保修期</w:t>
      </w:r>
    </w:p>
    <w:p w14:paraId="7E1CC64F">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质量保修期从工程实际竣工之日算起。分单项竣工验收的工程，按单项工程分别计算质量保修期。</w:t>
      </w:r>
    </w:p>
    <w:p w14:paraId="4ADA2188">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质量保修期自竣工验收合格之日起计算。</w:t>
      </w:r>
    </w:p>
    <w:p w14:paraId="77ACF01C">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三、质量保修责任</w:t>
      </w:r>
    </w:p>
    <w:p w14:paraId="348581AA">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7C3972C2">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2、在保修期内，承包方未履行保修义务，或工程出现质量问题但短期无法修复，或因工程质量缺陷造成其他方面的损失，按有关规定，经发包方确认，由承包方承担工程整修全部费用。</w:t>
      </w:r>
    </w:p>
    <w:p w14:paraId="11E5E059">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3、在保修期内，无论发包方是否进入、占用或使用本工程，承包方均应继续承担合同中规定的责任及义务，直到合同终止。</w:t>
      </w:r>
    </w:p>
    <w:p w14:paraId="60637A11">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14:paraId="11485B91">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5、监理单位在工程质量保修期内的工作</w:t>
      </w:r>
    </w:p>
    <w:p w14:paraId="065B05AE">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①、执行监理合同的约定，监督、检查承包方的工作，发现承包方未履行保修义务，除书面通知承包方，还应书面上报发包方。</w:t>
      </w:r>
    </w:p>
    <w:p w14:paraId="434A28E8">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②、审批承包方编制的工程质量缺陷修整方案。</w:t>
      </w:r>
    </w:p>
    <w:p w14:paraId="074275D9">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③、承包方完成工程质量缺陷的修整后，组织有关部门进行验收，并将结果书面上报发包方。</w:t>
      </w:r>
    </w:p>
    <w:p w14:paraId="46641D4F">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6、质量保修完成后，由发包人组织验收。</w:t>
      </w:r>
    </w:p>
    <w:p w14:paraId="379AC449">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四、保修费用</w:t>
      </w:r>
    </w:p>
    <w:p w14:paraId="3A132B46">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7495037D">
      <w:pPr>
        <w:keepNext w:val="0"/>
        <w:keepLines w:val="0"/>
        <w:pageBreakBefore w:val="0"/>
        <w:kinsoku/>
        <w:wordWrap/>
        <w:overflowPunct/>
        <w:bidi w:val="0"/>
        <w:ind w:firstLine="442" w:firstLineChars="200"/>
        <w:jc w:val="both"/>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五、其他</w:t>
      </w:r>
    </w:p>
    <w:p w14:paraId="6E1A4AF5">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双方约定的其他工程质量保修事项：</w:t>
      </w:r>
      <w:r>
        <w:rPr>
          <w:rFonts w:hint="eastAsia" w:ascii="宋体" w:hAnsi="宋体" w:eastAsia="宋体" w:cs="宋体"/>
          <w:color w:val="auto"/>
          <w:szCs w:val="21"/>
          <w:highlight w:val="none"/>
          <w:u w:val="single"/>
        </w:rPr>
        <w:t>若承包方不能按期约定期限内履行保修责任，发包方有权自行维修，所产生的费用从质量保证金中扣除。</w:t>
      </w:r>
    </w:p>
    <w:p w14:paraId="6A682887">
      <w:pPr>
        <w:keepNext w:val="0"/>
        <w:keepLines w:val="0"/>
        <w:pageBreakBefore w:val="0"/>
        <w:kinsoku/>
        <w:wordWrap/>
        <w:overflowPunct/>
        <w:bidi w:val="0"/>
        <w:spacing w:line="440" w:lineRule="exact"/>
        <w:ind w:firstLine="440" w:firstLineChars="200"/>
        <w:jc w:val="both"/>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本工程质量保修书，由施工合同发包人、承包人双方在竣工验收前共同签署，作为施工合同附件，其有效期限至保修期满。</w:t>
      </w:r>
    </w:p>
    <w:p w14:paraId="71A8B154">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p w14:paraId="62CA37FD">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p w14:paraId="155284E8">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133ADC5E">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p w14:paraId="03422359">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                           法定代表人或</w:t>
      </w:r>
    </w:p>
    <w:p w14:paraId="1A44C80B">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                    委托代理人（签字）：</w:t>
      </w:r>
    </w:p>
    <w:p w14:paraId="70CF44BB">
      <w:pPr>
        <w:keepNext w:val="0"/>
        <w:keepLines w:val="0"/>
        <w:pageBreakBefore w:val="0"/>
        <w:kinsoku/>
        <w:wordWrap/>
        <w:overflowPunct/>
        <w:bidi w:val="0"/>
        <w:spacing w:line="360" w:lineRule="auto"/>
        <w:ind w:firstLine="440" w:firstLineChars="200"/>
        <w:jc w:val="both"/>
        <w:textAlignment w:val="auto"/>
        <w:outlineLvl w:val="9"/>
        <w:rPr>
          <w:rFonts w:hint="eastAsia" w:ascii="宋体" w:hAnsi="宋体" w:eastAsia="宋体" w:cs="宋体"/>
          <w:color w:val="auto"/>
          <w:szCs w:val="21"/>
          <w:highlight w:val="none"/>
        </w:rPr>
      </w:pPr>
    </w:p>
    <w:p w14:paraId="5B9AFEF5">
      <w:pPr>
        <w:keepNext w:val="0"/>
        <w:keepLines w:val="0"/>
        <w:pageBreakBefore w:val="0"/>
        <w:kinsoku/>
        <w:wordWrap/>
        <w:overflowPunct/>
        <w:bidi w:val="0"/>
        <w:spacing w:line="360" w:lineRule="auto"/>
        <w:ind w:firstLine="1870" w:firstLineChars="85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rPr>
        <w:t>年   月   日                         年   月   日</w:t>
      </w:r>
    </w:p>
    <w:p w14:paraId="56970606">
      <w:pPr>
        <w:keepNext w:val="0"/>
        <w:keepLines w:val="0"/>
        <w:pageBreakBefore w:val="0"/>
        <w:kinsoku/>
        <w:wordWrap/>
        <w:overflowPunct/>
        <w:bidi w:val="0"/>
        <w:ind w:firstLine="440" w:firstLineChars="200"/>
        <w:jc w:val="both"/>
        <w:textAlignment w:val="auto"/>
        <w:outlineLvl w:val="9"/>
        <w:rPr>
          <w:rFonts w:hint="eastAsia" w:ascii="宋体" w:hAnsi="宋体" w:eastAsia="宋体" w:cs="宋体"/>
          <w:color w:val="auto"/>
          <w:highlight w:val="none"/>
        </w:rPr>
      </w:pPr>
    </w:p>
    <w:p w14:paraId="4B3838FA">
      <w:pPr>
        <w:keepNext w:val="0"/>
        <w:keepLines w:val="0"/>
        <w:pageBreakBefore w:val="0"/>
        <w:kinsoku/>
        <w:wordWrap/>
        <w:overflowPunct/>
        <w:bidi w:val="0"/>
        <w:spacing w:line="360" w:lineRule="auto"/>
        <w:ind w:left="0" w:firstLine="720" w:firstLineChars="200"/>
        <w:jc w:val="both"/>
        <w:textAlignment w:val="auto"/>
        <w:outlineLvl w:val="9"/>
        <w:rPr>
          <w:rFonts w:hint="eastAsia" w:ascii="宋体" w:hAnsi="宋体" w:eastAsia="宋体" w:cs="宋体"/>
          <w:color w:val="auto"/>
          <w:sz w:val="36"/>
          <w:szCs w:val="36"/>
          <w:highlight w:val="none"/>
        </w:rPr>
      </w:pPr>
    </w:p>
    <w:p w14:paraId="7DA59D7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9E0282">
      <w:pPr>
        <w:keepNext w:val="0"/>
        <w:keepLines w:val="0"/>
        <w:pageBreakBefore w:val="0"/>
        <w:kinsoku/>
        <w:wordWrap/>
        <w:overflowPunct/>
        <w:bidi w:val="0"/>
        <w:adjustRightInd w:val="0"/>
        <w:spacing w:line="360" w:lineRule="auto"/>
        <w:ind w:firstLine="482" w:firstLineChars="20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政府采购供应商诚信承诺书</w:t>
      </w:r>
    </w:p>
    <w:p w14:paraId="38D15089">
      <w:pPr>
        <w:keepNext w:val="0"/>
        <w:keepLines w:val="0"/>
        <w:pageBreakBefore w:val="0"/>
        <w:kinsoku/>
        <w:wordWrap/>
        <w:overflowPunct/>
        <w:bidi w:val="0"/>
        <w:adjustRightInd w:val="0"/>
        <w:spacing w:line="360" w:lineRule="auto"/>
        <w:jc w:val="center"/>
        <w:textAlignment w:val="auto"/>
        <w:outlineLvl w:val="9"/>
        <w:rPr>
          <w:rFonts w:hint="eastAsia" w:ascii="宋体" w:hAnsi="宋体" w:eastAsia="宋体" w:cs="宋体"/>
          <w:b/>
          <w:color w:val="auto"/>
          <w:sz w:val="24"/>
          <w:szCs w:val="24"/>
          <w:highlight w:val="none"/>
        </w:rPr>
      </w:pPr>
    </w:p>
    <w:p w14:paraId="0445E2D5">
      <w:pPr>
        <w:keepNext w:val="0"/>
        <w:keepLines w:val="0"/>
        <w:pageBreakBefore w:val="0"/>
        <w:kinsoku/>
        <w:wordWrap/>
        <w:overflowPunct/>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414EBEE4">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w:t>
      </w:r>
    </w:p>
    <w:p w14:paraId="4F3493D4">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w:t>
      </w:r>
    </w:p>
    <w:p w14:paraId="2C7F6BFF">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（三）与招标采购单位、其他投标人恶意串通;</w:t>
      </w:r>
    </w:p>
    <w:p w14:paraId="5DF73D4B">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（四）向招标采购单位或提供其他不正当利益;</w:t>
      </w:r>
    </w:p>
    <w:p w14:paraId="54BDB531">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（五）在招标过程中与招标采购单位进行协商谈判、不按照招标文件和投标文件订立合同，或者与采购人另立背离合同实质性内容协议;</w:t>
      </w:r>
    </w:p>
    <w:p w14:paraId="4621A20A">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（六）开标后擅自撤销投标，影响招标继续进行的或领取招标文件纳投标保证金后不投标导致废标;</w:t>
      </w:r>
    </w:p>
    <w:p w14:paraId="659E9847">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（七）中标后无正当理由，在规定时间内不与采购单位签订合同;</w:t>
      </w:r>
    </w:p>
    <w:p w14:paraId="6F155EAA">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（八）将中标项目转让给他人或非法分包他人;</w:t>
      </w:r>
    </w:p>
    <w:p w14:paraId="362DA977">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（九）无正当理由，拒绝履行合同义务;</w:t>
      </w:r>
    </w:p>
    <w:p w14:paraId="45DCD765">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（十）无正当理由放弃中标（成交）项目;</w:t>
      </w:r>
    </w:p>
    <w:p w14:paraId="561FEB10">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6D4D6E87">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（十二）与采购人串通，对尚未履约完毕的采购项目出具虚假验收报告；</w:t>
      </w:r>
    </w:p>
    <w:p w14:paraId="5094A1F0">
      <w:pPr>
        <w:keepNext w:val="0"/>
        <w:keepLines w:val="0"/>
        <w:pageBreakBefore w:val="0"/>
        <w:kinsoku/>
        <w:wordWrap/>
        <w:overflowPunct/>
        <w:bidi w:val="0"/>
        <w:adjustRightInd w:val="0"/>
        <w:spacing w:line="360" w:lineRule="auto"/>
        <w:ind w:firstLine="403" w:firstLineChars="16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（十三）无不可抗力因素，拒绝提供售后服务、售后服务态度恶劣、故意提高维修配件价格（高于市场平均价）；</w:t>
      </w:r>
    </w:p>
    <w:p w14:paraId="58A52D4B">
      <w:pPr>
        <w:keepNext w:val="0"/>
        <w:keepLines w:val="0"/>
        <w:pageBreakBefore w:val="0"/>
        <w:kinsoku/>
        <w:wordWrap/>
        <w:overflowPunct/>
        <w:bidi w:val="0"/>
        <w:adjustRightInd w:val="0"/>
        <w:spacing w:line="360" w:lineRule="auto"/>
        <w:ind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（十四）开标后对招标文件的相关内容再进行质疑；</w:t>
      </w:r>
    </w:p>
    <w:p w14:paraId="7F4D2A0A">
      <w:pPr>
        <w:keepNext w:val="0"/>
        <w:keepLines w:val="0"/>
        <w:pageBreakBefore w:val="0"/>
        <w:kinsoku/>
        <w:wordWrap/>
        <w:overflowPunct/>
        <w:bidi w:val="0"/>
        <w:adjustRightInd w:val="0"/>
        <w:spacing w:line="360" w:lineRule="auto"/>
        <w:ind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（十五）恶意投诉的行为：投诉经查无实据的、捏造事实或者提供虚假设诉材料；</w:t>
      </w:r>
    </w:p>
    <w:p w14:paraId="2FB2D5B8">
      <w:pPr>
        <w:keepNext w:val="0"/>
        <w:keepLines w:val="0"/>
        <w:pageBreakBefore w:val="0"/>
        <w:kinsoku/>
        <w:wordWrap/>
        <w:overflowPunct/>
        <w:bidi w:val="0"/>
        <w:adjustRightInd w:val="0"/>
        <w:spacing w:line="360" w:lineRule="auto"/>
        <w:ind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（十六）拒绝有关部门监督检查或者提供虚假情况；</w:t>
      </w:r>
    </w:p>
    <w:p w14:paraId="7ED10421">
      <w:pPr>
        <w:keepNext w:val="0"/>
        <w:keepLines w:val="0"/>
        <w:pageBreakBefore w:val="0"/>
        <w:kinsoku/>
        <w:wordWrap/>
        <w:overflowPunct/>
        <w:bidi w:val="0"/>
        <w:adjustRightInd w:val="0"/>
        <w:spacing w:line="360" w:lineRule="auto"/>
        <w:ind w:firstLine="360" w:firstLineChars="1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（十七）政府采购监管部门认定的其他政府采购活动中的不诚信行为。</w:t>
      </w:r>
    </w:p>
    <w:p w14:paraId="389AC093">
      <w:pPr>
        <w:keepNext w:val="0"/>
        <w:keepLines w:val="0"/>
        <w:pageBreakBefore w:val="0"/>
        <w:kinsoku/>
        <w:wordWrap/>
        <w:overflowPunct/>
        <w:bidi w:val="0"/>
        <w:adjustRightInd w:val="0"/>
        <w:spacing w:line="360" w:lineRule="auto"/>
        <w:textAlignment w:val="auto"/>
        <w:outlineLvl w:val="9"/>
        <w:rPr>
          <w:rFonts w:hint="eastAsia" w:ascii="宋体" w:hAnsi="宋体" w:eastAsia="宋体" w:cs="宋体"/>
          <w:color w:val="auto"/>
          <w:sz w:val="24"/>
          <w:szCs w:val="24"/>
          <w:highlight w:val="none"/>
        </w:rPr>
      </w:pPr>
    </w:p>
    <w:p w14:paraId="3D5DB979">
      <w:pPr>
        <w:keepNext w:val="0"/>
        <w:keepLines w:val="0"/>
        <w:pageBreakBefore w:val="0"/>
        <w:kinsoku/>
        <w:wordWrap/>
        <w:overflowPunct/>
        <w:bidi w:val="0"/>
        <w:adjustRightInd w:val="0"/>
        <w:spacing w:line="360" w:lineRule="auto"/>
        <w:ind w:firstLine="1560" w:firstLineChars="6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F6838BA">
      <w:pPr>
        <w:keepNext w:val="0"/>
        <w:keepLines w:val="0"/>
        <w:pageBreakBefore w:val="0"/>
        <w:kinsoku/>
        <w:wordWrap/>
        <w:overflowPunct/>
        <w:bidi w:val="0"/>
        <w:adjustRightInd w:val="0"/>
        <w:spacing w:line="360" w:lineRule="auto"/>
        <w:ind w:right="640" w:firstLine="1560" w:firstLineChars="650"/>
        <w:textAlignment w:val="auto"/>
        <w:outlineLvl w:val="9"/>
        <w:rPr>
          <w:rFonts w:hint="eastAsia" w:ascii="宋体" w:hAnsi="宋体" w:eastAsia="宋体" w:cs="宋体"/>
          <w:color w:val="auto"/>
          <w:sz w:val="24"/>
          <w:szCs w:val="24"/>
          <w:highlight w:val="none"/>
        </w:rPr>
      </w:pPr>
    </w:p>
    <w:p w14:paraId="54C0A81E">
      <w:pPr>
        <w:keepNext w:val="0"/>
        <w:keepLines w:val="0"/>
        <w:pageBreakBefore w:val="0"/>
        <w:kinsoku/>
        <w:wordWrap/>
        <w:overflowPunct/>
        <w:bidi w:val="0"/>
        <w:adjustRightInd w:val="0"/>
        <w:spacing w:line="360" w:lineRule="auto"/>
        <w:ind w:right="640" w:firstLine="1560" w:firstLineChars="6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法人或授权委托人：（签字）</w:t>
      </w:r>
    </w:p>
    <w:p w14:paraId="1141C5E3">
      <w:pPr>
        <w:keepNext w:val="0"/>
        <w:keepLines w:val="0"/>
        <w:pageBreakBefore w:val="0"/>
        <w:kinsoku/>
        <w:wordWrap/>
        <w:overflowPunct/>
        <w:bidi w:val="0"/>
        <w:adjustRightInd w:val="0"/>
        <w:spacing w:line="360" w:lineRule="auto"/>
        <w:jc w:val="center"/>
        <w:textAlignment w:val="auto"/>
        <w:outlineLvl w:val="9"/>
        <w:rPr>
          <w:rFonts w:hint="eastAsia" w:ascii="宋体" w:hAnsi="宋体" w:eastAsia="宋体" w:cs="宋体"/>
          <w:color w:val="auto"/>
          <w:sz w:val="24"/>
          <w:szCs w:val="24"/>
          <w:highlight w:val="none"/>
        </w:rPr>
      </w:pPr>
    </w:p>
    <w:p w14:paraId="07217186">
      <w:pPr>
        <w:keepNext w:val="0"/>
        <w:keepLines w:val="0"/>
        <w:pageBreakBefore w:val="0"/>
        <w:kinsoku/>
        <w:wordWrap/>
        <w:overflowPunct/>
        <w:bidi w:val="0"/>
        <w:adjustRightInd w:val="0"/>
        <w:spacing w:line="360" w:lineRule="auto"/>
        <w:ind w:firstLine="1560" w:firstLineChars="65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23AA1F1">
      <w:pPr>
        <w:pStyle w:val="45"/>
        <w:keepNext w:val="0"/>
        <w:keepLines w:val="0"/>
        <w:pageBreakBefore w:val="0"/>
        <w:kinsoku/>
        <w:wordWrap/>
        <w:overflowPunct/>
        <w:bidi w:val="0"/>
        <w:adjustRightInd w:val="0"/>
        <w:spacing w:line="360" w:lineRule="auto"/>
        <w:ind w:firstLine="480"/>
        <w:textAlignment w:val="auto"/>
        <w:outlineLvl w:val="9"/>
        <w:rPr>
          <w:rFonts w:hint="eastAsia" w:ascii="宋体" w:hAnsi="宋体" w:eastAsia="宋体" w:cs="宋体"/>
          <w:color w:val="auto"/>
          <w:sz w:val="24"/>
          <w:szCs w:val="24"/>
          <w:highlight w:val="none"/>
        </w:rPr>
      </w:pPr>
    </w:p>
    <w:p w14:paraId="5F1F4A34">
      <w:pPr>
        <w:pStyle w:val="45"/>
        <w:keepNext w:val="0"/>
        <w:keepLines w:val="0"/>
        <w:pageBreakBefore w:val="0"/>
        <w:kinsoku/>
        <w:wordWrap/>
        <w:overflowPunct/>
        <w:bidi w:val="0"/>
        <w:adjustRightInd w:val="0"/>
        <w:spacing w:line="360" w:lineRule="auto"/>
        <w:ind w:firstLine="1440" w:firstLineChars="6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注：投标人须将此承诺书放进</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文件里。</w:t>
      </w:r>
    </w:p>
    <w:p w14:paraId="6C5F38A4">
      <w:pPr>
        <w:pStyle w:val="16"/>
        <w:keepNext w:val="0"/>
        <w:keepLines w:val="0"/>
        <w:pageBreakBefore w:val="0"/>
        <w:kinsoku/>
        <w:wordWrap/>
        <w:overflowPunct/>
        <w:bidi w:val="0"/>
        <w:textAlignment w:val="auto"/>
        <w:outlineLvl w:val="9"/>
        <w:rPr>
          <w:rFonts w:hint="eastAsia" w:ascii="宋体" w:hAnsi="宋体" w:eastAsia="宋体" w:cs="宋体"/>
          <w:color w:val="auto"/>
          <w:highlight w:val="none"/>
        </w:rPr>
      </w:pPr>
    </w:p>
    <w:p w14:paraId="6A447287">
      <w:pPr>
        <w:pStyle w:val="16"/>
        <w:keepNext w:val="0"/>
        <w:keepLines w:val="0"/>
        <w:pageBreakBefore w:val="0"/>
        <w:kinsoku/>
        <w:wordWrap/>
        <w:overflowPunct/>
        <w:bidi w:val="0"/>
        <w:textAlignment w:val="auto"/>
        <w:outlineLvl w:val="9"/>
        <w:rPr>
          <w:rFonts w:hint="eastAsia" w:ascii="宋体" w:hAnsi="宋体" w:eastAsia="宋体" w:cs="宋体"/>
          <w:color w:val="auto"/>
          <w:highlight w:val="none"/>
        </w:rPr>
      </w:pPr>
    </w:p>
    <w:p w14:paraId="187F4D8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06CD0FC">
      <w:pPr>
        <w:pStyle w:val="2"/>
        <w:keepNext w:val="0"/>
        <w:keepLines w:val="0"/>
        <w:pageBreakBefore w:val="0"/>
        <w:kinsoku/>
        <w:wordWrap/>
        <w:overflowPunct/>
        <w:bidi w:val="0"/>
        <w:ind w:firstLine="321"/>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周口市政府采购合同融资政策告知函</w:t>
      </w:r>
    </w:p>
    <w:p w14:paraId="15B3AFCC">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szCs w:val="24"/>
          <w:highlight w:val="none"/>
        </w:rPr>
      </w:pPr>
    </w:p>
    <w:p w14:paraId="61085E9C">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p>
    <w:p w14:paraId="7700A18D">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p>
    <w:p w14:paraId="0F6B56EA">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各供应商：</w:t>
      </w:r>
    </w:p>
    <w:p w14:paraId="2DB30EF2">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欢迎贵公司参与周口市政府采购活动！</w:t>
      </w:r>
    </w:p>
    <w:p w14:paraId="42AB7A60">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5D5C137">
      <w:pPr>
        <w:pStyle w:val="2"/>
        <w:keepNext w:val="0"/>
        <w:keepLines w:val="0"/>
        <w:pageBreakBefore w:val="0"/>
        <w:kinsoku/>
        <w:wordWrap/>
        <w:overflowPunct/>
        <w:bidi w:val="0"/>
        <w:ind w:firstLine="24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贷款渠道和提供贷款的金融机构，可在河南省政府采购网“河南省政府采购合同融资平台”查询联系。</w:t>
      </w:r>
    </w:p>
    <w:p w14:paraId="43D9A247">
      <w:pPr>
        <w:keepNext w:val="0"/>
        <w:keepLines w:val="0"/>
        <w:pageBreakBefore w:val="0"/>
        <w:kinsoku/>
        <w:wordWrap/>
        <w:overflowPunct/>
        <w:bidi w:val="0"/>
        <w:spacing w:line="360" w:lineRule="auto"/>
        <w:textAlignment w:val="auto"/>
        <w:outlineLvl w:val="9"/>
        <w:rPr>
          <w:rFonts w:hint="eastAsia" w:ascii="宋体" w:hAnsi="宋体" w:eastAsia="宋体" w:cs="宋体"/>
          <w:b/>
          <w:bCs/>
          <w:color w:val="auto"/>
          <w:sz w:val="24"/>
          <w:highlight w:val="none"/>
        </w:rPr>
      </w:pPr>
    </w:p>
    <w:p w14:paraId="432B4511">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1B684DA3">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5A997E41">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41B31CDC">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28B151DC">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5AB11C2F">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52DD7EEF">
      <w:pPr>
        <w:pStyle w:val="18"/>
        <w:keepNext w:val="0"/>
        <w:keepLines w:val="0"/>
        <w:pageBreakBefore w:val="0"/>
        <w:shd w:val="clear" w:color="auto" w:fill="auto"/>
        <w:kinsoku/>
        <w:wordWrap/>
        <w:overflowPunct/>
        <w:bidi w:val="0"/>
        <w:spacing w:before="0" w:beforeAutospacing="0" w:after="0" w:afterAutospacing="0" w:line="330" w:lineRule="atLeast"/>
        <w:textAlignment w:val="auto"/>
        <w:outlineLvl w:val="9"/>
        <w:rPr>
          <w:rFonts w:hint="eastAsia" w:ascii="宋体" w:hAnsi="宋体" w:eastAsia="宋体" w:cs="宋体"/>
          <w:b/>
          <w:bCs/>
          <w:color w:val="auto"/>
          <w:sz w:val="21"/>
          <w:szCs w:val="21"/>
          <w:highlight w:val="none"/>
        </w:rPr>
      </w:pPr>
    </w:p>
    <w:p w14:paraId="257BE276">
      <w:pPr>
        <w:pStyle w:val="16"/>
        <w:keepNext w:val="0"/>
        <w:keepLines w:val="0"/>
        <w:pageBreakBefore w:val="0"/>
        <w:kinsoku/>
        <w:wordWrap/>
        <w:overflowPunct/>
        <w:bidi w:val="0"/>
        <w:textAlignment w:val="auto"/>
        <w:outlineLvl w:val="9"/>
        <w:rPr>
          <w:rFonts w:hint="eastAsia" w:ascii="宋体" w:hAnsi="宋体" w:eastAsia="宋体" w:cs="宋体"/>
          <w:color w:val="auto"/>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2BA34">
    <w:pPr>
      <w:pStyle w:val="9"/>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10057765</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6F87E6D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89.75pt;margin-top:791.95pt;height:12pt;width:13.15pt;mso-position-horizontal-relative:page;mso-position-vertical-relative:page;z-index:-251657216;mso-width-relative:page;mso-height-relative:page;" filled="f" stroked="f" coordsize="21600,21600" o:gfxdata="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IQo7aAAAADQEAAA8AAAAAAAAAAQAgAAAAIgAAAGRycy9k&#10;b3ducmV2LnhtbFBLAQIUABQAAAAIAIdO4kBEjIbKAAIAABEEAAAOAAAAAAAAAAEAIAAAACkBAABk&#10;cnMvZTJvRG9jLnhtbFBLBQYAAAAABgAGAFkBAACbBQAAAAA=&#10;">
              <v:fill on="f" focussize="0,0"/>
              <v:stroke on="f"/>
              <v:imagedata o:title=""/>
              <o:lock v:ext="edit" aspectratio="f"/>
              <v:textbox inset="0mm,0mm,0mm,0mm">
                <w:txbxContent>
                  <w:p w14:paraId="6F87E6D1">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8">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9">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5">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7">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19">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1">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11"/>
  </w:num>
  <w:num w:numId="2">
    <w:abstractNumId w:val="18"/>
  </w:num>
  <w:num w:numId="3">
    <w:abstractNumId w:val="5"/>
  </w:num>
  <w:num w:numId="4">
    <w:abstractNumId w:val="4"/>
  </w:num>
  <w:num w:numId="5">
    <w:abstractNumId w:val="12"/>
  </w:num>
  <w:num w:numId="6">
    <w:abstractNumId w:val="14"/>
  </w:num>
  <w:num w:numId="7">
    <w:abstractNumId w:val="20"/>
  </w:num>
  <w:num w:numId="8">
    <w:abstractNumId w:val="10"/>
  </w:num>
  <w:num w:numId="9">
    <w:abstractNumId w:val="0"/>
  </w:num>
  <w:num w:numId="10">
    <w:abstractNumId w:val="19"/>
  </w:num>
  <w:num w:numId="11">
    <w:abstractNumId w:val="6"/>
  </w:num>
  <w:num w:numId="12">
    <w:abstractNumId w:val="17"/>
  </w:num>
  <w:num w:numId="13">
    <w:abstractNumId w:val="9"/>
  </w:num>
  <w:num w:numId="14">
    <w:abstractNumId w:val="8"/>
  </w:num>
  <w:num w:numId="15">
    <w:abstractNumId w:val="7"/>
  </w:num>
  <w:num w:numId="16">
    <w:abstractNumId w:val="1"/>
  </w:num>
  <w:num w:numId="17">
    <w:abstractNumId w:val="16"/>
  </w:num>
  <w:num w:numId="18">
    <w:abstractNumId w:val="2"/>
  </w:num>
  <w:num w:numId="19">
    <w:abstractNumId w:val="13"/>
  </w:num>
  <w:num w:numId="20">
    <w:abstractNumId w:val="15"/>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843AE4"/>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1597E2C"/>
    <w:rsid w:val="01857A4F"/>
    <w:rsid w:val="02C95F7F"/>
    <w:rsid w:val="03153493"/>
    <w:rsid w:val="03913842"/>
    <w:rsid w:val="041A02A2"/>
    <w:rsid w:val="04487BC6"/>
    <w:rsid w:val="04E30371"/>
    <w:rsid w:val="05AB68B0"/>
    <w:rsid w:val="0601448B"/>
    <w:rsid w:val="06F074D7"/>
    <w:rsid w:val="08BD6586"/>
    <w:rsid w:val="08C84D4D"/>
    <w:rsid w:val="08F359E4"/>
    <w:rsid w:val="0A8E14F7"/>
    <w:rsid w:val="0D842153"/>
    <w:rsid w:val="0DEF0ECA"/>
    <w:rsid w:val="0EC60D89"/>
    <w:rsid w:val="0F0E720B"/>
    <w:rsid w:val="0F824DF4"/>
    <w:rsid w:val="0FF72F55"/>
    <w:rsid w:val="101C1460"/>
    <w:rsid w:val="12687563"/>
    <w:rsid w:val="13303898"/>
    <w:rsid w:val="13B04B28"/>
    <w:rsid w:val="142A499C"/>
    <w:rsid w:val="15DB4703"/>
    <w:rsid w:val="16362B38"/>
    <w:rsid w:val="16582AF4"/>
    <w:rsid w:val="174718BE"/>
    <w:rsid w:val="17C42D0C"/>
    <w:rsid w:val="18D205AB"/>
    <w:rsid w:val="195C76F5"/>
    <w:rsid w:val="19884974"/>
    <w:rsid w:val="1A0C111B"/>
    <w:rsid w:val="1AFF09CD"/>
    <w:rsid w:val="1DB22F33"/>
    <w:rsid w:val="1DB373D4"/>
    <w:rsid w:val="1DE766BD"/>
    <w:rsid w:val="1E0409C7"/>
    <w:rsid w:val="1E1332F5"/>
    <w:rsid w:val="1E3D7258"/>
    <w:rsid w:val="1EC73863"/>
    <w:rsid w:val="1EF7500C"/>
    <w:rsid w:val="1F953961"/>
    <w:rsid w:val="202950A1"/>
    <w:rsid w:val="20461A3D"/>
    <w:rsid w:val="20535F35"/>
    <w:rsid w:val="20A7451A"/>
    <w:rsid w:val="20B47E17"/>
    <w:rsid w:val="21982EF5"/>
    <w:rsid w:val="223565FE"/>
    <w:rsid w:val="230839BF"/>
    <w:rsid w:val="23B1534D"/>
    <w:rsid w:val="23DC7FCC"/>
    <w:rsid w:val="25451480"/>
    <w:rsid w:val="25DB38CA"/>
    <w:rsid w:val="264F49CE"/>
    <w:rsid w:val="26BA4647"/>
    <w:rsid w:val="2A4D74D2"/>
    <w:rsid w:val="2E987FEF"/>
    <w:rsid w:val="2F4862FA"/>
    <w:rsid w:val="2FD724F6"/>
    <w:rsid w:val="319E0453"/>
    <w:rsid w:val="31CE0DC9"/>
    <w:rsid w:val="31DC6234"/>
    <w:rsid w:val="32741FC7"/>
    <w:rsid w:val="32AB5D01"/>
    <w:rsid w:val="33057FF5"/>
    <w:rsid w:val="33883169"/>
    <w:rsid w:val="33BF2903"/>
    <w:rsid w:val="33EF31E8"/>
    <w:rsid w:val="34B71EC7"/>
    <w:rsid w:val="356B0BA7"/>
    <w:rsid w:val="36891AAE"/>
    <w:rsid w:val="37E101C1"/>
    <w:rsid w:val="38E364BB"/>
    <w:rsid w:val="390C4FC9"/>
    <w:rsid w:val="395446BF"/>
    <w:rsid w:val="39710D11"/>
    <w:rsid w:val="399C7DC6"/>
    <w:rsid w:val="3A7B5D09"/>
    <w:rsid w:val="3A8C5DC6"/>
    <w:rsid w:val="3AC32CD9"/>
    <w:rsid w:val="3BF82BC6"/>
    <w:rsid w:val="3C5003EA"/>
    <w:rsid w:val="3D420825"/>
    <w:rsid w:val="3EC160B0"/>
    <w:rsid w:val="3EFD15E9"/>
    <w:rsid w:val="3FA97947"/>
    <w:rsid w:val="4006602A"/>
    <w:rsid w:val="404522F2"/>
    <w:rsid w:val="408534A6"/>
    <w:rsid w:val="408A49C4"/>
    <w:rsid w:val="41886A2A"/>
    <w:rsid w:val="42D55C9F"/>
    <w:rsid w:val="42E40F93"/>
    <w:rsid w:val="44394D91"/>
    <w:rsid w:val="443C2A7C"/>
    <w:rsid w:val="444E3F5B"/>
    <w:rsid w:val="459B31D0"/>
    <w:rsid w:val="46414D1F"/>
    <w:rsid w:val="468E063F"/>
    <w:rsid w:val="479447C0"/>
    <w:rsid w:val="480F0830"/>
    <w:rsid w:val="48425B85"/>
    <w:rsid w:val="4A646F37"/>
    <w:rsid w:val="4AD7444C"/>
    <w:rsid w:val="4BF751E1"/>
    <w:rsid w:val="4C325F10"/>
    <w:rsid w:val="4D830B1D"/>
    <w:rsid w:val="4F352409"/>
    <w:rsid w:val="4F99594A"/>
    <w:rsid w:val="502F1FA3"/>
    <w:rsid w:val="50E11586"/>
    <w:rsid w:val="50F52226"/>
    <w:rsid w:val="52943481"/>
    <w:rsid w:val="52A31B02"/>
    <w:rsid w:val="52B752A6"/>
    <w:rsid w:val="52CA3D84"/>
    <w:rsid w:val="53513120"/>
    <w:rsid w:val="5463583A"/>
    <w:rsid w:val="54684787"/>
    <w:rsid w:val="54BB4927"/>
    <w:rsid w:val="54CC1A2B"/>
    <w:rsid w:val="55095D0C"/>
    <w:rsid w:val="551501A8"/>
    <w:rsid w:val="568274DB"/>
    <w:rsid w:val="569F7D08"/>
    <w:rsid w:val="57C9597B"/>
    <w:rsid w:val="587970CA"/>
    <w:rsid w:val="58874CDC"/>
    <w:rsid w:val="5B672B67"/>
    <w:rsid w:val="5BFD30FD"/>
    <w:rsid w:val="5C65278F"/>
    <w:rsid w:val="5D5E4DB7"/>
    <w:rsid w:val="5E090262"/>
    <w:rsid w:val="5E8125D5"/>
    <w:rsid w:val="5EFF6BFE"/>
    <w:rsid w:val="5FBF76C9"/>
    <w:rsid w:val="5FFC04A5"/>
    <w:rsid w:val="6017749F"/>
    <w:rsid w:val="60253E1D"/>
    <w:rsid w:val="60AF592A"/>
    <w:rsid w:val="60B27CB3"/>
    <w:rsid w:val="616606D1"/>
    <w:rsid w:val="61D81164"/>
    <w:rsid w:val="64A755D5"/>
    <w:rsid w:val="655E1543"/>
    <w:rsid w:val="658971FF"/>
    <w:rsid w:val="6773145F"/>
    <w:rsid w:val="67C96D51"/>
    <w:rsid w:val="67D7195F"/>
    <w:rsid w:val="67DE09A2"/>
    <w:rsid w:val="68DB53E7"/>
    <w:rsid w:val="68FA09FF"/>
    <w:rsid w:val="69244569"/>
    <w:rsid w:val="696C155D"/>
    <w:rsid w:val="69F108B1"/>
    <w:rsid w:val="6A327212"/>
    <w:rsid w:val="6A6F729D"/>
    <w:rsid w:val="6AE95A28"/>
    <w:rsid w:val="6B153776"/>
    <w:rsid w:val="6BE53DD8"/>
    <w:rsid w:val="6DA621AC"/>
    <w:rsid w:val="6E5378F4"/>
    <w:rsid w:val="6EE73521"/>
    <w:rsid w:val="6F8421BC"/>
    <w:rsid w:val="714D3798"/>
    <w:rsid w:val="73661E78"/>
    <w:rsid w:val="74C53F4D"/>
    <w:rsid w:val="752508C4"/>
    <w:rsid w:val="756C5EDD"/>
    <w:rsid w:val="763C5DD5"/>
    <w:rsid w:val="770C64FD"/>
    <w:rsid w:val="77CD6969"/>
    <w:rsid w:val="783F31E0"/>
    <w:rsid w:val="786125C8"/>
    <w:rsid w:val="78D34938"/>
    <w:rsid w:val="78E92B94"/>
    <w:rsid w:val="78F73643"/>
    <w:rsid w:val="7A682DB4"/>
    <w:rsid w:val="7A9F54C7"/>
    <w:rsid w:val="7ABA0284"/>
    <w:rsid w:val="7AC37DD1"/>
    <w:rsid w:val="7BA936B9"/>
    <w:rsid w:val="7C6F561D"/>
    <w:rsid w:val="7F484BB9"/>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8"/>
      <w:ind w:left="592" w:right="985"/>
      <w:jc w:val="center"/>
      <w:outlineLvl w:val="0"/>
    </w:pPr>
    <w:rPr>
      <w:b/>
      <w:bCs/>
      <w:sz w:val="44"/>
      <w:szCs w:val="44"/>
    </w:rPr>
  </w:style>
  <w:style w:type="paragraph" w:styleId="5">
    <w:name w:val="heading 2"/>
    <w:basedOn w:val="1"/>
    <w:next w:val="1"/>
    <w:qFormat/>
    <w:uiPriority w:val="1"/>
    <w:pPr>
      <w:spacing w:before="54"/>
      <w:ind w:right="394"/>
      <w:jc w:val="center"/>
      <w:outlineLvl w:val="1"/>
    </w:pPr>
    <w:rPr>
      <w:b/>
      <w:bCs/>
      <w:sz w:val="32"/>
      <w:szCs w:val="32"/>
    </w:rPr>
  </w:style>
  <w:style w:type="paragraph" w:styleId="6">
    <w:name w:val="heading 3"/>
    <w:basedOn w:val="1"/>
    <w:next w:val="1"/>
    <w:qFormat/>
    <w:uiPriority w:val="1"/>
    <w:pPr>
      <w:ind w:left="218"/>
      <w:outlineLvl w:val="2"/>
    </w:pPr>
    <w:rPr>
      <w:b/>
      <w:bCs/>
      <w:sz w:val="30"/>
      <w:szCs w:val="30"/>
    </w:rPr>
  </w:style>
  <w:style w:type="paragraph" w:styleId="7">
    <w:name w:val="heading 4"/>
    <w:basedOn w:val="1"/>
    <w:next w:val="1"/>
    <w:qFormat/>
    <w:uiPriority w:val="1"/>
    <w:pPr>
      <w:ind w:left="218"/>
      <w:outlineLvl w:val="3"/>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Body Text"/>
    <w:basedOn w:val="1"/>
    <w:next w:val="1"/>
    <w:link w:val="40"/>
    <w:qFormat/>
    <w:uiPriority w:val="1"/>
    <w:rPr>
      <w:sz w:val="24"/>
      <w:szCs w:val="24"/>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eastAsiaTheme="minorEastAsia" w:cstheme="minorBidi"/>
      <w:szCs w:val="22"/>
    </w:rPr>
  </w:style>
  <w:style w:type="paragraph" w:styleId="12">
    <w:name w:val="Balloon Text"/>
    <w:basedOn w:val="1"/>
    <w:link w:val="39"/>
    <w:qFormat/>
    <w:uiPriority w:val="0"/>
    <w:rPr>
      <w:sz w:val="18"/>
      <w:szCs w:val="18"/>
    </w:rPr>
  </w:style>
  <w:style w:type="paragraph" w:styleId="13">
    <w:name w:val="footer"/>
    <w:basedOn w:val="1"/>
    <w:link w:val="38"/>
    <w:qFormat/>
    <w:uiPriority w:val="0"/>
    <w:pPr>
      <w:tabs>
        <w:tab w:val="center" w:pos="4153"/>
        <w:tab w:val="right" w:pos="8306"/>
      </w:tabs>
      <w:snapToGrid w:val="0"/>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186"/>
      <w:ind w:left="218"/>
    </w:pPr>
    <w:rPr>
      <w:sz w:val="28"/>
      <w:szCs w:val="28"/>
    </w:rPr>
  </w:style>
  <w:style w:type="paragraph" w:styleId="16">
    <w:name w:val="footnote text"/>
    <w:basedOn w:val="1"/>
    <w:qFormat/>
    <w:uiPriority w:val="99"/>
    <w:pPr>
      <w:snapToGrid w:val="0"/>
    </w:pPr>
    <w:rPr>
      <w:sz w:val="18"/>
      <w:szCs w:val="18"/>
    </w:rPr>
  </w:style>
  <w:style w:type="paragraph" w:styleId="17">
    <w:name w:val="toc 2"/>
    <w:basedOn w:val="1"/>
    <w:next w:val="1"/>
    <w:qFormat/>
    <w:uiPriority w:val="0"/>
    <w:pPr>
      <w:ind w:left="420" w:leftChars="200"/>
    </w:pPr>
  </w:style>
  <w:style w:type="paragraph" w:styleId="18">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FF" w:themeColor="hyperlink"/>
      <w:u w:val="single"/>
      <w14:textFill>
        <w14:solidFill>
          <w14:schemeClr w14:val="hlink"/>
        </w14:solidFill>
      </w14:textFill>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无间隔1"/>
    <w:next w:val="8"/>
    <w:qFormat/>
    <w:uiPriority w:val="0"/>
    <w:pPr>
      <w:widowControl w:val="0"/>
      <w:jc w:val="both"/>
    </w:pPr>
    <w:rPr>
      <w:rFonts w:ascii="Calibri" w:hAnsi="Calibri" w:eastAsia="宋体" w:cs="Times New Roman"/>
      <w:kern w:val="2"/>
      <w:sz w:val="21"/>
      <w:szCs w:val="22"/>
      <w:lang w:val="en-US" w:eastAsia="zh-CN" w:bidi="ar-SA"/>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ind w:left="218" w:firstLine="239"/>
    </w:pPr>
  </w:style>
  <w:style w:type="paragraph" w:customStyle="1" w:styleId="36">
    <w:name w:val="Table Paragraph"/>
    <w:basedOn w:val="1"/>
    <w:qFormat/>
    <w:uiPriority w:val="1"/>
  </w:style>
  <w:style w:type="character" w:customStyle="1" w:styleId="37">
    <w:name w:val="页眉 Char"/>
    <w:basedOn w:val="21"/>
    <w:link w:val="14"/>
    <w:qFormat/>
    <w:uiPriority w:val="0"/>
    <w:rPr>
      <w:rFonts w:ascii="宋体" w:hAnsi="宋体" w:cs="宋体"/>
      <w:sz w:val="18"/>
      <w:szCs w:val="18"/>
      <w:lang w:val="zh-CN" w:bidi="zh-CN"/>
    </w:rPr>
  </w:style>
  <w:style w:type="character" w:customStyle="1" w:styleId="38">
    <w:name w:val="页脚 Char"/>
    <w:basedOn w:val="21"/>
    <w:link w:val="13"/>
    <w:qFormat/>
    <w:uiPriority w:val="0"/>
    <w:rPr>
      <w:rFonts w:ascii="宋体" w:hAnsi="宋体" w:cs="宋体"/>
      <w:sz w:val="18"/>
      <w:szCs w:val="18"/>
      <w:lang w:val="zh-CN" w:bidi="zh-CN"/>
    </w:rPr>
  </w:style>
  <w:style w:type="character" w:customStyle="1" w:styleId="39">
    <w:name w:val="批注框文本 Char"/>
    <w:basedOn w:val="21"/>
    <w:link w:val="12"/>
    <w:qFormat/>
    <w:uiPriority w:val="0"/>
    <w:rPr>
      <w:rFonts w:ascii="宋体" w:hAnsi="宋体" w:cs="宋体"/>
      <w:sz w:val="18"/>
      <w:szCs w:val="18"/>
      <w:lang w:val="zh-CN" w:bidi="zh-CN"/>
    </w:rPr>
  </w:style>
  <w:style w:type="character" w:customStyle="1" w:styleId="40">
    <w:name w:val="正文文本 Char"/>
    <w:basedOn w:val="21"/>
    <w:link w:val="9"/>
    <w:qFormat/>
    <w:uiPriority w:val="1"/>
    <w:rPr>
      <w:rFonts w:ascii="宋体" w:hAnsi="宋体" w:cs="宋体"/>
      <w:sz w:val="24"/>
      <w:szCs w:val="24"/>
      <w:lang w:val="zh-CN" w:bidi="zh-CN"/>
    </w:rPr>
  </w:style>
  <w:style w:type="paragraph" w:customStyle="1" w:styleId="41">
    <w:name w:val="列出段落1"/>
    <w:basedOn w:val="1"/>
    <w:qFormat/>
    <w:uiPriority w:val="0"/>
    <w:pPr>
      <w:ind w:left="218" w:firstLine="239"/>
    </w:pPr>
    <w:rPr>
      <w:lang w:bidi="ar-SA"/>
    </w:rPr>
  </w:style>
  <w:style w:type="paragraph" w:customStyle="1" w:styleId="42">
    <w:name w:val="正文1"/>
    <w:basedOn w:val="1"/>
    <w:qFormat/>
    <w:uiPriority w:val="0"/>
    <w:pPr>
      <w:widowControl/>
      <w:topLinePunct/>
      <w:spacing w:beforeLines="50" w:afterLines="50" w:line="300" w:lineRule="auto"/>
      <w:ind w:left="420"/>
    </w:pPr>
  </w:style>
  <w:style w:type="paragraph" w:customStyle="1" w:styleId="43">
    <w:name w:val="p0"/>
    <w:basedOn w:val="1"/>
    <w:unhideWhenUsed/>
    <w:qFormat/>
    <w:uiPriority w:val="0"/>
    <w:pPr>
      <w:widowControl/>
      <w:spacing w:before="100" w:beforeAutospacing="1" w:after="100" w:afterAutospacing="1"/>
    </w:pPr>
    <w:rPr>
      <w:rFonts w:hint="eastAsia" w:ascii="宋体" w:hAnsi="宋体"/>
    </w:rPr>
  </w:style>
  <w:style w:type="paragraph" w:customStyle="1" w:styleId="44">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5">
    <w:name w:val="正文文本缩进1"/>
    <w:basedOn w:val="1"/>
    <w:qFormat/>
    <w:uiPriority w:val="0"/>
    <w:pPr>
      <w:widowControl/>
      <w:spacing w:line="400" w:lineRule="exact"/>
      <w:ind w:firstLine="420" w:firstLineChars="200"/>
    </w:pPr>
    <w:rPr>
      <w:sz w:val="20"/>
      <w:szCs w:val="20"/>
    </w:rPr>
  </w:style>
  <w:style w:type="character" w:customStyle="1" w:styleId="46">
    <w:name w:val="nth-child(3)"/>
    <w:basedOn w:val="21"/>
    <w:qFormat/>
    <w:uiPriority w:val="0"/>
  </w:style>
  <w:style w:type="character" w:customStyle="1" w:styleId="47">
    <w:name w:val="nth-child(2)"/>
    <w:basedOn w:val="21"/>
    <w:qFormat/>
    <w:uiPriority w:val="0"/>
  </w:style>
  <w:style w:type="character" w:customStyle="1" w:styleId="48">
    <w:name w:val="nth-child(2)1"/>
    <w:basedOn w:val="21"/>
    <w:qFormat/>
    <w:uiPriority w:val="0"/>
  </w:style>
  <w:style w:type="paragraph" w:customStyle="1" w:styleId="49">
    <w:name w:val="UserStyle_217"/>
    <w:qFormat/>
    <w:uiPriority w:val="99"/>
    <w:pPr>
      <w:textAlignment w:val="baseline"/>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18868</Words>
  <Characters>19617</Characters>
  <Lines>85</Lines>
  <Paragraphs>24</Paragraphs>
  <TotalTime>16</TotalTime>
  <ScaleCrop>false</ScaleCrop>
  <LinksUpToDate>false</LinksUpToDate>
  <CharactersWithSpaces>20137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2020-04-29T04:44:00Z</cp:lastPrinted>
  <dcterms:modified xsi:type="dcterms:W3CDTF">2025-07-09T05:10:11Z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2052-12.1.0.21541</vt:lpwstr>
  </property>
  <property fmtid="{D5CDD505-2E9C-101B-9397-08002B2CF9AE}" pid="6" name="ICV">
    <vt:lpwstr>9A144368EF824A9D98EF1CABD08BD8E8_13</vt:lpwstr>
  </property>
  <property fmtid="{D5CDD505-2E9C-101B-9397-08002B2CF9AE}" pid="7" name="KSOTemplateDocerSaveRecord">
    <vt:lpwstr>eyJoZGlkIjoiMGI2ZDFmZmVjNjhiYmI3Nzg5YTgxNzM4YzkzMWZjMzEiLCJ1c2VySWQiOiIxMDQyNjE2NTI1In0=</vt:lpwstr>
  </property>
</Properties>
</file>