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3D8B78">
      <w:pPr>
        <w:adjustRightInd w:val="0"/>
        <w:snapToGrid w:val="0"/>
        <w:spacing w:line="360" w:lineRule="auto"/>
        <w:rPr>
          <w:rFonts w:ascii="宋体" w:hAnsi="宋体" w:eastAsia="宋体" w:cs="宋体"/>
          <w:b/>
          <w:sz w:val="40"/>
          <w:szCs w:val="40"/>
          <w:highlight w:val="none"/>
        </w:rPr>
      </w:pPr>
      <w:bookmarkStart w:id="1131" w:name="_GoBack"/>
      <w:bookmarkEnd w:id="1131"/>
    </w:p>
    <w:p w14:paraId="0869CF5C">
      <w:pPr>
        <w:adjustRightInd w:val="0"/>
        <w:snapToGrid w:val="0"/>
        <w:spacing w:line="360" w:lineRule="auto"/>
        <w:jc w:val="center"/>
        <w:rPr>
          <w:rFonts w:hint="eastAsia" w:ascii="宋体" w:hAnsi="宋体" w:eastAsia="宋体" w:cs="宋体"/>
          <w:b/>
          <w:sz w:val="36"/>
          <w:szCs w:val="36"/>
          <w:highlight w:val="none"/>
          <w:lang w:eastAsia="zh-CN"/>
        </w:rPr>
      </w:pPr>
      <w:r>
        <w:rPr>
          <w:rFonts w:hint="eastAsia" w:ascii="宋体" w:hAnsi="宋体" w:eastAsia="宋体" w:cs="宋体"/>
          <w:b/>
          <w:sz w:val="36"/>
          <w:szCs w:val="36"/>
          <w:highlight w:val="none"/>
          <w:lang w:eastAsia="zh-CN"/>
        </w:rPr>
        <w:t>灵宝市尹庄镇人民政府原灵宝市鑫泰矿业有限责任公司岳渡曹沟选厂尾矿库风险隐患治理项目（闭库工程）</w:t>
      </w:r>
    </w:p>
    <w:p w14:paraId="25EE2088">
      <w:pPr>
        <w:pStyle w:val="21"/>
        <w:rPr>
          <w:rFonts w:hint="eastAsia"/>
          <w:highlight w:val="none"/>
          <w:lang w:eastAsia="zh-CN"/>
        </w:rPr>
      </w:pPr>
    </w:p>
    <w:p w14:paraId="2D698590">
      <w:pPr>
        <w:adjustRightInd w:val="0"/>
        <w:snapToGrid w:val="0"/>
        <w:spacing w:line="360" w:lineRule="auto"/>
        <w:jc w:val="center"/>
        <w:rPr>
          <w:rFonts w:ascii="宋体" w:hAnsi="宋体" w:eastAsia="宋体" w:cs="宋体"/>
          <w:b/>
          <w:sz w:val="52"/>
          <w:szCs w:val="52"/>
          <w:highlight w:val="none"/>
        </w:rPr>
      </w:pPr>
      <w:r>
        <w:rPr>
          <w:rFonts w:hint="eastAsia" w:ascii="宋体" w:hAnsi="宋体" w:eastAsia="宋体" w:cs="宋体"/>
          <w:b/>
          <w:sz w:val="72"/>
          <w:szCs w:val="72"/>
          <w:highlight w:val="none"/>
        </w:rPr>
        <w:t>竞争性磋商文件</w:t>
      </w:r>
    </w:p>
    <w:p w14:paraId="0486051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center"/>
        <w:rPr>
          <w:rFonts w:hint="default" w:ascii="宋体" w:hAnsi="宋体" w:eastAsia="宋体" w:cs="宋体"/>
          <w:b/>
          <w:bCs/>
          <w:color w:val="000000"/>
          <w:sz w:val="32"/>
          <w:szCs w:val="32"/>
          <w:highlight w:val="none"/>
          <w:lang w:val="en-US" w:eastAsia="zh-CN"/>
        </w:rPr>
      </w:pPr>
      <w:r>
        <w:rPr>
          <w:rFonts w:hint="eastAsia" w:ascii="宋体" w:hAnsi="宋体" w:eastAsia="宋体" w:cs="宋体"/>
          <w:b/>
          <w:bCs/>
          <w:color w:val="000000"/>
          <w:sz w:val="32"/>
          <w:szCs w:val="32"/>
          <w:highlight w:val="none"/>
        </w:rPr>
        <w:t>项目编号：</w:t>
      </w:r>
      <w:r>
        <w:rPr>
          <w:rFonts w:hint="eastAsia" w:ascii="宋体" w:hAnsi="宋体" w:eastAsia="宋体" w:cs="宋体"/>
          <w:b/>
          <w:bCs/>
          <w:color w:val="000000"/>
          <w:sz w:val="32"/>
          <w:szCs w:val="32"/>
          <w:highlight w:val="none"/>
          <w:lang w:val="en-US" w:eastAsia="zh-CN"/>
        </w:rPr>
        <w:t>灵宝竞磋采购-2025-1；LBGZ[2025]001-ZC001</w:t>
      </w:r>
    </w:p>
    <w:p w14:paraId="61796872">
      <w:pPr>
        <w:adjustRightInd w:val="0"/>
        <w:snapToGrid w:val="0"/>
        <w:spacing w:line="360" w:lineRule="auto"/>
        <w:jc w:val="center"/>
        <w:rPr>
          <w:rFonts w:hint="eastAsia" w:ascii="宋体" w:hAnsi="宋体" w:eastAsia="宋体" w:cs="宋体"/>
          <w:b/>
          <w:bCs/>
          <w:color w:val="000000"/>
          <w:sz w:val="32"/>
          <w:szCs w:val="32"/>
          <w:highlight w:val="none"/>
          <w:lang w:val="en-US"/>
        </w:rPr>
      </w:pPr>
      <w:r>
        <w:rPr>
          <w:rFonts w:hint="eastAsia" w:ascii="宋体" w:hAnsi="宋体" w:eastAsia="宋体" w:cs="Calibri"/>
          <w:sz w:val="28"/>
          <w:szCs w:val="28"/>
          <w:highlight w:val="none"/>
        </w:rPr>
        <w:drawing>
          <wp:anchor distT="0" distB="0" distL="114300" distR="114300" simplePos="0" relativeHeight="251662336" behindDoc="0" locked="0" layoutInCell="1" allowOverlap="1">
            <wp:simplePos x="0" y="0"/>
            <wp:positionH relativeFrom="column">
              <wp:posOffset>1075690</wp:posOffset>
            </wp:positionH>
            <wp:positionV relativeFrom="paragraph">
              <wp:posOffset>180975</wp:posOffset>
            </wp:positionV>
            <wp:extent cx="3517900" cy="2455545"/>
            <wp:effectExtent l="0" t="0" r="6350" b="1905"/>
            <wp:wrapSquare wrapText="bothSides"/>
            <wp:docPr id="4" name="图片 2" descr="6a3aae8a0d4766ea8ef260ca6c32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6a3aae8a0d4766ea8ef260ca6c3266a"/>
                    <pic:cNvPicPr>
                      <a:picLocks noChangeAspect="1"/>
                    </pic:cNvPicPr>
                  </pic:nvPicPr>
                  <pic:blipFill>
                    <a:blip r:embed="rId9"/>
                    <a:stretch>
                      <a:fillRect/>
                    </a:stretch>
                  </pic:blipFill>
                  <pic:spPr>
                    <a:xfrm>
                      <a:off x="0" y="0"/>
                      <a:ext cx="3517900" cy="2455545"/>
                    </a:xfrm>
                    <a:prstGeom prst="rect">
                      <a:avLst/>
                    </a:prstGeom>
                    <a:noFill/>
                    <a:ln>
                      <a:noFill/>
                    </a:ln>
                  </pic:spPr>
                </pic:pic>
              </a:graphicData>
            </a:graphic>
          </wp:anchor>
        </w:drawing>
      </w:r>
    </w:p>
    <w:p w14:paraId="5E381E12">
      <w:pPr>
        <w:adjustRightInd w:val="0"/>
        <w:snapToGrid w:val="0"/>
        <w:spacing w:line="360" w:lineRule="auto"/>
        <w:jc w:val="center"/>
        <w:rPr>
          <w:rFonts w:hint="eastAsia" w:ascii="宋体" w:hAnsi="宋体" w:eastAsia="宋体" w:cs="宋体"/>
          <w:b/>
          <w:bCs/>
          <w:color w:val="000000"/>
          <w:sz w:val="32"/>
          <w:szCs w:val="32"/>
          <w:highlight w:val="none"/>
        </w:rPr>
      </w:pPr>
    </w:p>
    <w:p w14:paraId="6C9CDABE">
      <w:pPr>
        <w:adjustRightInd w:val="0"/>
        <w:snapToGrid w:val="0"/>
        <w:spacing w:line="360" w:lineRule="auto"/>
        <w:jc w:val="center"/>
        <w:rPr>
          <w:rFonts w:ascii="宋体" w:hAnsi="宋体" w:eastAsia="宋体" w:cs="宋体"/>
          <w:bCs/>
          <w:sz w:val="28"/>
          <w:szCs w:val="28"/>
          <w:highlight w:val="none"/>
        </w:rPr>
      </w:pPr>
    </w:p>
    <w:p w14:paraId="14B6DE74">
      <w:pPr>
        <w:pStyle w:val="10"/>
        <w:adjustRightInd w:val="0"/>
        <w:snapToGrid w:val="0"/>
        <w:spacing w:after="0" w:line="360" w:lineRule="auto"/>
        <w:jc w:val="center"/>
        <w:rPr>
          <w:rFonts w:hint="eastAsia" w:eastAsia="宋体" w:cs="Times New Roman"/>
          <w:sz w:val="32"/>
          <w:szCs w:val="32"/>
          <w:highlight w:val="none"/>
        </w:rPr>
      </w:pPr>
    </w:p>
    <w:p w14:paraId="398EBA89">
      <w:pPr>
        <w:pStyle w:val="11"/>
        <w:rPr>
          <w:highlight w:val="none"/>
        </w:rPr>
      </w:pPr>
    </w:p>
    <w:p w14:paraId="6ED418A1">
      <w:pPr>
        <w:adjustRightInd w:val="0"/>
        <w:snapToGrid w:val="0"/>
        <w:spacing w:line="360" w:lineRule="auto"/>
        <w:rPr>
          <w:rFonts w:ascii="宋体" w:hAnsi="宋体" w:eastAsia="宋体" w:cs="宋体"/>
          <w:sz w:val="28"/>
          <w:szCs w:val="28"/>
          <w:highlight w:val="none"/>
        </w:rPr>
      </w:pPr>
    </w:p>
    <w:p w14:paraId="22E83243">
      <w:pPr>
        <w:tabs>
          <w:tab w:val="left" w:pos="-1155"/>
          <w:tab w:val="left" w:pos="-1050"/>
        </w:tabs>
        <w:adjustRightInd w:val="0"/>
        <w:snapToGrid w:val="0"/>
        <w:spacing w:line="360" w:lineRule="auto"/>
        <w:ind w:firstLine="2165" w:firstLineChars="700"/>
        <w:jc w:val="left"/>
        <w:rPr>
          <w:rFonts w:hint="eastAsia" w:ascii="宋体" w:hAnsi="宋体" w:eastAsia="宋体" w:cs="宋体"/>
          <w:b/>
          <w:spacing w:val="-6"/>
          <w:sz w:val="32"/>
          <w:szCs w:val="32"/>
          <w:highlight w:val="none"/>
          <w:lang w:val="en-US" w:eastAsia="zh-CN"/>
        </w:rPr>
      </w:pPr>
    </w:p>
    <w:p w14:paraId="3A2F0203">
      <w:pPr>
        <w:tabs>
          <w:tab w:val="left" w:pos="-1155"/>
          <w:tab w:val="left" w:pos="-1050"/>
        </w:tabs>
        <w:adjustRightInd w:val="0"/>
        <w:snapToGrid w:val="0"/>
        <w:spacing w:line="360" w:lineRule="auto"/>
        <w:ind w:firstLine="2165" w:firstLineChars="700"/>
        <w:jc w:val="left"/>
        <w:rPr>
          <w:rFonts w:hint="eastAsia" w:ascii="宋体" w:hAnsi="宋体" w:eastAsia="宋体" w:cs="宋体"/>
          <w:b/>
          <w:spacing w:val="-6"/>
          <w:sz w:val="32"/>
          <w:szCs w:val="32"/>
          <w:highlight w:val="none"/>
          <w:lang w:val="en-US" w:eastAsia="zh-CN"/>
        </w:rPr>
      </w:pPr>
    </w:p>
    <w:p w14:paraId="38591322">
      <w:pPr>
        <w:tabs>
          <w:tab w:val="left" w:pos="-1155"/>
          <w:tab w:val="left" w:pos="-1050"/>
        </w:tabs>
        <w:adjustRightInd w:val="0"/>
        <w:snapToGrid w:val="0"/>
        <w:spacing w:line="360" w:lineRule="auto"/>
        <w:ind w:firstLine="2165" w:firstLineChars="700"/>
        <w:jc w:val="left"/>
        <w:rPr>
          <w:rFonts w:ascii="宋体" w:hAnsi="宋体" w:eastAsia="宋体" w:cs="宋体"/>
          <w:b/>
          <w:spacing w:val="-6"/>
          <w:sz w:val="32"/>
          <w:szCs w:val="32"/>
          <w:highlight w:val="none"/>
        </w:rPr>
      </w:pPr>
      <w:r>
        <w:rPr>
          <w:rFonts w:hint="eastAsia" w:ascii="宋体" w:hAnsi="宋体" w:eastAsia="宋体" w:cs="宋体"/>
          <w:b/>
          <w:spacing w:val="-6"/>
          <w:sz w:val="32"/>
          <w:szCs w:val="32"/>
          <w:highlight w:val="none"/>
          <w:lang w:val="en-US" w:eastAsia="zh-CN"/>
        </w:rPr>
        <w:t>招标单位</w:t>
      </w:r>
      <w:r>
        <w:rPr>
          <w:rFonts w:hint="eastAsia" w:ascii="宋体" w:hAnsi="宋体" w:eastAsia="宋体" w:cs="宋体"/>
          <w:b/>
          <w:spacing w:val="-6"/>
          <w:sz w:val="32"/>
          <w:szCs w:val="32"/>
          <w:highlight w:val="none"/>
        </w:rPr>
        <w:t>：</w:t>
      </w:r>
      <w:r>
        <w:rPr>
          <w:rFonts w:hint="eastAsia" w:ascii="宋体" w:hAnsi="宋体" w:eastAsia="宋体" w:cs="宋体"/>
          <w:b/>
          <w:spacing w:val="-6"/>
          <w:sz w:val="32"/>
          <w:szCs w:val="32"/>
          <w:highlight w:val="none"/>
          <w:lang w:eastAsia="zh-CN"/>
        </w:rPr>
        <w:t>灵宝市尹庄镇人民政府</w:t>
      </w:r>
    </w:p>
    <w:p w14:paraId="65AB7CAB">
      <w:pPr>
        <w:tabs>
          <w:tab w:val="left" w:pos="-1155"/>
          <w:tab w:val="left" w:pos="-1050"/>
        </w:tabs>
        <w:adjustRightInd w:val="0"/>
        <w:snapToGrid w:val="0"/>
        <w:spacing w:line="360" w:lineRule="auto"/>
        <w:ind w:firstLine="2165" w:firstLineChars="700"/>
        <w:jc w:val="left"/>
        <w:rPr>
          <w:rFonts w:hint="eastAsia" w:ascii="宋体" w:hAnsi="宋体" w:eastAsia="宋体" w:cs="宋体"/>
          <w:b/>
          <w:spacing w:val="-6"/>
          <w:sz w:val="32"/>
          <w:szCs w:val="32"/>
          <w:highlight w:val="none"/>
          <w:lang w:eastAsia="zh-CN"/>
        </w:rPr>
      </w:pPr>
      <w:r>
        <w:rPr>
          <w:rFonts w:hint="eastAsia" w:ascii="宋体" w:hAnsi="宋体" w:eastAsia="宋体" w:cs="宋体"/>
          <w:b/>
          <w:spacing w:val="-6"/>
          <w:sz w:val="32"/>
          <w:szCs w:val="32"/>
          <w:highlight w:val="none"/>
        </w:rPr>
        <w:t>代理机构：</w:t>
      </w:r>
      <w:r>
        <w:rPr>
          <w:rFonts w:hint="eastAsia" w:ascii="宋体" w:hAnsi="宋体" w:eastAsia="宋体" w:cs="宋体"/>
          <w:b/>
          <w:spacing w:val="-6"/>
          <w:sz w:val="32"/>
          <w:szCs w:val="32"/>
          <w:highlight w:val="none"/>
          <w:lang w:eastAsia="zh-CN"/>
        </w:rPr>
        <w:t>建达国信工程管理有限公司</w:t>
      </w:r>
    </w:p>
    <w:p w14:paraId="02ACBABF">
      <w:pPr>
        <w:tabs>
          <w:tab w:val="left" w:pos="-1155"/>
          <w:tab w:val="left" w:pos="-1050"/>
        </w:tabs>
        <w:adjustRightInd w:val="0"/>
        <w:snapToGrid w:val="0"/>
        <w:spacing w:line="360" w:lineRule="auto"/>
        <w:ind w:firstLine="2165" w:firstLineChars="700"/>
        <w:jc w:val="left"/>
        <w:rPr>
          <w:rFonts w:ascii="宋体" w:hAnsi="宋体" w:eastAsia="宋体" w:cs="宋体"/>
          <w:b/>
          <w:spacing w:val="-6"/>
          <w:sz w:val="32"/>
          <w:szCs w:val="32"/>
          <w:highlight w:val="none"/>
        </w:rPr>
      </w:pPr>
      <w:r>
        <w:rPr>
          <w:rFonts w:hint="eastAsia" w:ascii="宋体" w:hAnsi="宋体" w:eastAsia="宋体" w:cs="宋体"/>
          <w:b/>
          <w:spacing w:val="-6"/>
          <w:sz w:val="32"/>
          <w:szCs w:val="32"/>
          <w:highlight w:val="none"/>
        </w:rPr>
        <w:t xml:space="preserve">日 </w:t>
      </w:r>
      <w:r>
        <w:rPr>
          <w:rFonts w:hint="eastAsia" w:ascii="宋体" w:hAnsi="宋体" w:eastAsia="宋体" w:cs="宋体"/>
          <w:b/>
          <w:spacing w:val="-6"/>
          <w:sz w:val="32"/>
          <w:szCs w:val="32"/>
          <w:highlight w:val="none"/>
          <w:lang w:val="en-US" w:eastAsia="zh-CN"/>
        </w:rPr>
        <w:t xml:space="preserve">  </w:t>
      </w:r>
      <w:r>
        <w:rPr>
          <w:rFonts w:hint="eastAsia" w:ascii="宋体" w:hAnsi="宋体" w:eastAsia="宋体" w:cs="宋体"/>
          <w:b/>
          <w:spacing w:val="-6"/>
          <w:sz w:val="32"/>
          <w:szCs w:val="32"/>
          <w:highlight w:val="none"/>
        </w:rPr>
        <w:t xml:space="preserve"> 期：二○二</w:t>
      </w:r>
      <w:r>
        <w:rPr>
          <w:rFonts w:hint="eastAsia" w:ascii="宋体" w:hAnsi="宋体" w:eastAsia="宋体" w:cs="宋体"/>
          <w:b/>
          <w:spacing w:val="-6"/>
          <w:sz w:val="32"/>
          <w:szCs w:val="32"/>
          <w:highlight w:val="none"/>
          <w:lang w:val="en-US" w:eastAsia="zh-CN"/>
        </w:rPr>
        <w:t>五</w:t>
      </w:r>
      <w:r>
        <w:rPr>
          <w:rFonts w:hint="eastAsia" w:ascii="宋体" w:hAnsi="宋体" w:eastAsia="宋体" w:cs="宋体"/>
          <w:b/>
          <w:spacing w:val="-6"/>
          <w:sz w:val="32"/>
          <w:szCs w:val="32"/>
          <w:highlight w:val="none"/>
        </w:rPr>
        <w:t xml:space="preserve"> 年 </w:t>
      </w:r>
      <w:r>
        <w:rPr>
          <w:rFonts w:hint="eastAsia" w:ascii="宋体" w:hAnsi="宋体" w:eastAsia="宋体" w:cs="宋体"/>
          <w:b/>
          <w:spacing w:val="-6"/>
          <w:sz w:val="32"/>
          <w:szCs w:val="32"/>
          <w:highlight w:val="none"/>
          <w:lang w:val="en-US" w:eastAsia="zh-CN"/>
        </w:rPr>
        <w:t>一</w:t>
      </w:r>
      <w:r>
        <w:rPr>
          <w:rFonts w:hint="eastAsia" w:ascii="宋体" w:hAnsi="宋体" w:eastAsia="宋体" w:cs="宋体"/>
          <w:b/>
          <w:spacing w:val="-6"/>
          <w:sz w:val="32"/>
          <w:szCs w:val="32"/>
          <w:highlight w:val="none"/>
        </w:rPr>
        <w:t xml:space="preserve"> 月</w:t>
      </w:r>
    </w:p>
    <w:p w14:paraId="43BB65E2">
      <w:pPr>
        <w:shd w:val="solid" w:color="FFFFFF" w:fill="auto"/>
        <w:autoSpaceDN w:val="0"/>
        <w:adjustRightInd w:val="0"/>
        <w:snapToGrid w:val="0"/>
        <w:spacing w:line="360" w:lineRule="auto"/>
        <w:rPr>
          <w:rFonts w:ascii="宋体" w:hAnsi="宋体" w:eastAsia="宋体" w:cs="宋体"/>
          <w:b/>
          <w:sz w:val="32"/>
          <w:szCs w:val="32"/>
          <w:highlight w:val="none"/>
        </w:rPr>
        <w:sectPr>
          <w:footerReference r:id="rId3" w:type="default"/>
          <w:pgSz w:w="11907" w:h="16840"/>
          <w:pgMar w:top="1587" w:right="1531" w:bottom="1587" w:left="1531" w:header="851" w:footer="992" w:gutter="0"/>
          <w:pgBorders>
            <w:top w:val="none" w:sz="0" w:space="0"/>
            <w:left w:val="none" w:sz="0" w:space="0"/>
            <w:bottom w:val="none" w:sz="0" w:space="0"/>
            <w:right w:val="none" w:sz="0" w:space="0"/>
          </w:pgBorders>
          <w:pgNumType w:start="1"/>
          <w:cols w:space="720" w:num="1"/>
          <w:docGrid w:linePitch="312" w:charSpace="0"/>
        </w:sectPr>
      </w:pPr>
    </w:p>
    <w:p w14:paraId="14B7268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color w:val="000000"/>
          <w:sz w:val="30"/>
          <w:szCs w:val="30"/>
          <w:highlight w:val="none"/>
        </w:rPr>
      </w:pPr>
    </w:p>
    <w:p w14:paraId="1320A7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val="0"/>
          <w:kern w:val="44"/>
          <w:sz w:val="32"/>
          <w:szCs w:val="32"/>
          <w:highlight w:val="none"/>
        </w:rPr>
      </w:pPr>
      <w:bookmarkStart w:id="0" w:name="_Toc22293"/>
      <w:bookmarkStart w:id="1" w:name="_Toc26856"/>
      <w:r>
        <w:rPr>
          <w:rFonts w:hint="eastAsia" w:ascii="宋体" w:hAnsi="宋体" w:eastAsia="宋体" w:cs="宋体"/>
          <w:b/>
          <w:bCs w:val="0"/>
          <w:kern w:val="44"/>
          <w:sz w:val="32"/>
          <w:szCs w:val="32"/>
          <w:highlight w:val="none"/>
        </w:rPr>
        <w:t>目  录</w:t>
      </w:r>
      <w:bookmarkEnd w:id="0"/>
      <w:bookmarkEnd w:id="1"/>
    </w:p>
    <w:p w14:paraId="2653E303">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highlight w:val="none"/>
        </w:rPr>
      </w:pPr>
    </w:p>
    <w:p w14:paraId="04C61DA6">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sz w:val="32"/>
          <w:szCs w:val="32"/>
          <w:highlight w:val="none"/>
        </w:rPr>
      </w:pPr>
      <w:r>
        <w:rPr>
          <w:rFonts w:hint="eastAsia" w:ascii="宋体" w:hAnsi="宋体" w:eastAsia="宋体" w:cs="宋体"/>
          <w:b w:val="0"/>
          <w:bCs/>
          <w:sz w:val="32"/>
          <w:szCs w:val="32"/>
          <w:highlight w:val="none"/>
        </w:rPr>
        <w:fldChar w:fldCharType="begin"/>
      </w:r>
      <w:r>
        <w:rPr>
          <w:rFonts w:hint="eastAsia" w:ascii="宋体" w:hAnsi="宋体" w:eastAsia="宋体" w:cs="宋体"/>
          <w:b w:val="0"/>
          <w:bCs/>
          <w:sz w:val="32"/>
          <w:szCs w:val="32"/>
          <w:highlight w:val="none"/>
        </w:rPr>
        <w:instrText xml:space="preserve">TOC \o "1-1" \h \u </w:instrText>
      </w:r>
      <w:r>
        <w:rPr>
          <w:rFonts w:hint="eastAsia" w:ascii="宋体" w:hAnsi="宋体" w:eastAsia="宋体" w:cs="宋体"/>
          <w:b w:val="0"/>
          <w:bCs/>
          <w:sz w:val="32"/>
          <w:szCs w:val="32"/>
          <w:highlight w:val="none"/>
        </w:rPr>
        <w:fldChar w:fldCharType="separate"/>
      </w: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_Toc8929 </w:instrText>
      </w:r>
      <w:r>
        <w:rPr>
          <w:rFonts w:hint="eastAsia" w:ascii="宋体" w:hAnsi="宋体" w:eastAsia="宋体" w:cs="宋体"/>
          <w:bCs/>
          <w:sz w:val="32"/>
          <w:szCs w:val="32"/>
          <w:highlight w:val="none"/>
        </w:rPr>
        <w:fldChar w:fldCharType="separate"/>
      </w:r>
      <w:r>
        <w:rPr>
          <w:rFonts w:hint="eastAsia" w:asciiTheme="majorEastAsia" w:hAnsiTheme="majorEastAsia" w:eastAsiaTheme="majorEastAsia" w:cstheme="majorEastAsia"/>
          <w:bCs/>
          <w:sz w:val="32"/>
          <w:szCs w:val="32"/>
          <w:highlight w:val="none"/>
        </w:rPr>
        <w:t>第一章</w:t>
      </w:r>
      <w:r>
        <w:rPr>
          <w:rFonts w:hint="eastAsia" w:asciiTheme="majorEastAsia" w:hAnsiTheme="majorEastAsia" w:eastAsiaTheme="majorEastAsia" w:cstheme="majorEastAsia"/>
          <w:bCs/>
          <w:sz w:val="32"/>
          <w:szCs w:val="32"/>
          <w:highlight w:val="none"/>
          <w:lang w:val="en-US" w:eastAsia="zh-CN"/>
        </w:rPr>
        <w:t xml:space="preserve"> </w:t>
      </w:r>
      <w:r>
        <w:rPr>
          <w:rFonts w:hint="eastAsia" w:asciiTheme="majorEastAsia" w:hAnsiTheme="majorEastAsia" w:eastAsiaTheme="majorEastAsia" w:cstheme="majorEastAsia"/>
          <w:bCs/>
          <w:sz w:val="32"/>
          <w:szCs w:val="32"/>
          <w:highlight w:val="none"/>
        </w:rPr>
        <w:t>竞争性磋商公告</w:t>
      </w:r>
      <w:r>
        <w:rPr>
          <w:sz w:val="32"/>
          <w:szCs w:val="32"/>
          <w:highlight w:val="none"/>
        </w:rPr>
        <w:tab/>
      </w:r>
      <w:r>
        <w:rPr>
          <w:sz w:val="32"/>
          <w:szCs w:val="32"/>
          <w:highlight w:val="none"/>
        </w:rPr>
        <w:fldChar w:fldCharType="begin"/>
      </w:r>
      <w:r>
        <w:rPr>
          <w:sz w:val="32"/>
          <w:szCs w:val="32"/>
          <w:highlight w:val="none"/>
        </w:rPr>
        <w:instrText xml:space="preserve"> PAGEREF _Toc8929 \h </w:instrText>
      </w:r>
      <w:r>
        <w:rPr>
          <w:sz w:val="32"/>
          <w:szCs w:val="32"/>
          <w:highlight w:val="none"/>
        </w:rPr>
        <w:fldChar w:fldCharType="separate"/>
      </w:r>
      <w:r>
        <w:rPr>
          <w:sz w:val="32"/>
          <w:szCs w:val="32"/>
          <w:highlight w:val="none"/>
        </w:rPr>
        <w:t>1</w:t>
      </w:r>
      <w:r>
        <w:rPr>
          <w:sz w:val="32"/>
          <w:szCs w:val="32"/>
          <w:highlight w:val="none"/>
        </w:rPr>
        <w:fldChar w:fldCharType="end"/>
      </w:r>
      <w:r>
        <w:rPr>
          <w:rFonts w:hint="eastAsia" w:ascii="宋体" w:hAnsi="宋体" w:eastAsia="宋体" w:cs="宋体"/>
          <w:bCs/>
          <w:sz w:val="32"/>
          <w:szCs w:val="32"/>
          <w:highlight w:val="none"/>
        </w:rPr>
        <w:fldChar w:fldCharType="end"/>
      </w:r>
    </w:p>
    <w:p w14:paraId="76FF558A">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_Toc7461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第二章</w:t>
      </w:r>
      <w:r>
        <w:rPr>
          <w:rFonts w:hint="eastAsia" w:ascii="宋体" w:hAnsi="宋体" w:eastAsia="宋体" w:cs="宋体"/>
          <w:bCs/>
          <w:sz w:val="32"/>
          <w:szCs w:val="32"/>
          <w:highlight w:val="none"/>
          <w:lang w:val="en-US" w:eastAsia="zh-CN"/>
        </w:rPr>
        <w:t xml:space="preserve"> </w:t>
      </w:r>
      <w:r>
        <w:rPr>
          <w:rFonts w:hint="eastAsia" w:ascii="宋体" w:hAnsi="宋体" w:eastAsia="宋体" w:cs="宋体"/>
          <w:bCs/>
          <w:sz w:val="32"/>
          <w:szCs w:val="32"/>
          <w:highlight w:val="none"/>
          <w:lang w:eastAsia="zh-CN"/>
        </w:rPr>
        <w:t>投标人</w:t>
      </w:r>
      <w:r>
        <w:rPr>
          <w:rFonts w:hint="eastAsia" w:ascii="宋体" w:hAnsi="宋体" w:eastAsia="宋体" w:cs="宋体"/>
          <w:bCs/>
          <w:sz w:val="32"/>
          <w:szCs w:val="32"/>
          <w:highlight w:val="none"/>
        </w:rPr>
        <w:t>须知</w:t>
      </w:r>
      <w:r>
        <w:rPr>
          <w:sz w:val="32"/>
          <w:szCs w:val="32"/>
          <w:highlight w:val="none"/>
        </w:rPr>
        <w:tab/>
      </w:r>
      <w:r>
        <w:rPr>
          <w:rFonts w:hint="eastAsia"/>
          <w:sz w:val="32"/>
          <w:szCs w:val="32"/>
          <w:highlight w:val="none"/>
          <w:lang w:val="en-US" w:eastAsia="zh-CN"/>
        </w:rPr>
        <w:t>6</w:t>
      </w:r>
      <w:r>
        <w:rPr>
          <w:rFonts w:hint="eastAsia" w:ascii="宋体" w:hAnsi="宋体" w:eastAsia="宋体" w:cs="宋体"/>
          <w:bCs/>
          <w:sz w:val="32"/>
          <w:szCs w:val="32"/>
          <w:highlight w:val="none"/>
        </w:rPr>
        <w:fldChar w:fldCharType="end"/>
      </w:r>
    </w:p>
    <w:p w14:paraId="6D0569F1">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_Toc18532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三</w:t>
      </w:r>
      <w:r>
        <w:rPr>
          <w:rFonts w:hint="eastAsia" w:ascii="宋体" w:hAnsi="宋体" w:eastAsia="宋体" w:cs="宋体"/>
          <w:bCs/>
          <w:sz w:val="32"/>
          <w:szCs w:val="32"/>
          <w:highlight w:val="none"/>
        </w:rPr>
        <w:t>章</w:t>
      </w:r>
      <w:r>
        <w:rPr>
          <w:rFonts w:hint="eastAsia" w:ascii="宋体" w:hAnsi="宋体" w:eastAsia="宋体" w:cs="宋体"/>
          <w:bCs/>
          <w:sz w:val="32"/>
          <w:szCs w:val="32"/>
          <w:highlight w:val="none"/>
          <w:lang w:val="en-US" w:eastAsia="zh-CN"/>
        </w:rPr>
        <w:t xml:space="preserve"> 评标办法（综合评分法）</w:t>
      </w:r>
      <w:r>
        <w:rPr>
          <w:sz w:val="32"/>
          <w:szCs w:val="32"/>
          <w:highlight w:val="none"/>
        </w:rPr>
        <w:tab/>
      </w:r>
      <w:r>
        <w:rPr>
          <w:sz w:val="32"/>
          <w:szCs w:val="32"/>
          <w:highlight w:val="none"/>
        </w:rPr>
        <w:fldChar w:fldCharType="begin"/>
      </w:r>
      <w:r>
        <w:rPr>
          <w:sz w:val="32"/>
          <w:szCs w:val="32"/>
          <w:highlight w:val="none"/>
        </w:rPr>
        <w:instrText xml:space="preserve"> PAGEREF _Toc18532 \h </w:instrText>
      </w:r>
      <w:r>
        <w:rPr>
          <w:sz w:val="32"/>
          <w:szCs w:val="32"/>
          <w:highlight w:val="none"/>
        </w:rPr>
        <w:fldChar w:fldCharType="separate"/>
      </w:r>
      <w:r>
        <w:rPr>
          <w:sz w:val="32"/>
          <w:szCs w:val="32"/>
          <w:highlight w:val="none"/>
        </w:rPr>
        <w:t>24</w:t>
      </w:r>
      <w:r>
        <w:rPr>
          <w:sz w:val="32"/>
          <w:szCs w:val="32"/>
          <w:highlight w:val="none"/>
        </w:rPr>
        <w:fldChar w:fldCharType="end"/>
      </w:r>
      <w:r>
        <w:rPr>
          <w:rFonts w:hint="eastAsia" w:ascii="宋体" w:hAnsi="宋体" w:eastAsia="宋体" w:cs="宋体"/>
          <w:bCs/>
          <w:sz w:val="32"/>
          <w:szCs w:val="32"/>
          <w:highlight w:val="none"/>
        </w:rPr>
        <w:fldChar w:fldCharType="end"/>
      </w:r>
    </w:p>
    <w:p w14:paraId="505637F7">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_Toc6637 </w:instrText>
      </w:r>
      <w:r>
        <w:rPr>
          <w:rFonts w:hint="eastAsia" w:ascii="宋体" w:hAnsi="宋体" w:eastAsia="宋体" w:cs="宋体"/>
          <w:bCs/>
          <w:sz w:val="32"/>
          <w:szCs w:val="32"/>
          <w:highlight w:val="none"/>
        </w:rPr>
        <w:fldChar w:fldCharType="separate"/>
      </w:r>
      <w:r>
        <w:rPr>
          <w:rFonts w:hint="eastAsia" w:asciiTheme="majorEastAsia" w:hAnsiTheme="majorEastAsia" w:eastAsiaTheme="majorEastAsia" w:cstheme="majorEastAsia"/>
          <w:bCs/>
          <w:sz w:val="32"/>
          <w:szCs w:val="32"/>
          <w:highlight w:val="none"/>
          <w:lang w:val="en-US" w:eastAsia="zh-CN"/>
        </w:rPr>
        <w:t>第四章 合同条款</w:t>
      </w:r>
      <w:r>
        <w:rPr>
          <w:sz w:val="32"/>
          <w:szCs w:val="32"/>
          <w:highlight w:val="none"/>
        </w:rPr>
        <w:tab/>
      </w:r>
      <w:r>
        <w:rPr>
          <w:sz w:val="32"/>
          <w:szCs w:val="32"/>
          <w:highlight w:val="none"/>
        </w:rPr>
        <w:fldChar w:fldCharType="begin"/>
      </w:r>
      <w:r>
        <w:rPr>
          <w:sz w:val="32"/>
          <w:szCs w:val="32"/>
          <w:highlight w:val="none"/>
        </w:rPr>
        <w:instrText xml:space="preserve"> PAGEREF _Toc6637 \h </w:instrText>
      </w:r>
      <w:r>
        <w:rPr>
          <w:sz w:val="32"/>
          <w:szCs w:val="32"/>
          <w:highlight w:val="none"/>
        </w:rPr>
        <w:fldChar w:fldCharType="separate"/>
      </w:r>
      <w:r>
        <w:rPr>
          <w:sz w:val="32"/>
          <w:szCs w:val="32"/>
          <w:highlight w:val="none"/>
        </w:rPr>
        <w:t>31</w:t>
      </w:r>
      <w:r>
        <w:rPr>
          <w:sz w:val="32"/>
          <w:szCs w:val="32"/>
          <w:highlight w:val="none"/>
        </w:rPr>
        <w:fldChar w:fldCharType="end"/>
      </w:r>
      <w:r>
        <w:rPr>
          <w:rFonts w:hint="eastAsia" w:ascii="宋体" w:hAnsi="宋体" w:eastAsia="宋体" w:cs="宋体"/>
          <w:bCs/>
          <w:sz w:val="32"/>
          <w:szCs w:val="32"/>
          <w:highlight w:val="none"/>
        </w:rPr>
        <w:fldChar w:fldCharType="end"/>
      </w:r>
    </w:p>
    <w:p w14:paraId="79DA0119">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_Toc10207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五</w:t>
      </w:r>
      <w:r>
        <w:rPr>
          <w:rFonts w:hint="eastAsia" w:ascii="宋体" w:hAnsi="宋体" w:eastAsia="宋体" w:cs="宋体"/>
          <w:bCs/>
          <w:sz w:val="32"/>
          <w:szCs w:val="32"/>
          <w:highlight w:val="none"/>
        </w:rPr>
        <w:t>章 工程量清单（另附）</w:t>
      </w:r>
      <w:r>
        <w:rPr>
          <w:sz w:val="32"/>
          <w:szCs w:val="32"/>
          <w:highlight w:val="none"/>
        </w:rPr>
        <w:tab/>
      </w:r>
      <w:r>
        <w:rPr>
          <w:sz w:val="32"/>
          <w:szCs w:val="32"/>
          <w:highlight w:val="none"/>
        </w:rPr>
        <w:fldChar w:fldCharType="begin"/>
      </w:r>
      <w:r>
        <w:rPr>
          <w:sz w:val="32"/>
          <w:szCs w:val="32"/>
          <w:highlight w:val="none"/>
        </w:rPr>
        <w:instrText xml:space="preserve"> PAGEREF _Toc10207 \h </w:instrText>
      </w:r>
      <w:r>
        <w:rPr>
          <w:sz w:val="32"/>
          <w:szCs w:val="32"/>
          <w:highlight w:val="none"/>
        </w:rPr>
        <w:fldChar w:fldCharType="separate"/>
      </w:r>
      <w:r>
        <w:rPr>
          <w:sz w:val="32"/>
          <w:szCs w:val="32"/>
          <w:highlight w:val="none"/>
        </w:rPr>
        <w:t>49</w:t>
      </w:r>
      <w:r>
        <w:rPr>
          <w:sz w:val="32"/>
          <w:szCs w:val="32"/>
          <w:highlight w:val="none"/>
        </w:rPr>
        <w:fldChar w:fldCharType="end"/>
      </w:r>
      <w:r>
        <w:rPr>
          <w:rFonts w:hint="eastAsia" w:ascii="宋体" w:hAnsi="宋体" w:eastAsia="宋体" w:cs="宋体"/>
          <w:bCs/>
          <w:sz w:val="32"/>
          <w:szCs w:val="32"/>
          <w:highlight w:val="none"/>
        </w:rPr>
        <w:fldChar w:fldCharType="end"/>
      </w:r>
    </w:p>
    <w:p w14:paraId="49609236">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eastAsia="宋体"/>
          <w:sz w:val="32"/>
          <w:szCs w:val="32"/>
          <w:highlight w:val="none"/>
          <w:lang w:val="en-US" w:eastAsia="zh-CN"/>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_Toc20730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六</w:t>
      </w:r>
      <w:r>
        <w:rPr>
          <w:rFonts w:hint="eastAsia" w:ascii="宋体" w:hAnsi="宋体" w:eastAsia="宋体" w:cs="宋体"/>
          <w:bCs/>
          <w:sz w:val="32"/>
          <w:szCs w:val="32"/>
          <w:highlight w:val="none"/>
        </w:rPr>
        <w:t>章 图纸（另附）</w:t>
      </w:r>
      <w:r>
        <w:rPr>
          <w:sz w:val="32"/>
          <w:szCs w:val="32"/>
          <w:highlight w:val="none"/>
        </w:rPr>
        <w:tab/>
      </w:r>
      <w:r>
        <w:rPr>
          <w:rFonts w:hint="eastAsia"/>
          <w:sz w:val="32"/>
          <w:szCs w:val="32"/>
          <w:highlight w:val="none"/>
          <w:lang w:val="en-US" w:eastAsia="zh-CN"/>
        </w:rPr>
        <w:t>5</w:t>
      </w:r>
      <w:r>
        <w:rPr>
          <w:rFonts w:hint="eastAsia" w:ascii="宋体" w:hAnsi="宋体" w:eastAsia="宋体" w:cs="宋体"/>
          <w:bCs/>
          <w:sz w:val="32"/>
          <w:szCs w:val="32"/>
          <w:highlight w:val="none"/>
        </w:rPr>
        <w:fldChar w:fldCharType="end"/>
      </w:r>
      <w:r>
        <w:rPr>
          <w:rFonts w:hint="eastAsia" w:ascii="宋体" w:hAnsi="宋体" w:eastAsia="宋体" w:cs="宋体"/>
          <w:bCs/>
          <w:sz w:val="32"/>
          <w:szCs w:val="32"/>
          <w:highlight w:val="none"/>
          <w:lang w:val="en-US" w:eastAsia="zh-CN"/>
        </w:rPr>
        <w:t>0</w:t>
      </w:r>
    </w:p>
    <w:p w14:paraId="75301084">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_Toc7428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七</w:t>
      </w:r>
      <w:r>
        <w:rPr>
          <w:rFonts w:hint="eastAsia" w:ascii="宋体" w:hAnsi="宋体" w:eastAsia="宋体" w:cs="宋体"/>
          <w:bCs/>
          <w:sz w:val="32"/>
          <w:szCs w:val="32"/>
          <w:highlight w:val="none"/>
        </w:rPr>
        <w:t>章 响应文件格式</w:t>
      </w:r>
      <w:r>
        <w:rPr>
          <w:sz w:val="32"/>
          <w:szCs w:val="32"/>
          <w:highlight w:val="none"/>
        </w:rPr>
        <w:tab/>
      </w:r>
      <w:r>
        <w:rPr>
          <w:sz w:val="32"/>
          <w:szCs w:val="32"/>
          <w:highlight w:val="none"/>
        </w:rPr>
        <w:fldChar w:fldCharType="begin"/>
      </w:r>
      <w:r>
        <w:rPr>
          <w:sz w:val="32"/>
          <w:szCs w:val="32"/>
          <w:highlight w:val="none"/>
        </w:rPr>
        <w:instrText xml:space="preserve"> PAGEREF _Toc7428 \h </w:instrText>
      </w:r>
      <w:r>
        <w:rPr>
          <w:sz w:val="32"/>
          <w:szCs w:val="32"/>
          <w:highlight w:val="none"/>
        </w:rPr>
        <w:fldChar w:fldCharType="separate"/>
      </w:r>
      <w:r>
        <w:rPr>
          <w:sz w:val="32"/>
          <w:szCs w:val="32"/>
          <w:highlight w:val="none"/>
        </w:rPr>
        <w:t>51</w:t>
      </w:r>
      <w:r>
        <w:rPr>
          <w:sz w:val="32"/>
          <w:szCs w:val="32"/>
          <w:highlight w:val="none"/>
        </w:rPr>
        <w:fldChar w:fldCharType="end"/>
      </w:r>
      <w:r>
        <w:rPr>
          <w:rFonts w:hint="eastAsia" w:ascii="宋体" w:hAnsi="宋体" w:eastAsia="宋体" w:cs="宋体"/>
          <w:bCs/>
          <w:sz w:val="32"/>
          <w:szCs w:val="32"/>
          <w:highlight w:val="none"/>
        </w:rPr>
        <w:fldChar w:fldCharType="end"/>
      </w:r>
    </w:p>
    <w:p w14:paraId="765659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30"/>
          <w:szCs w:val="30"/>
          <w:highlight w:val="none"/>
        </w:rPr>
      </w:pPr>
      <w:r>
        <w:rPr>
          <w:rFonts w:hint="eastAsia" w:ascii="宋体" w:hAnsi="宋体" w:eastAsia="宋体" w:cs="宋体"/>
          <w:bCs/>
          <w:sz w:val="32"/>
          <w:szCs w:val="32"/>
          <w:highlight w:val="none"/>
        </w:rPr>
        <w:fldChar w:fldCharType="end"/>
      </w:r>
    </w:p>
    <w:p w14:paraId="341A0C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p>
    <w:p w14:paraId="742C330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kern w:val="0"/>
          <w:sz w:val="24"/>
          <w:szCs w:val="24"/>
          <w:highlight w:val="none"/>
        </w:rPr>
      </w:pPr>
    </w:p>
    <w:p w14:paraId="10D57CC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kern w:val="0"/>
          <w:sz w:val="24"/>
          <w:szCs w:val="24"/>
          <w:highlight w:val="none"/>
        </w:rPr>
      </w:pPr>
    </w:p>
    <w:p w14:paraId="697D81D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8"/>
          <w:szCs w:val="28"/>
          <w:highlight w:val="none"/>
        </w:rPr>
      </w:pPr>
    </w:p>
    <w:p w14:paraId="625F509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sectPr>
          <w:footerReference r:id="rId4" w:type="default"/>
          <w:pgSz w:w="11906" w:h="16838"/>
          <w:pgMar w:top="1247" w:right="1417" w:bottom="1134" w:left="1417" w:header="851" w:footer="992" w:gutter="0"/>
          <w:pgBorders>
            <w:top w:val="none" w:sz="0" w:space="0"/>
            <w:left w:val="none" w:sz="0" w:space="0"/>
            <w:bottom w:val="none" w:sz="0" w:space="0"/>
            <w:right w:val="none" w:sz="0" w:space="0"/>
          </w:pgBorders>
          <w:pgNumType w:fmt="numberInDash" w:start="2"/>
          <w:cols w:space="720" w:num="1"/>
          <w:docGrid w:type="lines" w:linePitch="312" w:charSpace="0"/>
        </w:sectPr>
      </w:pPr>
      <w:bookmarkStart w:id="2" w:name="_Toc69718831"/>
      <w:bookmarkEnd w:id="2"/>
      <w:bookmarkStart w:id="3" w:name="_Toc28061"/>
    </w:p>
    <w:p w14:paraId="37C85490">
      <w:pPr>
        <w:keepNext/>
        <w:keepLines/>
        <w:pageBreakBefore w:val="0"/>
        <w:widowControl w:val="0"/>
        <w:numPr>
          <w:ilvl w:val="0"/>
          <w:numId w:val="1"/>
        </w:numP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Theme="majorEastAsia" w:hAnsiTheme="majorEastAsia" w:eastAsiaTheme="majorEastAsia" w:cstheme="majorEastAsia"/>
          <w:b/>
          <w:bCs/>
          <w:sz w:val="36"/>
          <w:szCs w:val="36"/>
          <w:highlight w:val="none"/>
        </w:rPr>
      </w:pPr>
      <w:bookmarkStart w:id="4" w:name="_Toc8929"/>
      <w:r>
        <w:rPr>
          <w:rFonts w:hint="eastAsia" w:asciiTheme="majorEastAsia" w:hAnsiTheme="majorEastAsia" w:eastAsiaTheme="majorEastAsia" w:cstheme="majorEastAsia"/>
          <w:b/>
          <w:bCs/>
          <w:sz w:val="36"/>
          <w:szCs w:val="36"/>
          <w:highlight w:val="none"/>
        </w:rPr>
        <w:t>竞争性磋商公告</w:t>
      </w:r>
      <w:bookmarkEnd w:id="3"/>
      <w:bookmarkEnd w:id="4"/>
    </w:p>
    <w:p w14:paraId="0E6133B2">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center"/>
        <w:textAlignment w:val="auto"/>
        <w:rPr>
          <w:rFonts w:hint="eastAsia" w:ascii="宋体" w:hAnsi="宋体" w:eastAsia="宋体" w:cs="宋体"/>
          <w:b/>
          <w:bCs/>
          <w:sz w:val="28"/>
          <w:szCs w:val="28"/>
          <w:highlight w:val="none"/>
          <w:lang w:eastAsia="zh-CN"/>
        </w:rPr>
      </w:pPr>
      <w:bookmarkStart w:id="5" w:name="_Toc114"/>
      <w:bookmarkStart w:id="6" w:name="_Toc7461"/>
      <w:r>
        <w:rPr>
          <w:rFonts w:hint="eastAsia" w:ascii="宋体" w:hAnsi="宋体" w:eastAsia="宋体" w:cs="宋体"/>
          <w:b/>
          <w:bCs/>
          <w:sz w:val="28"/>
          <w:szCs w:val="28"/>
          <w:highlight w:val="none"/>
          <w:lang w:eastAsia="zh-CN"/>
        </w:rPr>
        <w:t>灵宝市尹庄镇人民政府原灵宝市鑫泰矿业有限责任公司岳渡曹沟选厂尾矿库风险隐患治理项目（闭库工程）</w:t>
      </w:r>
    </w:p>
    <w:p w14:paraId="148CFF1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一、招标条件</w:t>
      </w:r>
    </w:p>
    <w:p w14:paraId="06DE2C3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建达国信工程管理有限公司</w:t>
      </w:r>
      <w:r>
        <w:rPr>
          <w:rFonts w:hint="eastAsia" w:ascii="宋体" w:hAnsi="宋体" w:eastAsia="宋体" w:cs="宋体"/>
          <w:sz w:val="28"/>
          <w:szCs w:val="28"/>
          <w:highlight w:val="none"/>
        </w:rPr>
        <w:t>受</w:t>
      </w:r>
      <w:r>
        <w:rPr>
          <w:rFonts w:hint="eastAsia" w:ascii="宋体" w:hAnsi="宋体" w:eastAsia="宋体" w:cs="宋体"/>
          <w:sz w:val="28"/>
          <w:szCs w:val="28"/>
          <w:highlight w:val="none"/>
          <w:lang w:eastAsia="zh-CN"/>
        </w:rPr>
        <w:t>灵宝市尹庄镇人民政府</w:t>
      </w:r>
      <w:r>
        <w:rPr>
          <w:rFonts w:hint="eastAsia" w:ascii="宋体" w:hAnsi="宋体" w:eastAsia="宋体" w:cs="宋体"/>
          <w:sz w:val="28"/>
          <w:szCs w:val="28"/>
          <w:highlight w:val="none"/>
        </w:rPr>
        <w:t>的委托，就</w:t>
      </w:r>
      <w:r>
        <w:rPr>
          <w:rFonts w:hint="eastAsia" w:ascii="宋体" w:hAnsi="宋体" w:eastAsia="宋体" w:cs="宋体"/>
          <w:sz w:val="28"/>
          <w:szCs w:val="28"/>
          <w:highlight w:val="none"/>
          <w:lang w:eastAsia="zh-CN"/>
        </w:rPr>
        <w:t>灵宝市尹庄镇人民政府原灵宝市鑫泰矿业有限责任公司岳渡曹沟选厂尾矿库风险隐患治理项目（闭库工程）</w:t>
      </w:r>
      <w:r>
        <w:rPr>
          <w:rFonts w:hint="eastAsia" w:ascii="宋体" w:hAnsi="宋体" w:eastAsia="宋体" w:cs="宋体"/>
          <w:sz w:val="28"/>
          <w:szCs w:val="28"/>
          <w:highlight w:val="none"/>
        </w:rPr>
        <w:t>进行竞争性磋商，项目已具备招标条件，欢迎符合资格条件的</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参加磋商。</w:t>
      </w:r>
    </w:p>
    <w:p w14:paraId="3DDE387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二、项目概况</w:t>
      </w:r>
    </w:p>
    <w:p w14:paraId="4A102E9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1.项目名称：</w:t>
      </w:r>
      <w:r>
        <w:rPr>
          <w:rFonts w:hint="eastAsia" w:ascii="宋体" w:hAnsi="宋体" w:eastAsia="宋体" w:cs="宋体"/>
          <w:sz w:val="28"/>
          <w:szCs w:val="28"/>
          <w:highlight w:val="none"/>
          <w:lang w:eastAsia="zh-CN"/>
        </w:rPr>
        <w:t>灵宝市尹庄镇人民政府原灵宝市鑫泰矿业有限责任公司岳渡曹沟选厂尾矿库风险隐患治理项目（闭库工程）</w:t>
      </w:r>
    </w:p>
    <w:p w14:paraId="224BEB1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rPr>
      </w:pPr>
      <w:r>
        <w:rPr>
          <w:rFonts w:hint="eastAsia" w:ascii="宋体" w:hAnsi="宋体" w:eastAsia="宋体" w:cs="宋体"/>
          <w:sz w:val="28"/>
          <w:szCs w:val="28"/>
          <w:highlight w:val="none"/>
        </w:rPr>
        <w:t>2.项目编号：</w:t>
      </w:r>
      <w:r>
        <w:rPr>
          <w:rFonts w:hint="eastAsia" w:ascii="宋体" w:hAnsi="宋体" w:eastAsia="宋体" w:cs="宋体"/>
          <w:sz w:val="28"/>
          <w:szCs w:val="28"/>
          <w:highlight w:val="none"/>
          <w:lang w:val="en-US" w:eastAsia="zh-CN"/>
        </w:rPr>
        <w:t>灵宝竞磋采购-2025-1；LBGZ[2025]001-ZC001</w:t>
      </w:r>
    </w:p>
    <w:p w14:paraId="4F0BCAE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3.项目概况：</w:t>
      </w:r>
      <w:r>
        <w:rPr>
          <w:rFonts w:hint="eastAsia" w:ascii="宋体" w:hAnsi="宋体" w:eastAsia="宋体" w:cs="宋体"/>
          <w:sz w:val="28"/>
          <w:szCs w:val="28"/>
          <w:highlight w:val="none"/>
          <w:lang w:val="en-US" w:eastAsia="zh-CN"/>
        </w:rPr>
        <w:t>灵宝市尹庄镇人民政府原灵宝市鑫泰矿业有限责任公司岳渡曹沟选厂尾矿库风险隐患治理项目（闭库工程），位于河南省灵宝市，主要建设内容为堆积坝治理、库面、库尾及库面左侧植草、原排水设施治理、新建库内排水设施、其他工程等，具体详见</w:t>
      </w:r>
      <w:r>
        <w:rPr>
          <w:rFonts w:hint="eastAsia" w:ascii="宋体" w:hAnsi="宋体" w:eastAsia="宋体" w:cs="宋体"/>
          <w:sz w:val="28"/>
          <w:szCs w:val="28"/>
          <w:highlight w:val="none"/>
        </w:rPr>
        <w:t>施工图纸和工程量清单</w:t>
      </w:r>
      <w:r>
        <w:rPr>
          <w:rFonts w:hint="eastAsia" w:ascii="宋体" w:hAnsi="宋体" w:eastAsia="宋体" w:cs="宋体"/>
          <w:sz w:val="28"/>
          <w:szCs w:val="28"/>
          <w:highlight w:val="none"/>
          <w:lang w:val="en-US" w:eastAsia="zh-CN"/>
        </w:rPr>
        <w:t>。</w:t>
      </w:r>
    </w:p>
    <w:p w14:paraId="0A40FE7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4.磋商范围：施工图纸和工程量清单所包含的全部内容。</w:t>
      </w:r>
    </w:p>
    <w:p w14:paraId="6C8F0F4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5.招标控制价：</w:t>
      </w:r>
      <w:r>
        <w:rPr>
          <w:rFonts w:hint="eastAsia" w:ascii="宋体" w:hAnsi="宋体" w:eastAsia="宋体" w:cs="宋体"/>
          <w:sz w:val="28"/>
          <w:szCs w:val="28"/>
          <w:highlight w:val="none"/>
          <w:lang w:val="en-US" w:eastAsia="zh-CN"/>
        </w:rPr>
        <w:t>2451216.47</w:t>
      </w:r>
      <w:r>
        <w:rPr>
          <w:rFonts w:hint="eastAsia" w:ascii="宋体" w:hAnsi="宋体" w:eastAsia="宋体" w:cs="宋体"/>
          <w:sz w:val="28"/>
          <w:szCs w:val="28"/>
          <w:highlight w:val="none"/>
        </w:rPr>
        <w:t>元</w:t>
      </w:r>
    </w:p>
    <w:p w14:paraId="494F6BC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6.资金来源：财政资金，已落实</w:t>
      </w:r>
    </w:p>
    <w:p w14:paraId="78B3540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7.工期：</w:t>
      </w:r>
      <w:r>
        <w:rPr>
          <w:rFonts w:hint="eastAsia" w:ascii="宋体" w:hAnsi="宋体" w:eastAsia="宋体" w:cs="宋体"/>
          <w:sz w:val="28"/>
          <w:szCs w:val="28"/>
          <w:highlight w:val="none"/>
          <w:lang w:val="en-US" w:eastAsia="zh-CN"/>
        </w:rPr>
        <w:t>60</w:t>
      </w:r>
      <w:r>
        <w:rPr>
          <w:rFonts w:hint="eastAsia" w:ascii="宋体" w:hAnsi="宋体" w:eastAsia="宋体" w:cs="宋体"/>
          <w:sz w:val="28"/>
          <w:szCs w:val="28"/>
          <w:highlight w:val="none"/>
        </w:rPr>
        <w:t>日历天</w:t>
      </w:r>
    </w:p>
    <w:p w14:paraId="04C8E6F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8.质量要求：</w:t>
      </w:r>
      <w:r>
        <w:rPr>
          <w:rFonts w:hint="eastAsia" w:ascii="宋体" w:hAnsi="宋体" w:eastAsia="宋体" w:cs="宋体"/>
          <w:sz w:val="28"/>
          <w:szCs w:val="28"/>
          <w:highlight w:val="none"/>
          <w:lang w:val="en-US" w:eastAsia="zh-CN"/>
        </w:rPr>
        <w:t>达到国家现行建设工程施工验收规范合格标准</w:t>
      </w:r>
    </w:p>
    <w:p w14:paraId="7620294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9.标段划分：本项目不划分标段。</w:t>
      </w:r>
    </w:p>
    <w:p w14:paraId="4FE758A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三、</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资格要求</w:t>
      </w:r>
    </w:p>
    <w:p w14:paraId="2B4F06E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1.满足《中华人民共和国政府采购法》第二十二条规定；</w:t>
      </w:r>
    </w:p>
    <w:p w14:paraId="6402244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2.落实政府采购政策需满足的资格要求：执行促进中小企业（监狱企业、残疾人福利性企业）发展等政府采购政策。</w:t>
      </w:r>
    </w:p>
    <w:p w14:paraId="794FA3D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3.本项目的特定资格要求：</w:t>
      </w:r>
    </w:p>
    <w:p w14:paraId="4155C65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3.1</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须具备独立法人资格，具有有效的营业执照。</w:t>
      </w:r>
    </w:p>
    <w:p w14:paraId="0399B65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3.2</w:t>
      </w:r>
      <w:r>
        <w:rPr>
          <w:rFonts w:hint="eastAsia" w:ascii="宋体" w:hAnsi="宋体" w:eastAsia="宋体" w:cs="宋体"/>
          <w:sz w:val="28"/>
          <w:szCs w:val="28"/>
          <w:highlight w:val="none"/>
          <w:lang w:val="en-US" w:eastAsia="zh-CN"/>
        </w:rPr>
        <w:t>投标人须具有矿山工程施工总承包叁级及以上资质，且具有有效的安全生产许可证</w:t>
      </w:r>
      <w:r>
        <w:rPr>
          <w:rFonts w:hint="eastAsia" w:ascii="宋体" w:hAnsi="宋体" w:eastAsia="宋体" w:cs="宋体"/>
          <w:sz w:val="28"/>
          <w:szCs w:val="28"/>
          <w:highlight w:val="none"/>
        </w:rPr>
        <w:t>。</w:t>
      </w:r>
    </w:p>
    <w:p w14:paraId="7D8989A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3.3拟派项目经理须具有</w:t>
      </w:r>
      <w:r>
        <w:rPr>
          <w:rFonts w:hint="eastAsia" w:ascii="宋体" w:hAnsi="宋体" w:eastAsia="宋体" w:cs="宋体"/>
          <w:sz w:val="28"/>
          <w:szCs w:val="28"/>
          <w:highlight w:val="none"/>
          <w:lang w:val="en-US" w:eastAsia="zh-CN"/>
        </w:rPr>
        <w:t>相关专业</w:t>
      </w:r>
      <w:r>
        <w:rPr>
          <w:rFonts w:hint="eastAsia" w:ascii="宋体" w:hAnsi="宋体" w:eastAsia="宋体" w:cs="宋体"/>
          <w:sz w:val="28"/>
          <w:szCs w:val="28"/>
          <w:highlight w:val="none"/>
        </w:rPr>
        <w:t>贰级及以上注册建造师资格，具备有效的安全生产考核合格证书，并出具未在其他在建工程项目中担任项目经理承诺书。</w:t>
      </w:r>
    </w:p>
    <w:p w14:paraId="5D75A29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3.4</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须自行出具本单位无商业贿赂及无不正当竞争行为的承诺书。</w:t>
      </w:r>
    </w:p>
    <w:p w14:paraId="13A7B4C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3.5根据《关于在政府采购活动中查询及使用信用记录有关问题的通知》(财库[2016]125号)的规定，企业没有被列入“中国执行信息公开网”网站的“失信被执行人”、“信用中国”网站的“重大税收违法失信主体”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p>
    <w:p w14:paraId="23F212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val="en-US" w:eastAsia="zh-CN"/>
        </w:rPr>
        <w:t>3.6</w:t>
      </w:r>
      <w:r>
        <w:rPr>
          <w:rFonts w:hint="eastAsia" w:ascii="宋体" w:hAnsi="宋体" w:eastAsia="宋体" w:cs="宋体"/>
          <w:sz w:val="28"/>
          <w:szCs w:val="28"/>
          <w:highlight w:val="none"/>
        </w:rPr>
        <w:t>根据《灵人社【2019】28号》文件规定投标人需提供人社局出具的建设工程无拖欠农民工(员工)工资证明 (函)</w:t>
      </w:r>
      <w:r>
        <w:rPr>
          <w:rFonts w:hint="eastAsia" w:ascii="宋体" w:hAnsi="宋体" w:eastAsia="宋体" w:cs="宋体"/>
          <w:sz w:val="28"/>
          <w:szCs w:val="28"/>
          <w:highlight w:val="none"/>
          <w:lang w:eastAsia="zh-CN"/>
        </w:rPr>
        <w:t>。</w:t>
      </w:r>
    </w:p>
    <w:p w14:paraId="37D6C73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val="en-US" w:eastAsia="zh-CN"/>
        </w:rPr>
        <w:t>7</w:t>
      </w:r>
      <w:r>
        <w:rPr>
          <w:rFonts w:hint="eastAsia" w:ascii="宋体" w:hAnsi="宋体" w:eastAsia="宋体" w:cs="宋体"/>
          <w:sz w:val="28"/>
          <w:szCs w:val="28"/>
          <w:highlight w:val="none"/>
        </w:rPr>
        <w:t>本项目不接受联合体磋商，提供非联合体承诺。</w:t>
      </w:r>
    </w:p>
    <w:p w14:paraId="31258DB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本次招标实行资格后审，资格审查的具体要求见磋商文件。</w:t>
      </w:r>
    </w:p>
    <w:p w14:paraId="45C064F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四、竞争性磋商文件获取方式 </w:t>
      </w:r>
    </w:p>
    <w:p w14:paraId="6F60C2E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1.磋商文件获取方式：本项目没有报名环节，磋商投标人凭CA数字证书通过三门峡市公共资源交易中心网（网址：http://gzjy.smx.gov.cn）点击交易平台选择“市场主体登录”，在所参与项目右侧点击参与投标，即可直接下载本项目磋商文件。</w:t>
      </w:r>
    </w:p>
    <w:p w14:paraId="0EA09BF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办理CA证书：</w:t>
      </w:r>
    </w:p>
    <w:p w14:paraId="4E6EE5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http://gzjy.smx.gov.cn/bzzx/008001/20211105/57b16af9-ab87-4395-a723-7758c628a3f8.html</w:t>
      </w:r>
    </w:p>
    <w:p w14:paraId="454459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三门峡市公共资源交易平台操作手册：</w:t>
      </w:r>
    </w:p>
    <w:p w14:paraId="6A552AC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http://gzjy.smx.gov.cn/bzzx/008001/20200325/1d4d9bd4-82a2-4284-b2f7-428c4c69ef58.html</w:t>
      </w:r>
    </w:p>
    <w:p w14:paraId="123B15A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2.磋商文件下载时间：2025年元月4日至2025年元月14日08时30分。</w:t>
      </w:r>
    </w:p>
    <w:p w14:paraId="27B6706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rPr>
      </w:pPr>
      <w:r>
        <w:rPr>
          <w:rFonts w:hint="eastAsia" w:ascii="宋体" w:hAnsi="宋体" w:eastAsia="宋体" w:cs="宋体"/>
          <w:sz w:val="28"/>
          <w:szCs w:val="28"/>
          <w:highlight w:val="none"/>
          <w:lang w:val="en-US" w:eastAsia="zh-CN"/>
        </w:rPr>
        <w:t>3.根据《关于进一步加强公共资源交易管理持续优化营商环境的通知》（三公管办{2020}2号）文件的要求，磋商文件费用不再收取。</w:t>
      </w:r>
    </w:p>
    <w:p w14:paraId="7281113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注：本项目为不见面开标项目。开标当日，磋商投标人无需到开标现场参加开标会议，磋商投标人应当在投标截止时间前，登陆不见面开标大厅选择登陆三门峡市公共资源电子招投标系统进行登陆（网址http://120.194.249.36:10094/BidOpening/bidopeninghallaction/hall/login）,在线准时参加开标活动并进行响应文件解密等。每位磋商投标人的解密时间为开标时间起30分钟内完成。因投标人原因未能解密、解密失败或解密超时的将被拒绝。</w:t>
      </w:r>
    </w:p>
    <w:p w14:paraId="5276054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五、磋商保证金</w:t>
      </w:r>
    </w:p>
    <w:p w14:paraId="3E698C6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按照《河南省财政厅关于优化政府采购营商环境有关问题的通知》（豫财购[2019]4号文）的要求本项目不再收取磋商保证金。</w:t>
      </w:r>
    </w:p>
    <w:p w14:paraId="03A7D6B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六、磋商时间和地点</w:t>
      </w:r>
    </w:p>
    <w:p w14:paraId="63DB6E5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1.响应文件递交截止时间及磋商时间：</w:t>
      </w:r>
      <w:r>
        <w:rPr>
          <w:rFonts w:hint="eastAsia" w:ascii="宋体" w:hAnsi="宋体" w:eastAsia="宋体" w:cs="宋体"/>
          <w:sz w:val="28"/>
          <w:szCs w:val="28"/>
          <w:highlight w:val="none"/>
          <w:lang w:eastAsia="zh-CN"/>
        </w:rPr>
        <w:t>2025</w:t>
      </w:r>
      <w:r>
        <w:rPr>
          <w:rFonts w:hint="eastAsia" w:ascii="宋体" w:hAnsi="宋体" w:eastAsia="宋体" w:cs="宋体"/>
          <w:sz w:val="28"/>
          <w:szCs w:val="28"/>
          <w:highlight w:val="none"/>
        </w:rPr>
        <w:t>年</w:t>
      </w:r>
      <w:r>
        <w:rPr>
          <w:rFonts w:hint="eastAsia" w:ascii="宋体" w:hAnsi="宋体" w:eastAsia="宋体" w:cs="宋体"/>
          <w:sz w:val="28"/>
          <w:szCs w:val="28"/>
          <w:highlight w:val="none"/>
          <w:lang w:val="en-US" w:eastAsia="zh-CN"/>
        </w:rPr>
        <w:t>元</w:t>
      </w:r>
      <w:r>
        <w:rPr>
          <w:rFonts w:hint="eastAsia" w:ascii="宋体" w:hAnsi="宋体" w:eastAsia="宋体" w:cs="宋体"/>
          <w:sz w:val="28"/>
          <w:szCs w:val="28"/>
          <w:highlight w:val="none"/>
        </w:rPr>
        <w:t>月</w:t>
      </w:r>
      <w:r>
        <w:rPr>
          <w:rFonts w:hint="eastAsia" w:ascii="宋体" w:hAnsi="宋体" w:eastAsia="宋体" w:cs="宋体"/>
          <w:sz w:val="28"/>
          <w:szCs w:val="28"/>
          <w:highlight w:val="none"/>
          <w:lang w:val="en-US" w:eastAsia="zh-CN"/>
        </w:rPr>
        <w:t>14</w:t>
      </w:r>
      <w:r>
        <w:rPr>
          <w:rFonts w:hint="eastAsia" w:ascii="宋体" w:hAnsi="宋体" w:eastAsia="宋体" w:cs="宋体"/>
          <w:sz w:val="28"/>
          <w:szCs w:val="28"/>
          <w:highlight w:val="none"/>
        </w:rPr>
        <w:t>日</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时</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0分.</w:t>
      </w:r>
    </w:p>
    <w:p w14:paraId="6F11C3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2.磋商地点：灵宝市公共资源交易中心开标</w:t>
      </w:r>
      <w:r>
        <w:rPr>
          <w:rFonts w:hint="eastAsia" w:ascii="宋体" w:hAnsi="宋体" w:eastAsia="宋体" w:cs="宋体"/>
          <w:sz w:val="28"/>
          <w:szCs w:val="28"/>
          <w:highlight w:val="none"/>
          <w:lang w:val="en-US" w:eastAsia="zh-CN"/>
        </w:rPr>
        <w:t>一</w:t>
      </w:r>
      <w:r>
        <w:rPr>
          <w:rFonts w:hint="eastAsia" w:ascii="宋体" w:hAnsi="宋体" w:eastAsia="宋体" w:cs="宋体"/>
          <w:sz w:val="28"/>
          <w:szCs w:val="28"/>
          <w:highlight w:val="none"/>
        </w:rPr>
        <w:t>室（灵宝市信用合作联社12楼）</w:t>
      </w:r>
    </w:p>
    <w:p w14:paraId="72E47FB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七、其他</w:t>
      </w:r>
    </w:p>
    <w:p w14:paraId="665F4A3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1.本项目实行资格后审，根据优化营商环境的要求，评标时审查内容以投标（响应）文件为准：</w:t>
      </w:r>
    </w:p>
    <w:p w14:paraId="635A409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（1）资格评（预）审部分：资格评（预）审以投标（响应）文件为准，其上传资料真实性由</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自行承担。</w:t>
      </w:r>
    </w:p>
    <w:p w14:paraId="20863F4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（2）评标打分部分：评标打分部分仍按照100分制原则进行，涉及到资格审查、企业荣誉、人员业绩、企业业绩等计分部分时，以</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自行上传到投标（响应）文件中的相应内容为准。</w:t>
      </w:r>
    </w:p>
    <w:p w14:paraId="4E069A8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（3）响应文件编制部分：在竞争性磋商文件中要求</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 xml:space="preserve">按照投标（响应）文件格式进行投标文件编制，在投标文件编制时，应明确将投标单位企业基本情况、资质情况、人员情况、财务情况、业绩情况编入投标文件，便于进行资格审查及评标打分以投标文件业绩信息为准，可使用电子营业执照。 </w:t>
      </w:r>
    </w:p>
    <w:p w14:paraId="7EBDAE2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递交的资料和投标（响应）文件不论成交与否均不予退还；</w:t>
      </w:r>
    </w:p>
    <w:p w14:paraId="6B17747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3.采购人不组织</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踏勘现场；</w:t>
      </w:r>
    </w:p>
    <w:p w14:paraId="2038A4D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温馨提示：本项目为电子化、无纸化交易项目，开标时不再接受任何纸质资料，为保证您能投标成功，请需仔细阅读竞争性磋商文件和三门峡市公共资源交易中心官网业务办理指南。</w:t>
      </w:r>
    </w:p>
    <w:p w14:paraId="01ABBC7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八、发布竞争性磋商公告的媒介</w:t>
      </w:r>
    </w:p>
    <w:p w14:paraId="3FC399D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本次磋商公告同时在《河南省政府采购网》、《中国采购与招标网》和《三门峡市公共资源交易中心网》上发布。</w:t>
      </w:r>
    </w:p>
    <w:p w14:paraId="6D5D243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九、联系方式</w:t>
      </w:r>
    </w:p>
    <w:p w14:paraId="53355AE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监督单位：灵宝市财政局政府采购监督管理科</w:t>
      </w:r>
    </w:p>
    <w:p w14:paraId="4709F0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联系电话：0398-8852670</w:t>
      </w:r>
    </w:p>
    <w:p w14:paraId="4F91DA9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监督机构：灵宝市应急管理局</w:t>
      </w:r>
    </w:p>
    <w:p w14:paraId="0DF56A9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联系电话：0398-8869787</w:t>
      </w:r>
    </w:p>
    <w:p w14:paraId="3151787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招标单位：灵宝市尹庄镇人民政府</w:t>
      </w:r>
    </w:p>
    <w:p w14:paraId="05E3AAA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地址：灵宝市尹庄镇</w:t>
      </w:r>
    </w:p>
    <w:p w14:paraId="145857D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联系人：薛先生</w:t>
      </w:r>
    </w:p>
    <w:p w14:paraId="1FFDD93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联系方式：17703981367</w:t>
      </w:r>
    </w:p>
    <w:p w14:paraId="4FBD1E5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代理机构：建达国信工程管理有限公司</w:t>
      </w:r>
    </w:p>
    <w:p w14:paraId="6B682F7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地址：河南省郑州市高新技术产业开发区翠竹街1号72幢10层10号</w:t>
      </w:r>
    </w:p>
    <w:p w14:paraId="2E92201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联系人：梁女士</w:t>
      </w:r>
    </w:p>
    <w:p w14:paraId="2C26FFD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联系方式：15239802001</w:t>
      </w:r>
    </w:p>
    <w:p w14:paraId="333961C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p>
    <w:p w14:paraId="3373E9E7">
      <w:pPr>
        <w:keepNext w:val="0"/>
        <w:keepLines w:val="0"/>
        <w:pageBreakBefore w:val="0"/>
        <w:widowControl w:val="0"/>
        <w:kinsoku/>
        <w:wordWrap/>
        <w:overflowPunct/>
        <w:topLinePunct w:val="0"/>
        <w:autoSpaceDE/>
        <w:autoSpaceDN/>
        <w:bidi w:val="0"/>
        <w:adjustRightInd w:val="0"/>
        <w:snapToGrid w:val="0"/>
        <w:spacing w:line="360" w:lineRule="auto"/>
        <w:ind w:firstLine="723" w:firstLineChars="200"/>
        <w:textAlignment w:val="auto"/>
        <w:rPr>
          <w:rFonts w:hint="eastAsia" w:ascii="宋体" w:hAnsi="宋体" w:eastAsia="宋体" w:cs="宋体"/>
          <w:b/>
          <w:bCs/>
          <w:sz w:val="36"/>
          <w:szCs w:val="40"/>
          <w:highlight w:val="none"/>
        </w:rPr>
      </w:pPr>
      <w:r>
        <w:rPr>
          <w:rFonts w:hint="eastAsia" w:ascii="宋体" w:hAnsi="宋体" w:eastAsia="宋体" w:cs="宋体"/>
          <w:b/>
          <w:bCs/>
          <w:sz w:val="36"/>
          <w:szCs w:val="40"/>
          <w:highlight w:val="none"/>
        </w:rPr>
        <w:br w:type="page"/>
      </w:r>
    </w:p>
    <w:p w14:paraId="3D957D27">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r>
        <w:rPr>
          <w:rFonts w:hint="eastAsia" w:ascii="宋体" w:hAnsi="宋体" w:eastAsia="宋体" w:cs="宋体"/>
          <w:b/>
          <w:bCs/>
          <w:sz w:val="36"/>
          <w:szCs w:val="40"/>
          <w:highlight w:val="none"/>
        </w:rPr>
        <w:t>第二章</w:t>
      </w:r>
      <w:r>
        <w:rPr>
          <w:rFonts w:hint="eastAsia" w:ascii="宋体" w:hAnsi="宋体" w:eastAsia="宋体" w:cs="宋体"/>
          <w:b/>
          <w:bCs/>
          <w:sz w:val="36"/>
          <w:szCs w:val="40"/>
          <w:highlight w:val="none"/>
          <w:lang w:val="en-US" w:eastAsia="zh-CN"/>
        </w:rPr>
        <w:t xml:space="preserve"> 投标人</w:t>
      </w:r>
      <w:r>
        <w:rPr>
          <w:rFonts w:hint="eastAsia" w:ascii="宋体" w:hAnsi="宋体" w:eastAsia="宋体" w:cs="宋体"/>
          <w:b/>
          <w:bCs/>
          <w:sz w:val="36"/>
          <w:szCs w:val="40"/>
          <w:highlight w:val="none"/>
        </w:rPr>
        <w:t>须知</w:t>
      </w:r>
      <w:bookmarkEnd w:id="5"/>
      <w:bookmarkEnd w:id="6"/>
    </w:p>
    <w:p w14:paraId="663FD1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投标人</w:t>
      </w:r>
      <w:r>
        <w:rPr>
          <w:rFonts w:hint="eastAsia" w:ascii="宋体" w:hAnsi="宋体" w:eastAsia="宋体" w:cs="宋体"/>
          <w:b/>
          <w:bCs/>
          <w:sz w:val="24"/>
          <w:szCs w:val="24"/>
          <w:highlight w:val="none"/>
        </w:rPr>
        <w:t>须知前附表</w:t>
      </w:r>
    </w:p>
    <w:tbl>
      <w:tblPr>
        <w:tblStyle w:val="23"/>
        <w:tblW w:w="9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24"/>
        <w:gridCol w:w="2212"/>
        <w:gridCol w:w="6135"/>
      </w:tblGrid>
      <w:tr w14:paraId="7151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432CBB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b/>
                <w:bCs/>
                <w:sz w:val="24"/>
                <w:szCs w:val="24"/>
                <w:highlight w:val="none"/>
              </w:rPr>
            </w:pPr>
            <w:r>
              <w:rPr>
                <w:rFonts w:hint="eastAsia" w:ascii="宋体" w:hAnsi="宋体" w:cs="宋体"/>
                <w:b/>
                <w:bCs/>
                <w:sz w:val="24"/>
                <w:szCs w:val="24"/>
                <w:highlight w:val="none"/>
              </w:rPr>
              <w:t>条款号</w:t>
            </w:r>
          </w:p>
        </w:tc>
        <w:tc>
          <w:tcPr>
            <w:tcW w:w="2236" w:type="dxa"/>
            <w:gridSpan w:val="2"/>
            <w:tcBorders>
              <w:top w:val="single" w:color="auto" w:sz="4" w:space="0"/>
              <w:left w:val="nil"/>
              <w:bottom w:val="single" w:color="auto" w:sz="4" w:space="0"/>
              <w:right w:val="single" w:color="auto" w:sz="4" w:space="0"/>
            </w:tcBorders>
            <w:noWrap w:val="0"/>
            <w:vAlign w:val="center"/>
          </w:tcPr>
          <w:p w14:paraId="314216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b/>
                <w:bCs/>
                <w:sz w:val="24"/>
                <w:szCs w:val="24"/>
                <w:highlight w:val="none"/>
              </w:rPr>
            </w:pPr>
            <w:r>
              <w:rPr>
                <w:rFonts w:hint="eastAsia" w:ascii="宋体" w:hAnsi="宋体" w:cs="宋体"/>
                <w:b/>
                <w:bCs/>
                <w:sz w:val="24"/>
                <w:szCs w:val="24"/>
                <w:highlight w:val="none"/>
              </w:rPr>
              <w:t>条款名称</w:t>
            </w:r>
          </w:p>
        </w:tc>
        <w:tc>
          <w:tcPr>
            <w:tcW w:w="6135" w:type="dxa"/>
            <w:tcBorders>
              <w:top w:val="single" w:color="auto" w:sz="4" w:space="0"/>
              <w:left w:val="nil"/>
              <w:bottom w:val="single" w:color="auto" w:sz="4" w:space="0"/>
              <w:right w:val="single" w:color="auto" w:sz="4" w:space="0"/>
            </w:tcBorders>
            <w:noWrap w:val="0"/>
            <w:vAlign w:val="center"/>
          </w:tcPr>
          <w:p w14:paraId="66D1E4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b/>
                <w:bCs/>
                <w:sz w:val="24"/>
                <w:szCs w:val="24"/>
                <w:highlight w:val="none"/>
              </w:rPr>
            </w:pPr>
            <w:r>
              <w:rPr>
                <w:rFonts w:hint="eastAsia" w:ascii="宋体" w:hAnsi="宋体" w:cs="宋体"/>
                <w:b/>
                <w:bCs/>
                <w:sz w:val="24"/>
                <w:szCs w:val="24"/>
                <w:highlight w:val="none"/>
              </w:rPr>
              <w:t>编  列  内  容</w:t>
            </w:r>
          </w:p>
        </w:tc>
      </w:tr>
      <w:tr w14:paraId="5644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40727BB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1</w:t>
            </w:r>
          </w:p>
        </w:tc>
        <w:tc>
          <w:tcPr>
            <w:tcW w:w="2236" w:type="dxa"/>
            <w:gridSpan w:val="2"/>
            <w:tcBorders>
              <w:top w:val="single" w:color="auto" w:sz="4" w:space="0"/>
              <w:left w:val="nil"/>
              <w:bottom w:val="single" w:color="auto" w:sz="4" w:space="0"/>
              <w:right w:val="single" w:color="auto" w:sz="4" w:space="0"/>
            </w:tcBorders>
            <w:noWrap w:val="0"/>
            <w:vAlign w:val="center"/>
          </w:tcPr>
          <w:p w14:paraId="67070448">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eastAsiaTheme="minorEastAsia"/>
                <w:kern w:val="0"/>
                <w:sz w:val="24"/>
                <w:szCs w:val="24"/>
                <w:highlight w:val="none"/>
                <w:lang w:eastAsia="zh-CN"/>
              </w:rPr>
            </w:pPr>
            <w:r>
              <w:rPr>
                <w:rFonts w:hint="eastAsia" w:ascii="宋体" w:hAnsi="宋体" w:cs="宋体"/>
                <w:kern w:val="0"/>
                <w:sz w:val="24"/>
                <w:szCs w:val="24"/>
                <w:highlight w:val="none"/>
              </w:rPr>
              <w:t>招标</w:t>
            </w:r>
            <w:r>
              <w:rPr>
                <w:rFonts w:hint="eastAsia" w:ascii="宋体" w:hAnsi="宋体" w:cs="宋体"/>
                <w:kern w:val="0"/>
                <w:sz w:val="24"/>
                <w:szCs w:val="24"/>
                <w:highlight w:val="none"/>
                <w:lang w:val="en-US" w:eastAsia="zh-CN"/>
              </w:rPr>
              <w:t>单位</w:t>
            </w:r>
          </w:p>
        </w:tc>
        <w:tc>
          <w:tcPr>
            <w:tcW w:w="6135" w:type="dxa"/>
            <w:tcBorders>
              <w:top w:val="single" w:color="auto" w:sz="4" w:space="0"/>
              <w:left w:val="nil"/>
              <w:bottom w:val="single" w:color="auto" w:sz="4" w:space="0"/>
              <w:right w:val="single" w:color="auto" w:sz="4" w:space="0"/>
            </w:tcBorders>
            <w:noWrap w:val="0"/>
            <w:vAlign w:val="center"/>
          </w:tcPr>
          <w:p w14:paraId="3A57EC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default" w:ascii="宋体" w:hAnsi="宋体" w:cs="宋体" w:eastAsiaTheme="minorEastAsia"/>
                <w:kern w:val="0"/>
                <w:sz w:val="24"/>
                <w:szCs w:val="24"/>
                <w:highlight w:val="none"/>
                <w:lang w:val="en-US" w:eastAsia="zh-CN"/>
              </w:rPr>
            </w:pPr>
            <w:r>
              <w:rPr>
                <w:rFonts w:hint="default" w:ascii="宋体" w:hAnsi="宋体" w:cs="宋体" w:eastAsiaTheme="minorEastAsia"/>
                <w:kern w:val="0"/>
                <w:sz w:val="24"/>
                <w:szCs w:val="24"/>
                <w:highlight w:val="none"/>
                <w:lang w:val="en-US" w:eastAsia="zh-CN"/>
              </w:rPr>
              <w:t>招标单位：灵宝市尹庄镇人民政府</w:t>
            </w:r>
          </w:p>
          <w:p w14:paraId="60ECCE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default" w:ascii="宋体" w:hAnsi="宋体" w:cs="宋体" w:eastAsiaTheme="minorEastAsia"/>
                <w:kern w:val="0"/>
                <w:sz w:val="24"/>
                <w:szCs w:val="24"/>
                <w:highlight w:val="none"/>
                <w:lang w:val="en-US" w:eastAsia="zh-CN"/>
              </w:rPr>
            </w:pPr>
            <w:r>
              <w:rPr>
                <w:rFonts w:hint="default" w:ascii="宋体" w:hAnsi="宋体" w:cs="宋体" w:eastAsiaTheme="minorEastAsia"/>
                <w:kern w:val="0"/>
                <w:sz w:val="24"/>
                <w:szCs w:val="24"/>
                <w:highlight w:val="none"/>
                <w:lang w:val="en-US" w:eastAsia="zh-CN"/>
              </w:rPr>
              <w:t>地址：灵宝市尹庄镇</w:t>
            </w:r>
          </w:p>
          <w:p w14:paraId="1E7292C6">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default" w:ascii="宋体" w:hAnsi="宋体" w:cs="宋体" w:eastAsiaTheme="minorEastAsia"/>
                <w:kern w:val="0"/>
                <w:sz w:val="24"/>
                <w:szCs w:val="24"/>
                <w:highlight w:val="none"/>
                <w:lang w:val="en-US" w:eastAsia="zh-CN"/>
              </w:rPr>
            </w:pPr>
            <w:r>
              <w:rPr>
                <w:rFonts w:hint="default" w:ascii="宋体" w:hAnsi="宋体" w:cs="宋体" w:eastAsiaTheme="minorEastAsia"/>
                <w:kern w:val="0"/>
                <w:sz w:val="24"/>
                <w:szCs w:val="24"/>
                <w:highlight w:val="none"/>
                <w:lang w:val="en-US" w:eastAsia="zh-CN"/>
              </w:rPr>
              <w:t>联系人：薛先生</w:t>
            </w:r>
          </w:p>
          <w:p w14:paraId="17874F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default" w:ascii="宋体" w:hAnsi="宋体" w:cs="宋体" w:eastAsiaTheme="minorEastAsia"/>
                <w:kern w:val="0"/>
                <w:sz w:val="24"/>
                <w:szCs w:val="24"/>
                <w:highlight w:val="none"/>
                <w:lang w:val="en-US" w:eastAsia="zh-CN"/>
              </w:rPr>
            </w:pPr>
            <w:r>
              <w:rPr>
                <w:rFonts w:hint="default" w:ascii="宋体" w:hAnsi="宋体" w:cs="宋体" w:eastAsiaTheme="minorEastAsia"/>
                <w:kern w:val="0"/>
                <w:sz w:val="24"/>
                <w:szCs w:val="24"/>
                <w:highlight w:val="none"/>
                <w:lang w:val="en-US" w:eastAsia="zh-CN"/>
              </w:rPr>
              <w:t>联系方式：17703981367</w:t>
            </w:r>
          </w:p>
        </w:tc>
      </w:tr>
      <w:tr w14:paraId="5620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628F2B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2</w:t>
            </w:r>
          </w:p>
        </w:tc>
        <w:tc>
          <w:tcPr>
            <w:tcW w:w="2236" w:type="dxa"/>
            <w:gridSpan w:val="2"/>
            <w:tcBorders>
              <w:top w:val="single" w:color="auto" w:sz="4" w:space="0"/>
              <w:left w:val="nil"/>
              <w:bottom w:val="single" w:color="auto" w:sz="4" w:space="0"/>
              <w:right w:val="single" w:color="auto" w:sz="4" w:space="0"/>
            </w:tcBorders>
            <w:noWrap w:val="0"/>
            <w:vAlign w:val="center"/>
          </w:tcPr>
          <w:p w14:paraId="13497B39">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kern w:val="0"/>
                <w:sz w:val="24"/>
                <w:szCs w:val="24"/>
                <w:highlight w:val="none"/>
              </w:rPr>
            </w:pPr>
            <w:r>
              <w:rPr>
                <w:rFonts w:hint="eastAsia" w:ascii="宋体" w:hAnsi="宋体" w:cs="宋体"/>
                <w:kern w:val="0"/>
                <w:sz w:val="24"/>
                <w:szCs w:val="24"/>
                <w:highlight w:val="none"/>
              </w:rPr>
              <w:t>招标代理机构</w:t>
            </w:r>
          </w:p>
        </w:tc>
        <w:tc>
          <w:tcPr>
            <w:tcW w:w="6135" w:type="dxa"/>
            <w:tcBorders>
              <w:top w:val="single" w:color="auto" w:sz="4" w:space="0"/>
              <w:left w:val="nil"/>
              <w:bottom w:val="single" w:color="auto" w:sz="4" w:space="0"/>
              <w:right w:val="single" w:color="auto" w:sz="4" w:space="0"/>
            </w:tcBorders>
            <w:noWrap w:val="0"/>
            <w:vAlign w:val="center"/>
          </w:tcPr>
          <w:p w14:paraId="7C91DE9D">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default" w:ascii="宋体" w:hAnsi="宋体" w:cs="宋体" w:eastAsiaTheme="minorEastAsia"/>
                <w:kern w:val="0"/>
                <w:sz w:val="24"/>
                <w:szCs w:val="24"/>
                <w:highlight w:val="none"/>
                <w:lang w:val="en-US" w:eastAsia="zh-CN"/>
              </w:rPr>
            </w:pPr>
            <w:r>
              <w:rPr>
                <w:rFonts w:hint="default" w:ascii="宋体" w:hAnsi="宋体" w:cs="宋体" w:eastAsiaTheme="minorEastAsia"/>
                <w:kern w:val="0"/>
                <w:sz w:val="24"/>
                <w:szCs w:val="24"/>
                <w:highlight w:val="none"/>
                <w:lang w:val="en-US" w:eastAsia="zh-CN"/>
              </w:rPr>
              <w:t>代理机构：建达国信工程管理有限公司</w:t>
            </w:r>
          </w:p>
          <w:p w14:paraId="6526AF8B">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default" w:ascii="宋体" w:hAnsi="宋体" w:cs="宋体" w:eastAsiaTheme="minorEastAsia"/>
                <w:kern w:val="0"/>
                <w:sz w:val="24"/>
                <w:szCs w:val="24"/>
                <w:highlight w:val="none"/>
                <w:lang w:val="en-US" w:eastAsia="zh-CN"/>
              </w:rPr>
            </w:pPr>
            <w:r>
              <w:rPr>
                <w:rFonts w:hint="default" w:ascii="宋体" w:hAnsi="宋体" w:cs="宋体" w:eastAsiaTheme="minorEastAsia"/>
                <w:kern w:val="0"/>
                <w:sz w:val="24"/>
                <w:szCs w:val="24"/>
                <w:highlight w:val="none"/>
                <w:lang w:val="en-US" w:eastAsia="zh-CN"/>
              </w:rPr>
              <w:t>地址：河南省郑州市高新技术产业开发区翠竹街1号72幢10层10号</w:t>
            </w:r>
          </w:p>
          <w:p w14:paraId="647419DD">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default" w:ascii="宋体" w:hAnsi="宋体" w:cs="宋体" w:eastAsiaTheme="minorEastAsia"/>
                <w:kern w:val="0"/>
                <w:sz w:val="24"/>
                <w:szCs w:val="24"/>
                <w:highlight w:val="none"/>
                <w:lang w:val="en-US" w:eastAsia="zh-CN"/>
              </w:rPr>
            </w:pPr>
            <w:r>
              <w:rPr>
                <w:rFonts w:hint="default" w:ascii="宋体" w:hAnsi="宋体" w:cs="宋体" w:eastAsiaTheme="minorEastAsia"/>
                <w:kern w:val="0"/>
                <w:sz w:val="24"/>
                <w:szCs w:val="24"/>
                <w:highlight w:val="none"/>
                <w:lang w:val="en-US" w:eastAsia="zh-CN"/>
              </w:rPr>
              <w:t>联系人：梁女士</w:t>
            </w:r>
          </w:p>
          <w:p w14:paraId="5D7C7824">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default" w:ascii="宋体" w:hAnsi="宋体" w:cs="宋体" w:eastAsiaTheme="minorEastAsia"/>
                <w:kern w:val="0"/>
                <w:sz w:val="24"/>
                <w:szCs w:val="24"/>
                <w:highlight w:val="none"/>
                <w:lang w:val="en-US" w:eastAsia="zh-CN"/>
              </w:rPr>
            </w:pPr>
            <w:r>
              <w:rPr>
                <w:rFonts w:hint="default" w:ascii="宋体" w:hAnsi="宋体" w:cs="宋体" w:eastAsiaTheme="minorEastAsia"/>
                <w:kern w:val="0"/>
                <w:sz w:val="24"/>
                <w:szCs w:val="24"/>
                <w:highlight w:val="none"/>
                <w:lang w:val="en-US" w:eastAsia="zh-CN"/>
              </w:rPr>
              <w:t>联系方式：15239802001</w:t>
            </w:r>
          </w:p>
        </w:tc>
      </w:tr>
      <w:tr w14:paraId="196A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1D83B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3</w:t>
            </w:r>
          </w:p>
        </w:tc>
        <w:tc>
          <w:tcPr>
            <w:tcW w:w="2236" w:type="dxa"/>
            <w:gridSpan w:val="2"/>
            <w:tcBorders>
              <w:top w:val="single" w:color="auto" w:sz="4" w:space="0"/>
              <w:left w:val="nil"/>
              <w:bottom w:val="single" w:color="auto" w:sz="4" w:space="0"/>
              <w:right w:val="single" w:color="auto" w:sz="4" w:space="0"/>
            </w:tcBorders>
            <w:noWrap w:val="0"/>
            <w:vAlign w:val="center"/>
          </w:tcPr>
          <w:p w14:paraId="044639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6135" w:type="dxa"/>
            <w:tcBorders>
              <w:top w:val="single" w:color="auto" w:sz="4" w:space="0"/>
              <w:left w:val="nil"/>
              <w:bottom w:val="single" w:color="auto" w:sz="4" w:space="0"/>
              <w:right w:val="single" w:color="auto" w:sz="4" w:space="0"/>
            </w:tcBorders>
            <w:noWrap w:val="0"/>
            <w:vAlign w:val="center"/>
          </w:tcPr>
          <w:p w14:paraId="5649C4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cs="宋体"/>
                <w:bCs/>
                <w:kern w:val="0"/>
                <w:sz w:val="24"/>
                <w:szCs w:val="24"/>
                <w:highlight w:val="none"/>
              </w:rPr>
            </w:pPr>
            <w:r>
              <w:rPr>
                <w:rFonts w:hint="eastAsia" w:ascii="宋体" w:hAnsi="宋体" w:cs="宋体"/>
                <w:bCs/>
                <w:kern w:val="0"/>
                <w:sz w:val="24"/>
                <w:szCs w:val="24"/>
                <w:highlight w:val="none"/>
                <w:lang w:val="en-US" w:eastAsia="zh-CN"/>
              </w:rPr>
              <w:t>灵宝市尹庄镇人民政府原灵宝市鑫泰矿业有限责任公司岳渡曹沟选厂尾矿库风险隐患治理项目（闭库工程）</w:t>
            </w:r>
          </w:p>
        </w:tc>
      </w:tr>
      <w:tr w14:paraId="2DC1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74070C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4</w:t>
            </w:r>
          </w:p>
        </w:tc>
        <w:tc>
          <w:tcPr>
            <w:tcW w:w="2236" w:type="dxa"/>
            <w:gridSpan w:val="2"/>
            <w:tcBorders>
              <w:top w:val="single" w:color="auto" w:sz="4" w:space="0"/>
              <w:left w:val="nil"/>
              <w:bottom w:val="single" w:color="auto" w:sz="4" w:space="0"/>
              <w:right w:val="single" w:color="auto" w:sz="4" w:space="0"/>
            </w:tcBorders>
            <w:noWrap w:val="0"/>
            <w:vAlign w:val="center"/>
          </w:tcPr>
          <w:p w14:paraId="1B16E4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lang w:bidi="ar"/>
              </w:rPr>
            </w:pPr>
            <w:r>
              <w:rPr>
                <w:rFonts w:hint="eastAsia" w:ascii="宋体" w:hAnsi="宋体" w:cs="宋体"/>
                <w:sz w:val="24"/>
                <w:szCs w:val="24"/>
                <w:highlight w:val="none"/>
                <w:lang w:bidi="ar"/>
              </w:rPr>
              <w:t>项目地点</w:t>
            </w:r>
          </w:p>
        </w:tc>
        <w:tc>
          <w:tcPr>
            <w:tcW w:w="6135" w:type="dxa"/>
            <w:tcBorders>
              <w:top w:val="single" w:color="auto" w:sz="4" w:space="0"/>
              <w:left w:val="nil"/>
              <w:bottom w:val="single" w:color="auto" w:sz="4" w:space="0"/>
              <w:right w:val="single" w:color="auto" w:sz="4" w:space="0"/>
            </w:tcBorders>
            <w:noWrap w:val="0"/>
            <w:vAlign w:val="center"/>
          </w:tcPr>
          <w:p w14:paraId="4109D1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cs="宋体"/>
                <w:sz w:val="24"/>
                <w:szCs w:val="24"/>
                <w:highlight w:val="none"/>
                <w:lang w:bidi="ar"/>
              </w:rPr>
            </w:pPr>
            <w:r>
              <w:rPr>
                <w:rFonts w:hint="eastAsia" w:ascii="宋体" w:hAnsi="宋体" w:cs="宋体"/>
                <w:sz w:val="24"/>
                <w:szCs w:val="24"/>
                <w:highlight w:val="none"/>
                <w:lang w:val="en-US" w:eastAsia="zh-CN" w:bidi="ar"/>
              </w:rPr>
              <w:t>灵宝市</w:t>
            </w:r>
          </w:p>
        </w:tc>
      </w:tr>
      <w:tr w14:paraId="01DE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right w:val="single" w:color="auto" w:sz="4" w:space="0"/>
            </w:tcBorders>
            <w:noWrap w:val="0"/>
            <w:vAlign w:val="center"/>
          </w:tcPr>
          <w:p w14:paraId="589C05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5</w:t>
            </w:r>
          </w:p>
        </w:tc>
        <w:tc>
          <w:tcPr>
            <w:tcW w:w="2236" w:type="dxa"/>
            <w:gridSpan w:val="2"/>
            <w:tcBorders>
              <w:top w:val="single" w:color="auto" w:sz="4" w:space="0"/>
              <w:left w:val="nil"/>
              <w:bottom w:val="single" w:color="auto" w:sz="4" w:space="0"/>
              <w:right w:val="single" w:color="auto" w:sz="4" w:space="0"/>
            </w:tcBorders>
            <w:noWrap w:val="0"/>
            <w:vAlign w:val="center"/>
          </w:tcPr>
          <w:p w14:paraId="6E0810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资金来源</w:t>
            </w:r>
          </w:p>
        </w:tc>
        <w:tc>
          <w:tcPr>
            <w:tcW w:w="6135" w:type="dxa"/>
            <w:tcBorders>
              <w:top w:val="single" w:color="auto" w:sz="4" w:space="0"/>
              <w:left w:val="nil"/>
              <w:bottom w:val="single" w:color="auto" w:sz="4" w:space="0"/>
              <w:right w:val="single" w:color="auto" w:sz="4" w:space="0"/>
            </w:tcBorders>
            <w:noWrap w:val="0"/>
            <w:vAlign w:val="center"/>
          </w:tcPr>
          <w:p w14:paraId="4C6DEE3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eastAsia="宋体" w:cs="宋体"/>
                <w:color w:val="000000"/>
                <w:sz w:val="24"/>
                <w:szCs w:val="24"/>
                <w:highlight w:val="none"/>
                <w:lang w:val="en-US" w:eastAsia="zh-CN"/>
              </w:rPr>
              <w:t>财政资金</w:t>
            </w:r>
          </w:p>
        </w:tc>
      </w:tr>
      <w:tr w14:paraId="7903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6B7508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6</w:t>
            </w:r>
          </w:p>
        </w:tc>
        <w:tc>
          <w:tcPr>
            <w:tcW w:w="2236" w:type="dxa"/>
            <w:gridSpan w:val="2"/>
            <w:tcBorders>
              <w:top w:val="single" w:color="auto" w:sz="4" w:space="0"/>
              <w:left w:val="nil"/>
              <w:bottom w:val="single" w:color="auto" w:sz="4" w:space="0"/>
              <w:right w:val="single" w:color="auto" w:sz="4" w:space="0"/>
            </w:tcBorders>
            <w:noWrap w:val="0"/>
            <w:vAlign w:val="center"/>
          </w:tcPr>
          <w:p w14:paraId="666B1C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eastAsiaTheme="minorEastAsia"/>
                <w:sz w:val="24"/>
                <w:szCs w:val="24"/>
                <w:highlight w:val="none"/>
                <w:lang w:val="en-US" w:eastAsia="zh-CN"/>
              </w:rPr>
            </w:pPr>
            <w:r>
              <w:rPr>
                <w:rFonts w:hint="eastAsia" w:ascii="宋体" w:hAnsi="宋体" w:cs="宋体"/>
                <w:sz w:val="24"/>
                <w:szCs w:val="24"/>
                <w:highlight w:val="none"/>
                <w:lang w:val="en-US" w:eastAsia="zh-CN"/>
              </w:rPr>
              <w:t>项目概况</w:t>
            </w:r>
          </w:p>
        </w:tc>
        <w:tc>
          <w:tcPr>
            <w:tcW w:w="6135" w:type="dxa"/>
            <w:tcBorders>
              <w:top w:val="single" w:color="auto" w:sz="4" w:space="0"/>
              <w:left w:val="nil"/>
              <w:bottom w:val="single" w:color="auto" w:sz="4" w:space="0"/>
              <w:right w:val="single" w:color="auto" w:sz="4" w:space="0"/>
            </w:tcBorders>
            <w:noWrap w:val="0"/>
            <w:vAlign w:val="center"/>
          </w:tcPr>
          <w:p w14:paraId="36FAC37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灵宝市尹庄镇人民政府原灵宝市鑫泰矿业有限责任公司岳渡曹沟选厂尾矿库风险隐患治理项目（闭库工程），位于河南省灵宝市，主要建设内容为堆积坝治理、库面、库尾及库面左侧植草、原排水设施治理、新建库内排水设施、其他工程等，具体详见</w:t>
            </w:r>
            <w:r>
              <w:rPr>
                <w:rFonts w:hint="eastAsia" w:ascii="宋体" w:hAnsi="宋体" w:eastAsia="宋体" w:cs="宋体"/>
                <w:sz w:val="24"/>
                <w:szCs w:val="24"/>
                <w:highlight w:val="none"/>
              </w:rPr>
              <w:t>施工图纸和工程量清单</w:t>
            </w:r>
            <w:r>
              <w:rPr>
                <w:rFonts w:hint="eastAsia" w:ascii="宋体" w:hAnsi="宋体" w:eastAsia="宋体" w:cs="宋体"/>
                <w:sz w:val="24"/>
                <w:szCs w:val="24"/>
                <w:highlight w:val="none"/>
                <w:lang w:val="en-US" w:eastAsia="zh-CN"/>
              </w:rPr>
              <w:t>。</w:t>
            </w:r>
          </w:p>
        </w:tc>
      </w:tr>
      <w:tr w14:paraId="72B5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3F2BDD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7</w:t>
            </w:r>
          </w:p>
        </w:tc>
        <w:tc>
          <w:tcPr>
            <w:tcW w:w="2236" w:type="dxa"/>
            <w:gridSpan w:val="2"/>
            <w:tcBorders>
              <w:top w:val="single" w:color="auto" w:sz="4" w:space="0"/>
              <w:left w:val="nil"/>
              <w:bottom w:val="single" w:color="auto" w:sz="4" w:space="0"/>
              <w:right w:val="single" w:color="auto" w:sz="4" w:space="0"/>
            </w:tcBorders>
            <w:noWrap w:val="0"/>
            <w:vAlign w:val="center"/>
          </w:tcPr>
          <w:p w14:paraId="6DE4B5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磋商范围</w:t>
            </w:r>
          </w:p>
        </w:tc>
        <w:tc>
          <w:tcPr>
            <w:tcW w:w="6135" w:type="dxa"/>
            <w:tcBorders>
              <w:top w:val="single" w:color="auto" w:sz="4" w:space="0"/>
              <w:left w:val="nil"/>
              <w:bottom w:val="single" w:color="auto" w:sz="4" w:space="0"/>
              <w:right w:val="single" w:color="auto" w:sz="4" w:space="0"/>
            </w:tcBorders>
            <w:noWrap w:val="0"/>
            <w:vAlign w:val="center"/>
          </w:tcPr>
          <w:p w14:paraId="6EA2E6A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rPr>
              <w:t>施工图纸和工程量清单所包含的全部内容</w:t>
            </w:r>
          </w:p>
        </w:tc>
      </w:tr>
      <w:tr w14:paraId="6F05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32178C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8</w:t>
            </w:r>
          </w:p>
        </w:tc>
        <w:tc>
          <w:tcPr>
            <w:tcW w:w="2236" w:type="dxa"/>
            <w:gridSpan w:val="2"/>
            <w:tcBorders>
              <w:top w:val="single" w:color="auto" w:sz="4" w:space="0"/>
              <w:left w:val="nil"/>
              <w:bottom w:val="single" w:color="auto" w:sz="4" w:space="0"/>
              <w:right w:val="single" w:color="auto" w:sz="4" w:space="0"/>
            </w:tcBorders>
            <w:noWrap w:val="0"/>
            <w:vAlign w:val="center"/>
          </w:tcPr>
          <w:p w14:paraId="4CED39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计划工期</w:t>
            </w:r>
          </w:p>
        </w:tc>
        <w:tc>
          <w:tcPr>
            <w:tcW w:w="6135" w:type="dxa"/>
            <w:tcBorders>
              <w:top w:val="single" w:color="auto" w:sz="4" w:space="0"/>
              <w:left w:val="nil"/>
              <w:bottom w:val="single" w:color="auto" w:sz="4" w:space="0"/>
              <w:right w:val="single" w:color="auto" w:sz="4" w:space="0"/>
            </w:tcBorders>
            <w:noWrap w:val="0"/>
            <w:vAlign w:val="center"/>
          </w:tcPr>
          <w:p w14:paraId="3111479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default" w:ascii="宋体" w:hAnsi="宋体" w:cs="宋体"/>
                <w:bCs/>
                <w:kern w:val="0"/>
                <w:sz w:val="24"/>
                <w:szCs w:val="24"/>
                <w:highlight w:val="none"/>
                <w:lang w:val="en-US"/>
              </w:rPr>
            </w:pPr>
            <w:r>
              <w:rPr>
                <w:rFonts w:hint="eastAsia" w:ascii="宋体" w:hAnsi="宋体" w:cs="宋体"/>
                <w:bCs/>
                <w:kern w:val="0"/>
                <w:sz w:val="24"/>
                <w:szCs w:val="24"/>
                <w:highlight w:val="none"/>
                <w:lang w:val="en-US" w:eastAsia="zh-CN"/>
              </w:rPr>
              <w:t>60日历天</w:t>
            </w:r>
          </w:p>
        </w:tc>
      </w:tr>
      <w:tr w14:paraId="46CB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37C0DC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9</w:t>
            </w:r>
          </w:p>
        </w:tc>
        <w:tc>
          <w:tcPr>
            <w:tcW w:w="2236" w:type="dxa"/>
            <w:gridSpan w:val="2"/>
            <w:tcBorders>
              <w:top w:val="single" w:color="auto" w:sz="4" w:space="0"/>
              <w:left w:val="nil"/>
              <w:bottom w:val="single" w:color="auto" w:sz="4" w:space="0"/>
              <w:right w:val="single" w:color="auto" w:sz="4" w:space="0"/>
            </w:tcBorders>
            <w:noWrap w:val="0"/>
            <w:vAlign w:val="center"/>
          </w:tcPr>
          <w:p w14:paraId="0B171B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质量要求</w:t>
            </w:r>
          </w:p>
        </w:tc>
        <w:tc>
          <w:tcPr>
            <w:tcW w:w="6135" w:type="dxa"/>
            <w:tcBorders>
              <w:top w:val="single" w:color="auto" w:sz="4" w:space="0"/>
              <w:left w:val="nil"/>
              <w:bottom w:val="single" w:color="auto" w:sz="4" w:space="0"/>
              <w:right w:val="single" w:color="auto" w:sz="4" w:space="0"/>
            </w:tcBorders>
            <w:noWrap w:val="0"/>
            <w:vAlign w:val="center"/>
          </w:tcPr>
          <w:p w14:paraId="45F21A9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cs="宋体"/>
                <w:bCs/>
                <w:kern w:val="0"/>
                <w:sz w:val="24"/>
                <w:szCs w:val="24"/>
                <w:highlight w:val="none"/>
              </w:rPr>
            </w:pPr>
            <w:r>
              <w:rPr>
                <w:rFonts w:hint="eastAsia" w:ascii="宋体" w:hAnsi="宋体" w:cs="宋体"/>
                <w:bCs/>
                <w:kern w:val="0"/>
                <w:sz w:val="24"/>
                <w:szCs w:val="24"/>
                <w:highlight w:val="none"/>
                <w:lang w:val="en-US" w:eastAsia="zh-CN"/>
              </w:rPr>
              <w:t>达到国家现行建设工程施工验收规范合格标准</w:t>
            </w:r>
          </w:p>
        </w:tc>
      </w:tr>
      <w:tr w14:paraId="189D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7D8B16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10</w:t>
            </w:r>
          </w:p>
        </w:tc>
        <w:tc>
          <w:tcPr>
            <w:tcW w:w="2236" w:type="dxa"/>
            <w:gridSpan w:val="2"/>
            <w:tcBorders>
              <w:top w:val="single" w:color="auto" w:sz="4" w:space="0"/>
              <w:left w:val="nil"/>
              <w:bottom w:val="single" w:color="auto" w:sz="4" w:space="0"/>
              <w:right w:val="single" w:color="auto" w:sz="4" w:space="0"/>
            </w:tcBorders>
            <w:noWrap w:val="0"/>
            <w:vAlign w:val="center"/>
          </w:tcPr>
          <w:p w14:paraId="4AE8AA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eastAsiaTheme="minorEastAsia"/>
                <w:sz w:val="24"/>
                <w:szCs w:val="24"/>
                <w:highlight w:val="none"/>
                <w:lang w:eastAsia="zh-CN"/>
              </w:rPr>
            </w:pPr>
            <w:r>
              <w:rPr>
                <w:rFonts w:hint="eastAsia" w:ascii="宋体" w:hAnsi="宋体" w:cs="宋体"/>
                <w:sz w:val="24"/>
                <w:szCs w:val="24"/>
                <w:highlight w:val="none"/>
                <w:lang w:val="en-US" w:eastAsia="zh-CN"/>
              </w:rPr>
              <w:t>投标人资格要求</w:t>
            </w:r>
          </w:p>
        </w:tc>
        <w:tc>
          <w:tcPr>
            <w:tcW w:w="6135" w:type="dxa"/>
            <w:tcBorders>
              <w:top w:val="single" w:color="auto" w:sz="4" w:space="0"/>
              <w:left w:val="nil"/>
              <w:bottom w:val="single" w:color="auto" w:sz="4" w:space="0"/>
              <w:right w:val="single" w:color="auto" w:sz="4" w:space="0"/>
            </w:tcBorders>
            <w:noWrap w:val="0"/>
            <w:vAlign w:val="center"/>
          </w:tcPr>
          <w:p w14:paraId="0F1D63E8">
            <w:pPr>
              <w:pStyle w:val="40"/>
              <w:pageBreakBefore w:val="0"/>
              <w:shd w:val="clear" w:color="auto" w:fill="FFFFFF"/>
              <w:kinsoku/>
              <w:overflowPunct/>
              <w:topLinePunct w:val="0"/>
              <w:bidi w:val="0"/>
              <w:adjustRightInd w:val="0"/>
              <w:snapToGrid w:val="0"/>
              <w:spacing w:before="0" w:beforeAutospacing="0" w:after="0" w:afterAutospacing="0" w:line="360" w:lineRule="auto"/>
              <w:ind w:left="0" w:leftChars="0" w:right="0" w:rightChars="0" w:firstLine="0" w:firstLineChars="0"/>
              <w:rPr>
                <w:rFonts w:hint="default" w:ascii="Calibri" w:hAnsi="Calibri" w:eastAsiaTheme="minorEastAsia"/>
                <w:szCs w:val="21"/>
                <w:highlight w:val="none"/>
                <w:lang w:val="en-US" w:eastAsia="zh-CN"/>
              </w:rPr>
            </w:pPr>
            <w:r>
              <w:rPr>
                <w:rFonts w:hint="eastAsia" w:ascii="Calibri" w:hAnsi="Calibri"/>
                <w:szCs w:val="21"/>
                <w:highlight w:val="none"/>
                <w:lang w:val="en-US" w:eastAsia="zh-CN"/>
              </w:rPr>
              <w:t>详见竞争性磋商公告</w:t>
            </w:r>
          </w:p>
        </w:tc>
      </w:tr>
      <w:tr w14:paraId="5B17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293E27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11</w:t>
            </w:r>
          </w:p>
        </w:tc>
        <w:tc>
          <w:tcPr>
            <w:tcW w:w="2236" w:type="dxa"/>
            <w:gridSpan w:val="2"/>
            <w:tcBorders>
              <w:top w:val="single" w:color="auto" w:sz="4" w:space="0"/>
              <w:left w:val="nil"/>
              <w:bottom w:val="single" w:color="auto" w:sz="4" w:space="0"/>
              <w:right w:val="single" w:color="auto" w:sz="4" w:space="0"/>
            </w:tcBorders>
            <w:noWrap w:val="0"/>
            <w:vAlign w:val="center"/>
          </w:tcPr>
          <w:p w14:paraId="5CD9922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eastAsiaTheme="minorEastAsia"/>
                <w:sz w:val="24"/>
                <w:szCs w:val="24"/>
                <w:highlight w:val="none"/>
                <w:lang w:eastAsia="zh-CN"/>
              </w:rPr>
            </w:pPr>
            <w:r>
              <w:rPr>
                <w:rFonts w:hint="eastAsia" w:ascii="宋体" w:hAnsi="宋体" w:cs="宋体"/>
                <w:sz w:val="24"/>
                <w:szCs w:val="24"/>
                <w:highlight w:val="none"/>
              </w:rPr>
              <w:t>是否接受联合体</w:t>
            </w:r>
          </w:p>
        </w:tc>
        <w:tc>
          <w:tcPr>
            <w:tcW w:w="6135" w:type="dxa"/>
            <w:tcBorders>
              <w:top w:val="single" w:color="auto" w:sz="4" w:space="0"/>
              <w:left w:val="nil"/>
              <w:bottom w:val="single" w:color="auto" w:sz="4" w:space="0"/>
              <w:right w:val="single" w:color="auto" w:sz="4" w:space="0"/>
            </w:tcBorders>
            <w:noWrap w:val="0"/>
            <w:vAlign w:val="center"/>
          </w:tcPr>
          <w:p w14:paraId="56F098D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■不接受</w:t>
            </w:r>
          </w:p>
        </w:tc>
      </w:tr>
      <w:tr w14:paraId="431B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69849F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12</w:t>
            </w:r>
          </w:p>
        </w:tc>
        <w:tc>
          <w:tcPr>
            <w:tcW w:w="2236" w:type="dxa"/>
            <w:gridSpan w:val="2"/>
            <w:tcBorders>
              <w:top w:val="single" w:color="auto" w:sz="4" w:space="0"/>
              <w:left w:val="nil"/>
              <w:bottom w:val="single" w:color="auto" w:sz="4" w:space="0"/>
              <w:right w:val="single" w:color="auto" w:sz="4" w:space="0"/>
            </w:tcBorders>
            <w:noWrap w:val="0"/>
            <w:vAlign w:val="center"/>
          </w:tcPr>
          <w:p w14:paraId="26D57C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踏勘现场</w:t>
            </w:r>
          </w:p>
        </w:tc>
        <w:tc>
          <w:tcPr>
            <w:tcW w:w="6135" w:type="dxa"/>
            <w:tcBorders>
              <w:top w:val="single" w:color="auto" w:sz="4" w:space="0"/>
              <w:left w:val="nil"/>
              <w:bottom w:val="single" w:color="auto" w:sz="4" w:space="0"/>
              <w:right w:val="single" w:color="auto" w:sz="4" w:space="0"/>
            </w:tcBorders>
            <w:noWrap w:val="0"/>
            <w:vAlign w:val="center"/>
          </w:tcPr>
          <w:p w14:paraId="6CE5D27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■不组织</w:t>
            </w:r>
          </w:p>
        </w:tc>
      </w:tr>
      <w:tr w14:paraId="66E8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7C5CE8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13</w:t>
            </w:r>
          </w:p>
        </w:tc>
        <w:tc>
          <w:tcPr>
            <w:tcW w:w="2236" w:type="dxa"/>
            <w:gridSpan w:val="2"/>
            <w:tcBorders>
              <w:top w:val="single" w:color="auto" w:sz="4" w:space="0"/>
              <w:left w:val="nil"/>
              <w:bottom w:val="single" w:color="auto" w:sz="4" w:space="0"/>
              <w:right w:val="single" w:color="auto" w:sz="4" w:space="0"/>
            </w:tcBorders>
            <w:noWrap w:val="0"/>
            <w:vAlign w:val="center"/>
          </w:tcPr>
          <w:p w14:paraId="72EF1B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磋商预备会</w:t>
            </w:r>
          </w:p>
        </w:tc>
        <w:tc>
          <w:tcPr>
            <w:tcW w:w="6135" w:type="dxa"/>
            <w:tcBorders>
              <w:top w:val="single" w:color="auto" w:sz="4" w:space="0"/>
              <w:left w:val="nil"/>
              <w:bottom w:val="single" w:color="auto" w:sz="4" w:space="0"/>
              <w:right w:val="single" w:color="auto" w:sz="4" w:space="0"/>
            </w:tcBorders>
            <w:noWrap w:val="0"/>
            <w:vAlign w:val="center"/>
          </w:tcPr>
          <w:p w14:paraId="1033E84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■不召开</w:t>
            </w:r>
          </w:p>
        </w:tc>
      </w:tr>
      <w:tr w14:paraId="4B99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728FD1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14</w:t>
            </w:r>
          </w:p>
        </w:tc>
        <w:tc>
          <w:tcPr>
            <w:tcW w:w="2236" w:type="dxa"/>
            <w:gridSpan w:val="2"/>
            <w:tcBorders>
              <w:top w:val="single" w:color="auto" w:sz="4" w:space="0"/>
              <w:left w:val="nil"/>
              <w:bottom w:val="single" w:color="auto" w:sz="4" w:space="0"/>
              <w:right w:val="single" w:color="auto" w:sz="4" w:space="0"/>
            </w:tcBorders>
            <w:noWrap w:val="0"/>
            <w:vAlign w:val="center"/>
          </w:tcPr>
          <w:p w14:paraId="53FBBD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分  包</w:t>
            </w:r>
          </w:p>
        </w:tc>
        <w:tc>
          <w:tcPr>
            <w:tcW w:w="6135" w:type="dxa"/>
            <w:tcBorders>
              <w:top w:val="single" w:color="auto" w:sz="4" w:space="0"/>
              <w:left w:val="nil"/>
              <w:bottom w:val="single" w:color="auto" w:sz="4" w:space="0"/>
              <w:right w:val="single" w:color="auto" w:sz="4" w:space="0"/>
            </w:tcBorders>
            <w:noWrap w:val="0"/>
            <w:vAlign w:val="center"/>
          </w:tcPr>
          <w:p w14:paraId="2E827C5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■不允许</w:t>
            </w:r>
          </w:p>
        </w:tc>
      </w:tr>
      <w:tr w14:paraId="2849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2CB7640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15</w:t>
            </w:r>
          </w:p>
        </w:tc>
        <w:tc>
          <w:tcPr>
            <w:tcW w:w="2236" w:type="dxa"/>
            <w:gridSpan w:val="2"/>
            <w:tcBorders>
              <w:top w:val="single" w:color="auto" w:sz="4" w:space="0"/>
              <w:left w:val="nil"/>
              <w:bottom w:val="single" w:color="auto" w:sz="4" w:space="0"/>
              <w:right w:val="single" w:color="auto" w:sz="4" w:space="0"/>
            </w:tcBorders>
            <w:noWrap w:val="0"/>
            <w:vAlign w:val="center"/>
          </w:tcPr>
          <w:p w14:paraId="7FFD7C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偏  离</w:t>
            </w:r>
          </w:p>
        </w:tc>
        <w:tc>
          <w:tcPr>
            <w:tcW w:w="6135" w:type="dxa"/>
            <w:tcBorders>
              <w:top w:val="single" w:color="auto" w:sz="4" w:space="0"/>
              <w:left w:val="nil"/>
              <w:bottom w:val="single" w:color="auto" w:sz="4" w:space="0"/>
              <w:right w:val="single" w:color="auto" w:sz="4" w:space="0"/>
            </w:tcBorders>
            <w:noWrap w:val="0"/>
            <w:vAlign w:val="center"/>
          </w:tcPr>
          <w:p w14:paraId="1F3F8B6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■不允许</w:t>
            </w:r>
          </w:p>
        </w:tc>
      </w:tr>
      <w:tr w14:paraId="7F6F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246A9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16</w:t>
            </w:r>
          </w:p>
        </w:tc>
        <w:tc>
          <w:tcPr>
            <w:tcW w:w="2236" w:type="dxa"/>
            <w:gridSpan w:val="2"/>
            <w:tcBorders>
              <w:top w:val="single" w:color="auto" w:sz="4" w:space="0"/>
              <w:left w:val="nil"/>
              <w:bottom w:val="single" w:color="auto" w:sz="4" w:space="0"/>
              <w:right w:val="single" w:color="auto" w:sz="4" w:space="0"/>
            </w:tcBorders>
            <w:noWrap w:val="0"/>
            <w:vAlign w:val="center"/>
          </w:tcPr>
          <w:p w14:paraId="35DC0D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构成磋商文件的其他材料</w:t>
            </w:r>
          </w:p>
        </w:tc>
        <w:tc>
          <w:tcPr>
            <w:tcW w:w="6135" w:type="dxa"/>
            <w:tcBorders>
              <w:top w:val="single" w:color="auto" w:sz="4" w:space="0"/>
              <w:left w:val="nil"/>
              <w:bottom w:val="single" w:color="auto" w:sz="4" w:space="0"/>
              <w:right w:val="single" w:color="auto" w:sz="4" w:space="0"/>
            </w:tcBorders>
            <w:noWrap w:val="0"/>
            <w:vAlign w:val="center"/>
          </w:tcPr>
          <w:p w14:paraId="703FDF8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对竞争性磋商文件所作的澄清（含答疑）、修改，补充构成竞争性磋商文件的组成部分。</w:t>
            </w:r>
          </w:p>
        </w:tc>
      </w:tr>
      <w:tr w14:paraId="71B2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0A63B9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17</w:t>
            </w:r>
          </w:p>
        </w:tc>
        <w:tc>
          <w:tcPr>
            <w:tcW w:w="2236" w:type="dxa"/>
            <w:gridSpan w:val="2"/>
            <w:tcBorders>
              <w:top w:val="single" w:color="auto" w:sz="4" w:space="0"/>
              <w:left w:val="nil"/>
              <w:bottom w:val="single" w:color="auto" w:sz="4" w:space="0"/>
              <w:right w:val="single" w:color="auto" w:sz="4" w:space="0"/>
            </w:tcBorders>
            <w:noWrap w:val="0"/>
            <w:vAlign w:val="center"/>
          </w:tcPr>
          <w:p w14:paraId="288736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lang w:val="en-US" w:eastAsia="zh-CN"/>
              </w:rPr>
              <w:t>投标人</w:t>
            </w:r>
            <w:r>
              <w:rPr>
                <w:rFonts w:hint="eastAsia" w:ascii="宋体" w:hAnsi="宋体" w:cs="宋体"/>
                <w:sz w:val="24"/>
                <w:szCs w:val="24"/>
                <w:highlight w:val="none"/>
              </w:rPr>
              <w:t>要求澄清竞争性磋商文件的截止时间</w:t>
            </w:r>
          </w:p>
        </w:tc>
        <w:tc>
          <w:tcPr>
            <w:tcW w:w="6135" w:type="dxa"/>
            <w:tcBorders>
              <w:top w:val="single" w:color="auto" w:sz="4" w:space="0"/>
              <w:left w:val="nil"/>
              <w:bottom w:val="single" w:color="auto" w:sz="4" w:space="0"/>
              <w:right w:val="single" w:color="auto" w:sz="4" w:space="0"/>
            </w:tcBorders>
            <w:noWrap w:val="0"/>
            <w:vAlign w:val="center"/>
          </w:tcPr>
          <w:p w14:paraId="38C0F59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响应文件递交截止时间5日前，在三门峡市公共资源电子招标投标交易平台提出</w:t>
            </w:r>
          </w:p>
        </w:tc>
      </w:tr>
      <w:tr w14:paraId="1E78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61016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18</w:t>
            </w:r>
          </w:p>
        </w:tc>
        <w:tc>
          <w:tcPr>
            <w:tcW w:w="2236" w:type="dxa"/>
            <w:gridSpan w:val="2"/>
            <w:tcBorders>
              <w:top w:val="single" w:color="auto" w:sz="4" w:space="0"/>
              <w:left w:val="nil"/>
              <w:bottom w:val="single" w:color="auto" w:sz="4" w:space="0"/>
              <w:right w:val="single" w:color="auto" w:sz="4" w:space="0"/>
            </w:tcBorders>
            <w:noWrap w:val="0"/>
            <w:vAlign w:val="center"/>
          </w:tcPr>
          <w:p w14:paraId="731D78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招标人书面</w:t>
            </w:r>
            <w:r>
              <w:rPr>
                <w:rFonts w:hint="eastAsia" w:ascii="宋体" w:hAnsi="宋体" w:cs="宋体"/>
                <w:sz w:val="24"/>
                <w:szCs w:val="24"/>
                <w:highlight w:val="none"/>
              </w:rPr>
              <w:t>澄清的截止时间</w:t>
            </w:r>
          </w:p>
        </w:tc>
        <w:tc>
          <w:tcPr>
            <w:tcW w:w="6135" w:type="dxa"/>
            <w:tcBorders>
              <w:top w:val="single" w:color="auto" w:sz="4" w:space="0"/>
              <w:left w:val="nil"/>
              <w:bottom w:val="single" w:color="auto" w:sz="4" w:space="0"/>
              <w:right w:val="single" w:color="auto" w:sz="4" w:space="0"/>
            </w:tcBorders>
            <w:noWrap w:val="0"/>
            <w:vAlign w:val="center"/>
          </w:tcPr>
          <w:p w14:paraId="0539C16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响应文件递交截止时间5日前</w:t>
            </w:r>
          </w:p>
        </w:tc>
      </w:tr>
      <w:tr w14:paraId="3B45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32AF0FA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19</w:t>
            </w:r>
          </w:p>
        </w:tc>
        <w:tc>
          <w:tcPr>
            <w:tcW w:w="2236" w:type="dxa"/>
            <w:gridSpan w:val="2"/>
            <w:tcBorders>
              <w:top w:val="single" w:color="auto" w:sz="4" w:space="0"/>
              <w:left w:val="nil"/>
              <w:bottom w:val="single" w:color="auto" w:sz="4" w:space="0"/>
              <w:right w:val="single" w:color="auto" w:sz="4" w:space="0"/>
            </w:tcBorders>
            <w:noWrap w:val="0"/>
            <w:vAlign w:val="center"/>
          </w:tcPr>
          <w:p w14:paraId="75A4BF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lang w:val="en-US" w:eastAsia="zh-CN"/>
              </w:rPr>
              <w:t>投标</w:t>
            </w:r>
            <w:r>
              <w:rPr>
                <w:rFonts w:hint="eastAsia" w:ascii="宋体" w:hAnsi="宋体" w:cs="宋体"/>
                <w:sz w:val="24"/>
                <w:szCs w:val="24"/>
                <w:highlight w:val="none"/>
              </w:rPr>
              <w:t>人确认收到竞争性磋商文件澄清的时间</w:t>
            </w:r>
          </w:p>
        </w:tc>
        <w:tc>
          <w:tcPr>
            <w:tcW w:w="6135" w:type="dxa"/>
            <w:tcBorders>
              <w:top w:val="single" w:color="auto" w:sz="4" w:space="0"/>
              <w:left w:val="nil"/>
              <w:bottom w:val="single" w:color="auto" w:sz="4" w:space="0"/>
              <w:right w:val="single" w:color="auto" w:sz="4" w:space="0"/>
            </w:tcBorders>
            <w:noWrap w:val="0"/>
            <w:vAlign w:val="center"/>
          </w:tcPr>
          <w:p w14:paraId="2EC47B0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u w:val="single"/>
              </w:rPr>
            </w:pPr>
            <w:r>
              <w:rPr>
                <w:rFonts w:hint="eastAsia" w:ascii="宋体" w:hAnsi="宋体" w:cs="宋体"/>
                <w:sz w:val="24"/>
                <w:szCs w:val="24"/>
                <w:highlight w:val="none"/>
              </w:rPr>
              <w:t>在收到相应澄清文件后</w:t>
            </w:r>
            <w:r>
              <w:rPr>
                <w:rFonts w:hint="eastAsia" w:ascii="宋体" w:hAnsi="宋体" w:cs="宋体"/>
                <w:sz w:val="24"/>
                <w:szCs w:val="24"/>
                <w:highlight w:val="none"/>
                <w:u w:val="single"/>
              </w:rPr>
              <w:t xml:space="preserve"> 24 </w:t>
            </w:r>
            <w:r>
              <w:rPr>
                <w:rFonts w:hint="eastAsia" w:ascii="宋体" w:hAnsi="宋体" w:cs="宋体"/>
                <w:sz w:val="24"/>
                <w:szCs w:val="24"/>
                <w:highlight w:val="none"/>
              </w:rPr>
              <w:t>小时内</w:t>
            </w:r>
          </w:p>
        </w:tc>
      </w:tr>
      <w:tr w14:paraId="069F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221E4E5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20</w:t>
            </w:r>
          </w:p>
        </w:tc>
        <w:tc>
          <w:tcPr>
            <w:tcW w:w="2236" w:type="dxa"/>
            <w:gridSpan w:val="2"/>
            <w:tcBorders>
              <w:top w:val="single" w:color="auto" w:sz="4" w:space="0"/>
              <w:left w:val="nil"/>
              <w:bottom w:val="single" w:color="auto" w:sz="4" w:space="0"/>
              <w:right w:val="single" w:color="auto" w:sz="4" w:space="0"/>
            </w:tcBorders>
            <w:noWrap w:val="0"/>
            <w:vAlign w:val="center"/>
          </w:tcPr>
          <w:p w14:paraId="471274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lang w:val="en-US" w:eastAsia="zh-CN"/>
              </w:rPr>
              <w:t>投标人</w:t>
            </w:r>
            <w:r>
              <w:rPr>
                <w:rFonts w:hint="eastAsia" w:ascii="宋体" w:hAnsi="宋体" w:cs="宋体"/>
                <w:sz w:val="24"/>
                <w:szCs w:val="24"/>
                <w:highlight w:val="none"/>
              </w:rPr>
              <w:t>确认收到竞争性磋商文件修改的时间</w:t>
            </w:r>
          </w:p>
        </w:tc>
        <w:tc>
          <w:tcPr>
            <w:tcW w:w="6135" w:type="dxa"/>
            <w:tcBorders>
              <w:top w:val="single" w:color="auto" w:sz="4" w:space="0"/>
              <w:left w:val="nil"/>
              <w:bottom w:val="single" w:color="auto" w:sz="4" w:space="0"/>
              <w:right w:val="single" w:color="auto" w:sz="4" w:space="0"/>
            </w:tcBorders>
            <w:noWrap w:val="0"/>
            <w:vAlign w:val="center"/>
          </w:tcPr>
          <w:p w14:paraId="52824A9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在收到相应修改文件后</w:t>
            </w:r>
            <w:r>
              <w:rPr>
                <w:rFonts w:hint="eastAsia" w:ascii="宋体" w:hAnsi="宋体" w:cs="宋体"/>
                <w:sz w:val="24"/>
                <w:szCs w:val="24"/>
                <w:highlight w:val="none"/>
                <w:u w:val="single"/>
              </w:rPr>
              <w:t xml:space="preserve"> 24</w:t>
            </w:r>
            <w:r>
              <w:rPr>
                <w:rFonts w:hint="eastAsia" w:ascii="宋体" w:hAnsi="宋体" w:cs="宋体"/>
                <w:sz w:val="24"/>
                <w:szCs w:val="24"/>
                <w:highlight w:val="none"/>
              </w:rPr>
              <w:t>小时内</w:t>
            </w:r>
          </w:p>
        </w:tc>
      </w:tr>
      <w:tr w14:paraId="33F9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7E2418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21</w:t>
            </w:r>
          </w:p>
        </w:tc>
        <w:tc>
          <w:tcPr>
            <w:tcW w:w="2236" w:type="dxa"/>
            <w:gridSpan w:val="2"/>
            <w:tcBorders>
              <w:top w:val="single" w:color="auto" w:sz="4" w:space="0"/>
              <w:left w:val="nil"/>
              <w:bottom w:val="single" w:color="auto" w:sz="4" w:space="0"/>
              <w:right w:val="single" w:color="auto" w:sz="4" w:space="0"/>
            </w:tcBorders>
            <w:shd w:val="clear" w:color="auto" w:fill="auto"/>
            <w:noWrap w:val="0"/>
            <w:vAlign w:val="center"/>
          </w:tcPr>
          <w:p w14:paraId="57D603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eastAsiaTheme="minorEastAsia"/>
                <w:sz w:val="24"/>
                <w:szCs w:val="24"/>
                <w:highlight w:val="none"/>
                <w:lang w:eastAsia="zh-CN"/>
              </w:rPr>
            </w:pPr>
            <w:r>
              <w:rPr>
                <w:rFonts w:hint="eastAsia" w:cs="Calibri" w:asciiTheme="minorEastAsia" w:hAnsiTheme="minorEastAsia" w:eastAsiaTheme="minorEastAsia"/>
                <w:sz w:val="24"/>
                <w:szCs w:val="24"/>
                <w:highlight w:val="none"/>
              </w:rPr>
              <w:t>磋商保证金</w:t>
            </w:r>
          </w:p>
        </w:tc>
        <w:tc>
          <w:tcPr>
            <w:tcW w:w="6135" w:type="dxa"/>
            <w:tcBorders>
              <w:top w:val="single" w:color="auto" w:sz="4" w:space="0"/>
              <w:left w:val="nil"/>
              <w:bottom w:val="single" w:color="auto" w:sz="4" w:space="0"/>
              <w:right w:val="single" w:color="auto" w:sz="4" w:space="0"/>
            </w:tcBorders>
            <w:shd w:val="clear" w:color="auto" w:fill="auto"/>
            <w:noWrap w:val="0"/>
            <w:vAlign w:val="center"/>
          </w:tcPr>
          <w:p w14:paraId="3C06663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cs="宋体" w:asciiTheme="minorEastAsia" w:hAnsiTheme="minorEastAsia" w:eastAsiaTheme="minorEastAsia"/>
                <w:sz w:val="24"/>
                <w:szCs w:val="24"/>
                <w:highlight w:val="none"/>
              </w:rPr>
              <w:t>根据《河南省财政厅关于优化政府采购营商环境有关问题的通知》（豫财购【2019】4号）的规定，磋商保证金不再收取。</w:t>
            </w:r>
          </w:p>
        </w:tc>
      </w:tr>
      <w:tr w14:paraId="3600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6185FC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22</w:t>
            </w:r>
          </w:p>
        </w:tc>
        <w:tc>
          <w:tcPr>
            <w:tcW w:w="2236" w:type="dxa"/>
            <w:gridSpan w:val="2"/>
            <w:tcBorders>
              <w:top w:val="single" w:color="auto" w:sz="4" w:space="0"/>
              <w:left w:val="nil"/>
              <w:bottom w:val="single" w:color="auto" w:sz="4" w:space="0"/>
              <w:right w:val="single" w:color="auto" w:sz="4" w:space="0"/>
            </w:tcBorders>
            <w:noWrap w:val="0"/>
            <w:vAlign w:val="center"/>
          </w:tcPr>
          <w:p w14:paraId="5E0F4D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响应文件递</w:t>
            </w:r>
          </w:p>
          <w:p w14:paraId="062E53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cs="Calibri" w:asciiTheme="minorEastAsia" w:hAnsiTheme="minorEastAsia" w:eastAsiaTheme="minorEastAsia"/>
                <w:sz w:val="24"/>
                <w:szCs w:val="24"/>
                <w:highlight w:val="none"/>
              </w:rPr>
            </w:pPr>
            <w:r>
              <w:rPr>
                <w:rFonts w:hint="eastAsia" w:ascii="宋体" w:hAnsi="宋体" w:cs="宋体"/>
                <w:sz w:val="24"/>
                <w:szCs w:val="24"/>
                <w:highlight w:val="none"/>
              </w:rPr>
              <w:t>交截止时间</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磋商时间</w:t>
            </w:r>
            <w:r>
              <w:rPr>
                <w:rFonts w:hint="eastAsia" w:ascii="宋体" w:hAnsi="宋体" w:cs="宋体"/>
                <w:sz w:val="24"/>
                <w:szCs w:val="24"/>
                <w:highlight w:val="none"/>
                <w:lang w:eastAsia="zh-CN"/>
              </w:rPr>
              <w:t>）</w:t>
            </w:r>
          </w:p>
        </w:tc>
        <w:tc>
          <w:tcPr>
            <w:tcW w:w="6135" w:type="dxa"/>
            <w:tcBorders>
              <w:top w:val="single" w:color="auto" w:sz="4" w:space="0"/>
              <w:left w:val="nil"/>
              <w:bottom w:val="single" w:color="auto" w:sz="4" w:space="0"/>
              <w:right w:val="single" w:color="auto" w:sz="4" w:space="0"/>
            </w:tcBorders>
            <w:noWrap w:val="0"/>
            <w:vAlign w:val="center"/>
          </w:tcPr>
          <w:p w14:paraId="2FFC0B1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ascii="宋体" w:hAnsi="宋体" w:cs="宋体"/>
                <w:bCs/>
                <w:kern w:val="0"/>
                <w:sz w:val="24"/>
                <w:szCs w:val="24"/>
                <w:highlight w:val="none"/>
                <w:lang w:val="en-US" w:eastAsia="zh-CN"/>
              </w:rPr>
              <w:t>见第一章“竞争性磋商公告”</w:t>
            </w:r>
          </w:p>
        </w:tc>
      </w:tr>
      <w:tr w14:paraId="5642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58EC21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23</w:t>
            </w:r>
          </w:p>
        </w:tc>
        <w:tc>
          <w:tcPr>
            <w:tcW w:w="2236" w:type="dxa"/>
            <w:gridSpan w:val="2"/>
            <w:tcBorders>
              <w:top w:val="single" w:color="auto" w:sz="4" w:space="0"/>
              <w:left w:val="nil"/>
              <w:bottom w:val="single" w:color="auto" w:sz="4" w:space="0"/>
              <w:right w:val="single" w:color="auto" w:sz="4" w:space="0"/>
            </w:tcBorders>
            <w:noWrap w:val="0"/>
            <w:vAlign w:val="center"/>
          </w:tcPr>
          <w:p w14:paraId="609D286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cs="Calibri" w:asciiTheme="minorEastAsia" w:hAnsiTheme="minorEastAsia" w:eastAsiaTheme="minorEastAsia"/>
                <w:sz w:val="24"/>
                <w:szCs w:val="24"/>
                <w:highlight w:val="none"/>
              </w:rPr>
              <w:t>磋商地点</w:t>
            </w:r>
          </w:p>
        </w:tc>
        <w:tc>
          <w:tcPr>
            <w:tcW w:w="6135" w:type="dxa"/>
            <w:tcBorders>
              <w:top w:val="single" w:color="auto" w:sz="4" w:space="0"/>
              <w:left w:val="nil"/>
              <w:bottom w:val="single" w:color="auto" w:sz="4" w:space="0"/>
              <w:right w:val="single" w:color="auto" w:sz="4" w:space="0"/>
            </w:tcBorders>
            <w:noWrap w:val="0"/>
            <w:vAlign w:val="center"/>
          </w:tcPr>
          <w:p w14:paraId="1B2F440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bCs/>
                <w:kern w:val="0"/>
                <w:sz w:val="24"/>
                <w:szCs w:val="24"/>
                <w:highlight w:val="none"/>
                <w:lang w:val="en-US" w:eastAsia="zh-CN"/>
              </w:rPr>
              <w:t>见第一章“竞争性磋商公告”</w:t>
            </w:r>
          </w:p>
        </w:tc>
      </w:tr>
      <w:tr w14:paraId="02CD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1C1E63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24</w:t>
            </w:r>
          </w:p>
        </w:tc>
        <w:tc>
          <w:tcPr>
            <w:tcW w:w="2236" w:type="dxa"/>
            <w:gridSpan w:val="2"/>
            <w:tcBorders>
              <w:top w:val="single" w:color="auto" w:sz="4" w:space="0"/>
              <w:left w:val="nil"/>
              <w:bottom w:val="single" w:color="auto" w:sz="4" w:space="0"/>
              <w:right w:val="single" w:color="auto" w:sz="4" w:space="0"/>
            </w:tcBorders>
            <w:noWrap w:val="0"/>
            <w:vAlign w:val="center"/>
          </w:tcPr>
          <w:p w14:paraId="7ADC75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磋商有效期</w:t>
            </w:r>
          </w:p>
        </w:tc>
        <w:tc>
          <w:tcPr>
            <w:tcW w:w="6135" w:type="dxa"/>
            <w:tcBorders>
              <w:top w:val="single" w:color="auto" w:sz="4" w:space="0"/>
              <w:left w:val="nil"/>
              <w:bottom w:val="single" w:color="auto" w:sz="4" w:space="0"/>
              <w:right w:val="single" w:color="auto" w:sz="4" w:space="0"/>
            </w:tcBorders>
            <w:noWrap w:val="0"/>
            <w:vAlign w:val="center"/>
          </w:tcPr>
          <w:p w14:paraId="6D9A132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响应文件递交截止之日起60日历天</w:t>
            </w:r>
          </w:p>
        </w:tc>
      </w:tr>
      <w:tr w14:paraId="66FB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29120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25</w:t>
            </w:r>
          </w:p>
        </w:tc>
        <w:tc>
          <w:tcPr>
            <w:tcW w:w="2236" w:type="dxa"/>
            <w:gridSpan w:val="2"/>
            <w:tcBorders>
              <w:top w:val="single" w:color="auto" w:sz="4" w:space="0"/>
              <w:left w:val="nil"/>
              <w:bottom w:val="single" w:color="auto" w:sz="4" w:space="0"/>
              <w:right w:val="single" w:color="auto" w:sz="4" w:space="0"/>
            </w:tcBorders>
            <w:noWrap w:val="0"/>
            <w:vAlign w:val="center"/>
          </w:tcPr>
          <w:p w14:paraId="64F1E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招标控制价</w:t>
            </w:r>
          </w:p>
        </w:tc>
        <w:tc>
          <w:tcPr>
            <w:tcW w:w="6135" w:type="dxa"/>
            <w:tcBorders>
              <w:top w:val="single" w:color="auto" w:sz="4" w:space="0"/>
              <w:left w:val="nil"/>
              <w:bottom w:val="single" w:color="auto" w:sz="4" w:space="0"/>
              <w:right w:val="single" w:color="auto" w:sz="4" w:space="0"/>
            </w:tcBorders>
            <w:noWrap w:val="0"/>
            <w:vAlign w:val="center"/>
          </w:tcPr>
          <w:p w14:paraId="52D922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cs="宋体"/>
                <w:sz w:val="24"/>
                <w:szCs w:val="24"/>
                <w:highlight w:val="none"/>
                <w:u w:val="single"/>
              </w:rPr>
            </w:pPr>
            <w:r>
              <w:rPr>
                <w:rFonts w:hint="eastAsia" w:cs="Calibri" w:asciiTheme="minorEastAsia" w:hAnsiTheme="minorEastAsia" w:eastAsiaTheme="minorEastAsia"/>
                <w:b/>
                <w:bCs/>
                <w:sz w:val="24"/>
                <w:szCs w:val="24"/>
                <w:highlight w:val="none"/>
              </w:rPr>
              <w:t>本项目的招标控制价为</w:t>
            </w:r>
            <w:r>
              <w:rPr>
                <w:rFonts w:hint="eastAsia" w:cs="Calibri" w:asciiTheme="minorEastAsia" w:hAnsiTheme="minorEastAsia" w:eastAsiaTheme="minorEastAsia"/>
                <w:b/>
                <w:bCs/>
                <w:sz w:val="24"/>
                <w:szCs w:val="24"/>
                <w:highlight w:val="none"/>
                <w:lang w:val="en-US" w:eastAsia="zh-CN"/>
              </w:rPr>
              <w:t>2451216.47</w:t>
            </w:r>
            <w:r>
              <w:rPr>
                <w:rFonts w:hint="eastAsia" w:cs="Calibri" w:asciiTheme="minorEastAsia" w:hAnsiTheme="minorEastAsia" w:eastAsiaTheme="minorEastAsia"/>
                <w:b/>
                <w:bCs/>
                <w:sz w:val="24"/>
                <w:szCs w:val="24"/>
                <w:highlight w:val="none"/>
              </w:rPr>
              <w:t>元，</w:t>
            </w:r>
            <w:r>
              <w:rPr>
                <w:rFonts w:hint="eastAsia" w:cs="Calibri" w:asciiTheme="minorEastAsia" w:hAnsiTheme="minorEastAsia"/>
                <w:b/>
                <w:bCs/>
                <w:sz w:val="24"/>
                <w:szCs w:val="24"/>
                <w:highlight w:val="none"/>
                <w:lang w:val="en-US" w:eastAsia="zh-CN"/>
              </w:rPr>
              <w:t>大写：贰佰肆拾伍万壹仟贰佰壹拾陆元肆角柒分，</w:t>
            </w:r>
            <w:r>
              <w:rPr>
                <w:rFonts w:hint="eastAsia" w:cs="Calibri" w:asciiTheme="minorEastAsia" w:hAnsiTheme="minorEastAsia" w:eastAsiaTheme="minorEastAsia"/>
                <w:sz w:val="24"/>
                <w:szCs w:val="24"/>
                <w:highlight w:val="none"/>
              </w:rPr>
              <w:t>凡</w:t>
            </w:r>
            <w:r>
              <w:rPr>
                <w:rFonts w:hint="eastAsia" w:cs="Calibri" w:asciiTheme="minorEastAsia" w:hAnsiTheme="minorEastAsia"/>
                <w:sz w:val="24"/>
                <w:szCs w:val="24"/>
                <w:highlight w:val="none"/>
                <w:lang w:eastAsia="zh-CN"/>
              </w:rPr>
              <w:t>投标人</w:t>
            </w:r>
            <w:r>
              <w:rPr>
                <w:rFonts w:hint="eastAsia" w:cs="Calibri" w:asciiTheme="minorEastAsia" w:hAnsiTheme="minorEastAsia" w:eastAsiaTheme="minorEastAsia"/>
                <w:sz w:val="24"/>
                <w:szCs w:val="24"/>
                <w:highlight w:val="none"/>
              </w:rPr>
              <w:t>的磋商报价超出“招标控制价”（不含等于“招标控制价”）的，其投标将被否决。</w:t>
            </w:r>
          </w:p>
        </w:tc>
      </w:tr>
      <w:tr w14:paraId="1047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7D6BB3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26</w:t>
            </w:r>
          </w:p>
        </w:tc>
        <w:tc>
          <w:tcPr>
            <w:tcW w:w="2236" w:type="dxa"/>
            <w:gridSpan w:val="2"/>
            <w:tcBorders>
              <w:top w:val="single" w:color="auto" w:sz="4" w:space="0"/>
              <w:left w:val="nil"/>
              <w:bottom w:val="single" w:color="auto" w:sz="4" w:space="0"/>
              <w:right w:val="single" w:color="auto" w:sz="4" w:space="0"/>
            </w:tcBorders>
            <w:noWrap w:val="0"/>
            <w:vAlign w:val="center"/>
          </w:tcPr>
          <w:p w14:paraId="71125F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近年完成的类似项目的年份要求</w:t>
            </w:r>
          </w:p>
        </w:tc>
        <w:tc>
          <w:tcPr>
            <w:tcW w:w="6135" w:type="dxa"/>
            <w:tcBorders>
              <w:top w:val="single" w:color="auto" w:sz="4" w:space="0"/>
              <w:left w:val="nil"/>
              <w:bottom w:val="single" w:color="auto" w:sz="4" w:space="0"/>
              <w:right w:val="single" w:color="auto" w:sz="4" w:space="0"/>
            </w:tcBorders>
            <w:noWrap w:val="0"/>
            <w:vAlign w:val="center"/>
          </w:tcPr>
          <w:p w14:paraId="41B5862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u w:val="single"/>
              </w:rPr>
            </w:pPr>
            <w:r>
              <w:rPr>
                <w:rFonts w:hint="eastAsia" w:ascii="宋体" w:hAnsi="宋体" w:cs="宋体"/>
                <w:sz w:val="24"/>
                <w:szCs w:val="24"/>
                <w:highlight w:val="none"/>
                <w:u w:val="single"/>
              </w:rPr>
              <w:t>近</w:t>
            </w:r>
            <w:r>
              <w:rPr>
                <w:rFonts w:hint="eastAsia" w:ascii="宋体" w:hAnsi="宋体" w:cs="宋体"/>
                <w:sz w:val="24"/>
                <w:szCs w:val="24"/>
                <w:highlight w:val="none"/>
              </w:rPr>
              <w:t>年，指</w:t>
            </w:r>
            <w:r>
              <w:rPr>
                <w:rFonts w:hint="eastAsia" w:ascii="宋体" w:hAnsi="宋体" w:cs="宋体"/>
                <w:sz w:val="24"/>
                <w:szCs w:val="24"/>
                <w:highlight w:val="none"/>
                <w:u w:val="single"/>
              </w:rPr>
              <w:t>20</w:t>
            </w:r>
            <w:r>
              <w:rPr>
                <w:rFonts w:hint="eastAsia" w:ascii="宋体" w:hAnsi="宋体" w:cs="宋体"/>
                <w:sz w:val="24"/>
                <w:szCs w:val="24"/>
                <w:highlight w:val="none"/>
                <w:u w:val="single"/>
                <w:lang w:val="en-US" w:eastAsia="zh-CN"/>
              </w:rPr>
              <w:t>22</w:t>
            </w:r>
            <w:r>
              <w:rPr>
                <w:rFonts w:hint="eastAsia" w:ascii="宋体" w:hAnsi="宋体" w:cs="宋体"/>
                <w:sz w:val="24"/>
                <w:szCs w:val="24"/>
                <w:highlight w:val="none"/>
              </w:rPr>
              <w:t>年</w:t>
            </w:r>
            <w:r>
              <w:rPr>
                <w:rFonts w:hint="eastAsia" w:ascii="宋体" w:hAnsi="宋体" w:cs="宋体"/>
                <w:sz w:val="24"/>
                <w:szCs w:val="24"/>
                <w:highlight w:val="none"/>
                <w:u w:val="single"/>
              </w:rPr>
              <w:t>1</w:t>
            </w:r>
            <w:r>
              <w:rPr>
                <w:rFonts w:hint="eastAsia" w:ascii="宋体" w:hAnsi="宋体" w:cs="宋体"/>
                <w:sz w:val="24"/>
                <w:szCs w:val="24"/>
                <w:highlight w:val="none"/>
              </w:rPr>
              <w:t>月</w:t>
            </w:r>
            <w:r>
              <w:rPr>
                <w:rFonts w:hint="eastAsia" w:ascii="宋体" w:hAnsi="宋体" w:cs="宋体"/>
                <w:sz w:val="24"/>
                <w:szCs w:val="24"/>
                <w:highlight w:val="none"/>
                <w:u w:val="single"/>
              </w:rPr>
              <w:t>1</w:t>
            </w:r>
            <w:r>
              <w:rPr>
                <w:rFonts w:hint="eastAsia" w:ascii="宋体" w:hAnsi="宋体" w:cs="宋体"/>
                <w:sz w:val="24"/>
                <w:szCs w:val="24"/>
                <w:highlight w:val="none"/>
              </w:rPr>
              <w:t>日以来</w:t>
            </w:r>
          </w:p>
        </w:tc>
      </w:tr>
      <w:tr w14:paraId="0722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15804F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27</w:t>
            </w:r>
          </w:p>
        </w:tc>
        <w:tc>
          <w:tcPr>
            <w:tcW w:w="2236" w:type="dxa"/>
            <w:gridSpan w:val="2"/>
            <w:tcBorders>
              <w:top w:val="single" w:color="auto" w:sz="4" w:space="0"/>
              <w:left w:val="nil"/>
              <w:bottom w:val="single" w:color="auto" w:sz="4" w:space="0"/>
              <w:right w:val="single" w:color="auto" w:sz="4" w:space="0"/>
            </w:tcBorders>
            <w:noWrap w:val="0"/>
            <w:vAlign w:val="center"/>
          </w:tcPr>
          <w:p w14:paraId="675D053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是否允许递交备选磋商方案</w:t>
            </w:r>
          </w:p>
        </w:tc>
        <w:tc>
          <w:tcPr>
            <w:tcW w:w="6135" w:type="dxa"/>
            <w:tcBorders>
              <w:top w:val="single" w:color="auto" w:sz="4" w:space="0"/>
              <w:left w:val="nil"/>
              <w:bottom w:val="single" w:color="auto" w:sz="4" w:space="0"/>
              <w:right w:val="single" w:color="auto" w:sz="4" w:space="0"/>
            </w:tcBorders>
            <w:noWrap w:val="0"/>
            <w:vAlign w:val="center"/>
          </w:tcPr>
          <w:p w14:paraId="37287DC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■不允许</w:t>
            </w:r>
          </w:p>
        </w:tc>
      </w:tr>
      <w:tr w14:paraId="3F7E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6879BB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28</w:t>
            </w:r>
          </w:p>
        </w:tc>
        <w:tc>
          <w:tcPr>
            <w:tcW w:w="2236" w:type="dxa"/>
            <w:gridSpan w:val="2"/>
            <w:tcBorders>
              <w:top w:val="single" w:color="auto" w:sz="4" w:space="0"/>
              <w:left w:val="nil"/>
              <w:bottom w:val="single" w:color="auto" w:sz="4" w:space="0"/>
              <w:right w:val="single" w:color="auto" w:sz="4" w:space="0"/>
            </w:tcBorders>
            <w:noWrap w:val="0"/>
            <w:vAlign w:val="center"/>
          </w:tcPr>
          <w:p w14:paraId="388C06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cs="Calibri" w:asciiTheme="minorEastAsia" w:hAnsiTheme="minorEastAsia" w:eastAsiaTheme="minorEastAsia"/>
                <w:sz w:val="24"/>
                <w:szCs w:val="24"/>
                <w:highlight w:val="none"/>
              </w:rPr>
              <w:t>电子投标文件签章</w:t>
            </w:r>
          </w:p>
        </w:tc>
        <w:tc>
          <w:tcPr>
            <w:tcW w:w="6135" w:type="dxa"/>
            <w:tcBorders>
              <w:top w:val="single" w:color="auto" w:sz="4" w:space="0"/>
              <w:left w:val="nil"/>
              <w:bottom w:val="single" w:color="auto" w:sz="4" w:space="0"/>
              <w:right w:val="single" w:color="auto" w:sz="4" w:space="0"/>
            </w:tcBorders>
            <w:noWrap w:val="0"/>
            <w:vAlign w:val="center"/>
          </w:tcPr>
          <w:p w14:paraId="6838C3D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eastAsia="zh-CN"/>
              </w:rPr>
              <w:t>投标人</w:t>
            </w:r>
            <w:r>
              <w:rPr>
                <w:rFonts w:hint="eastAsia" w:ascii="宋体" w:hAnsi="宋体" w:cs="宋体"/>
                <w:sz w:val="24"/>
                <w:szCs w:val="24"/>
                <w:highlight w:val="none"/>
              </w:rPr>
              <w:t>在生成电子化响应文件后，应对电子化响应文件进行签章，未对电子化响应文件进行签章的视为无效投标。</w:t>
            </w:r>
          </w:p>
          <w:p w14:paraId="20705E0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2、竞争性磋商文件中要求法定代表人或授权委托人盖章的，</w:t>
            </w:r>
            <w:r>
              <w:rPr>
                <w:rFonts w:hint="eastAsia" w:ascii="宋体" w:hAnsi="宋体" w:cs="宋体"/>
                <w:sz w:val="24"/>
                <w:szCs w:val="24"/>
                <w:highlight w:val="none"/>
                <w:lang w:eastAsia="zh-CN"/>
              </w:rPr>
              <w:t>投标人</w:t>
            </w:r>
            <w:r>
              <w:rPr>
                <w:rFonts w:hint="eastAsia" w:ascii="宋体" w:hAnsi="宋体" w:cs="宋体"/>
                <w:sz w:val="24"/>
                <w:szCs w:val="24"/>
                <w:highlight w:val="none"/>
              </w:rPr>
              <w:t>在进行电子化响应文件签章时，以签盖法定代表人签章为准。</w:t>
            </w:r>
          </w:p>
          <w:p w14:paraId="57A69BF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3、电子化响应文件工具请点击http://t.cn/A6ZvtVob进行下载。</w:t>
            </w:r>
          </w:p>
        </w:tc>
      </w:tr>
      <w:tr w14:paraId="4998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741EC5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29</w:t>
            </w:r>
          </w:p>
        </w:tc>
        <w:tc>
          <w:tcPr>
            <w:tcW w:w="2236" w:type="dxa"/>
            <w:gridSpan w:val="2"/>
            <w:tcBorders>
              <w:top w:val="single" w:color="auto" w:sz="4" w:space="0"/>
              <w:left w:val="nil"/>
              <w:bottom w:val="single" w:color="auto" w:sz="4" w:space="0"/>
              <w:right w:val="single" w:color="auto" w:sz="4" w:space="0"/>
            </w:tcBorders>
            <w:noWrap w:val="0"/>
            <w:vAlign w:val="center"/>
          </w:tcPr>
          <w:p w14:paraId="52EF038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响应文件</w:t>
            </w:r>
          </w:p>
        </w:tc>
        <w:tc>
          <w:tcPr>
            <w:tcW w:w="6135" w:type="dxa"/>
            <w:tcBorders>
              <w:top w:val="single" w:color="auto" w:sz="4" w:space="0"/>
              <w:left w:val="nil"/>
              <w:bottom w:val="single" w:color="auto" w:sz="4" w:space="0"/>
              <w:right w:val="single" w:color="auto" w:sz="4" w:space="0"/>
            </w:tcBorders>
            <w:noWrap w:val="0"/>
            <w:vAlign w:val="center"/>
          </w:tcPr>
          <w:p w14:paraId="1239FD4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用CA在电子平台上传电子响应文件，在磋商截止时间前成功上传至三门峡市公共资源电子化交易系统。本项目为电子化、无纸化交易项目。</w:t>
            </w:r>
          </w:p>
          <w:p w14:paraId="6A439DF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cs="宋体"/>
                <w:sz w:val="24"/>
                <w:szCs w:val="24"/>
                <w:highlight w:val="none"/>
              </w:rPr>
              <w:t>开标时不再递交纸质投标文件，中标单位领取中标通知书时提交两份纸质投标文件（投标文件应按以下要求装订：胶装，应有目录，并逐页标注连续页码）。</w:t>
            </w:r>
          </w:p>
        </w:tc>
      </w:tr>
      <w:tr w14:paraId="77DB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207C09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30</w:t>
            </w:r>
          </w:p>
        </w:tc>
        <w:tc>
          <w:tcPr>
            <w:tcW w:w="2236" w:type="dxa"/>
            <w:gridSpan w:val="2"/>
            <w:tcBorders>
              <w:top w:val="single" w:color="auto" w:sz="4" w:space="0"/>
              <w:left w:val="nil"/>
              <w:bottom w:val="single" w:color="auto" w:sz="4" w:space="0"/>
              <w:right w:val="single" w:color="auto" w:sz="4" w:space="0"/>
            </w:tcBorders>
            <w:noWrap w:val="0"/>
            <w:vAlign w:val="center"/>
          </w:tcPr>
          <w:p w14:paraId="0D621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是否退还响应文件</w:t>
            </w:r>
          </w:p>
        </w:tc>
        <w:tc>
          <w:tcPr>
            <w:tcW w:w="6135" w:type="dxa"/>
            <w:tcBorders>
              <w:top w:val="single" w:color="auto" w:sz="4" w:space="0"/>
              <w:left w:val="nil"/>
              <w:bottom w:val="single" w:color="auto" w:sz="4" w:space="0"/>
              <w:right w:val="single" w:color="auto" w:sz="4" w:space="0"/>
            </w:tcBorders>
            <w:noWrap w:val="0"/>
            <w:vAlign w:val="center"/>
          </w:tcPr>
          <w:p w14:paraId="6405ECF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否</w:t>
            </w:r>
          </w:p>
        </w:tc>
      </w:tr>
      <w:tr w14:paraId="5A8A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31A579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31</w:t>
            </w:r>
          </w:p>
        </w:tc>
        <w:tc>
          <w:tcPr>
            <w:tcW w:w="2236" w:type="dxa"/>
            <w:gridSpan w:val="2"/>
            <w:tcBorders>
              <w:top w:val="single" w:color="auto" w:sz="4" w:space="0"/>
              <w:left w:val="nil"/>
              <w:bottom w:val="single" w:color="auto" w:sz="4" w:space="0"/>
              <w:right w:val="single" w:color="auto" w:sz="4" w:space="0"/>
            </w:tcBorders>
            <w:noWrap w:val="0"/>
            <w:vAlign w:val="center"/>
          </w:tcPr>
          <w:p w14:paraId="260169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开标顺序</w:t>
            </w:r>
          </w:p>
        </w:tc>
        <w:tc>
          <w:tcPr>
            <w:tcW w:w="6135" w:type="dxa"/>
            <w:tcBorders>
              <w:top w:val="single" w:color="auto" w:sz="4" w:space="0"/>
              <w:left w:val="nil"/>
              <w:bottom w:val="single" w:color="auto" w:sz="4" w:space="0"/>
              <w:right w:val="single" w:color="auto" w:sz="4" w:space="0"/>
            </w:tcBorders>
            <w:noWrap w:val="0"/>
            <w:vAlign w:val="center"/>
          </w:tcPr>
          <w:p w14:paraId="5B2C28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cs="宋体"/>
                <w:sz w:val="24"/>
                <w:szCs w:val="24"/>
                <w:highlight w:val="none"/>
              </w:rPr>
            </w:pPr>
            <w:r>
              <w:rPr>
                <w:rFonts w:hint="eastAsia" w:ascii="宋体" w:hAnsi="宋体" w:cs="宋体"/>
                <w:sz w:val="24"/>
                <w:szCs w:val="24"/>
                <w:highlight w:val="none"/>
              </w:rPr>
              <w:t>按电子响应文件上传的顺序开标</w:t>
            </w:r>
          </w:p>
        </w:tc>
      </w:tr>
      <w:tr w14:paraId="2E8F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4507AE2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kern w:val="0"/>
                <w:sz w:val="24"/>
                <w:szCs w:val="24"/>
                <w:highlight w:val="none"/>
                <w:lang w:val="en-US" w:eastAsia="zh-CN"/>
              </w:rPr>
              <w:t>32</w:t>
            </w:r>
          </w:p>
        </w:tc>
        <w:tc>
          <w:tcPr>
            <w:tcW w:w="2236" w:type="dxa"/>
            <w:gridSpan w:val="2"/>
            <w:tcBorders>
              <w:top w:val="single" w:color="auto" w:sz="4" w:space="0"/>
              <w:left w:val="nil"/>
              <w:bottom w:val="single" w:color="auto" w:sz="4" w:space="0"/>
              <w:right w:val="single" w:color="auto" w:sz="4" w:space="0"/>
            </w:tcBorders>
            <w:noWrap w:val="0"/>
            <w:vAlign w:val="center"/>
          </w:tcPr>
          <w:p w14:paraId="4E5CDE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磋商小组的组建</w:t>
            </w:r>
          </w:p>
        </w:tc>
        <w:tc>
          <w:tcPr>
            <w:tcW w:w="6135" w:type="dxa"/>
            <w:tcBorders>
              <w:top w:val="single" w:color="auto" w:sz="4" w:space="0"/>
              <w:left w:val="nil"/>
              <w:bottom w:val="single" w:color="auto" w:sz="4" w:space="0"/>
              <w:right w:val="single" w:color="auto" w:sz="4" w:space="0"/>
            </w:tcBorders>
            <w:noWrap w:val="0"/>
            <w:vAlign w:val="center"/>
          </w:tcPr>
          <w:p w14:paraId="5C8BB8B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磋商小组构成：由</w:t>
            </w:r>
            <w:r>
              <w:rPr>
                <w:rFonts w:hint="eastAsia" w:ascii="宋体" w:hAnsi="宋体" w:cs="宋体"/>
                <w:sz w:val="24"/>
                <w:szCs w:val="24"/>
                <w:highlight w:val="none"/>
                <w:lang w:val="en-US" w:eastAsia="zh-CN"/>
              </w:rPr>
              <w:t>招标</w:t>
            </w:r>
            <w:r>
              <w:rPr>
                <w:rFonts w:hint="eastAsia" w:ascii="宋体" w:hAnsi="宋体" w:cs="宋体"/>
                <w:sz w:val="24"/>
                <w:szCs w:val="24"/>
                <w:highlight w:val="none"/>
              </w:rPr>
              <w:t>人代表及有关经济、技术等方面的专家共3人组成，其中</w:t>
            </w:r>
            <w:r>
              <w:rPr>
                <w:rFonts w:hint="eastAsia" w:ascii="宋体" w:hAnsi="宋体" w:cs="宋体"/>
                <w:sz w:val="24"/>
                <w:szCs w:val="24"/>
                <w:highlight w:val="none"/>
                <w:lang w:val="en-US" w:eastAsia="zh-CN"/>
              </w:rPr>
              <w:t>招标人</w:t>
            </w:r>
            <w:r>
              <w:rPr>
                <w:rFonts w:hint="eastAsia" w:ascii="宋体" w:hAnsi="宋体" w:cs="宋体"/>
                <w:sz w:val="24"/>
                <w:szCs w:val="24"/>
                <w:highlight w:val="none"/>
              </w:rPr>
              <w:t>代表1人，经济、技术等有关方面的专家各1人。评标专家确定方式：参加评标的专家由</w:t>
            </w:r>
            <w:r>
              <w:rPr>
                <w:rFonts w:hint="eastAsia" w:ascii="宋体" w:hAnsi="宋体" w:cs="宋体"/>
                <w:sz w:val="24"/>
                <w:szCs w:val="24"/>
                <w:highlight w:val="none"/>
                <w:lang w:eastAsia="zh-CN"/>
              </w:rPr>
              <w:t>招标人</w:t>
            </w:r>
            <w:r>
              <w:rPr>
                <w:rFonts w:hint="eastAsia" w:ascii="宋体" w:hAnsi="宋体" w:cs="宋体"/>
                <w:sz w:val="24"/>
                <w:szCs w:val="24"/>
                <w:highlight w:val="none"/>
              </w:rPr>
              <w:t>、监督人在三门峡市</w:t>
            </w:r>
            <w:r>
              <w:rPr>
                <w:rFonts w:hint="eastAsia" w:ascii="宋体" w:hAnsi="宋体" w:cs="宋体"/>
                <w:sz w:val="24"/>
                <w:szCs w:val="24"/>
                <w:highlight w:val="none"/>
                <w:lang w:val="en-US" w:eastAsia="zh-CN"/>
              </w:rPr>
              <w:t>灵宝市</w:t>
            </w:r>
            <w:r>
              <w:rPr>
                <w:rFonts w:hint="eastAsia" w:ascii="宋体" w:hAnsi="宋体" w:cs="宋体"/>
                <w:sz w:val="24"/>
                <w:szCs w:val="24"/>
                <w:highlight w:val="none"/>
              </w:rPr>
              <w:t>公共资源交易中心抽取终端从三门峡市综合评标专家库中随机抽取确定。</w:t>
            </w:r>
          </w:p>
        </w:tc>
      </w:tr>
      <w:tr w14:paraId="34FF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1FB806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33</w:t>
            </w:r>
          </w:p>
        </w:tc>
        <w:tc>
          <w:tcPr>
            <w:tcW w:w="2236" w:type="dxa"/>
            <w:gridSpan w:val="2"/>
            <w:tcBorders>
              <w:top w:val="single" w:color="auto" w:sz="4" w:space="0"/>
              <w:left w:val="nil"/>
              <w:bottom w:val="single" w:color="auto" w:sz="4" w:space="0"/>
              <w:right w:val="single" w:color="auto" w:sz="4" w:space="0"/>
            </w:tcBorders>
            <w:noWrap w:val="0"/>
            <w:vAlign w:val="center"/>
          </w:tcPr>
          <w:p w14:paraId="44A73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cs="Calibri" w:asciiTheme="minorEastAsia" w:hAnsiTheme="minorEastAsia" w:eastAsiaTheme="minorEastAsia"/>
                <w:sz w:val="24"/>
                <w:szCs w:val="24"/>
                <w:highlight w:val="none"/>
              </w:rPr>
              <w:t>授权评委小组推荐成交候选人</w:t>
            </w:r>
          </w:p>
        </w:tc>
        <w:tc>
          <w:tcPr>
            <w:tcW w:w="6135" w:type="dxa"/>
            <w:tcBorders>
              <w:top w:val="single" w:color="auto" w:sz="4" w:space="0"/>
              <w:left w:val="nil"/>
              <w:bottom w:val="single" w:color="auto" w:sz="4" w:space="0"/>
              <w:right w:val="single" w:color="auto" w:sz="4" w:space="0"/>
            </w:tcBorders>
            <w:noWrap w:val="0"/>
            <w:vAlign w:val="center"/>
          </w:tcPr>
          <w:p w14:paraId="00074AB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Calibri" w:asciiTheme="minorEastAsia" w:hAnsiTheme="minorEastAsia" w:eastAsiaTheme="minorEastAsia"/>
                <w:sz w:val="24"/>
                <w:szCs w:val="24"/>
                <w:highlight w:val="none"/>
              </w:rPr>
            </w:pPr>
            <w:r>
              <w:rPr>
                <w:rFonts w:hint="eastAsia" w:cs="Calibri" w:asciiTheme="minorEastAsia" w:hAnsiTheme="minorEastAsia" w:eastAsiaTheme="minorEastAsia"/>
                <w:sz w:val="24"/>
                <w:szCs w:val="24"/>
                <w:highlight w:val="none"/>
              </w:rPr>
              <w:t>是，推荐的成交候选人数：1-3个</w:t>
            </w:r>
          </w:p>
          <w:p w14:paraId="3F5F4ED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cs="Calibri" w:asciiTheme="minorEastAsia" w:hAnsiTheme="minorEastAsia" w:eastAsiaTheme="minorEastAsia"/>
                <w:sz w:val="24"/>
                <w:szCs w:val="24"/>
                <w:highlight w:val="none"/>
              </w:rPr>
              <w:t>排名第一的成交候选人若放弃中标、因不可抗力提出不能履行合同，</w:t>
            </w:r>
            <w:r>
              <w:rPr>
                <w:rFonts w:hint="eastAsia" w:cs="Calibri" w:asciiTheme="minorEastAsia" w:hAnsiTheme="minorEastAsia"/>
                <w:sz w:val="24"/>
                <w:szCs w:val="24"/>
                <w:highlight w:val="none"/>
                <w:lang w:eastAsia="zh-CN"/>
              </w:rPr>
              <w:t>招标人</w:t>
            </w:r>
            <w:r>
              <w:rPr>
                <w:rFonts w:hint="eastAsia" w:cs="Calibri" w:asciiTheme="minorEastAsia" w:hAnsiTheme="minorEastAsia" w:eastAsiaTheme="minorEastAsia"/>
                <w:sz w:val="24"/>
                <w:szCs w:val="24"/>
                <w:highlight w:val="none"/>
              </w:rPr>
              <w:t>可以确定排名第二的成交候选人为中标人。排名第二的成交候选人因前款原因不能签订合同的，</w:t>
            </w:r>
            <w:r>
              <w:rPr>
                <w:rFonts w:hint="eastAsia" w:cs="Calibri" w:asciiTheme="minorEastAsia" w:hAnsiTheme="minorEastAsia"/>
                <w:sz w:val="24"/>
                <w:szCs w:val="24"/>
                <w:highlight w:val="none"/>
                <w:lang w:eastAsia="zh-CN"/>
              </w:rPr>
              <w:t>招标人</w:t>
            </w:r>
            <w:r>
              <w:rPr>
                <w:rFonts w:hint="eastAsia" w:cs="Calibri" w:asciiTheme="minorEastAsia" w:hAnsiTheme="minorEastAsia" w:eastAsiaTheme="minorEastAsia"/>
                <w:sz w:val="24"/>
                <w:szCs w:val="24"/>
                <w:highlight w:val="none"/>
              </w:rPr>
              <w:t>可以确定排名第三的成交候选人为中标人。</w:t>
            </w:r>
          </w:p>
        </w:tc>
      </w:tr>
      <w:tr w14:paraId="37FD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5016E959">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kern w:val="0"/>
                <w:sz w:val="24"/>
                <w:szCs w:val="24"/>
                <w:highlight w:val="none"/>
                <w:lang w:val="en-US" w:eastAsia="zh-CN"/>
              </w:rPr>
              <w:t>34</w:t>
            </w:r>
          </w:p>
        </w:tc>
        <w:tc>
          <w:tcPr>
            <w:tcW w:w="2236" w:type="dxa"/>
            <w:gridSpan w:val="2"/>
            <w:tcBorders>
              <w:top w:val="single" w:color="auto" w:sz="4" w:space="0"/>
              <w:left w:val="nil"/>
              <w:bottom w:val="single" w:color="auto" w:sz="4" w:space="0"/>
              <w:right w:val="single" w:color="auto" w:sz="4" w:space="0"/>
            </w:tcBorders>
            <w:noWrap w:val="0"/>
            <w:vAlign w:val="center"/>
          </w:tcPr>
          <w:p w14:paraId="151A8E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结果公示</w:t>
            </w:r>
          </w:p>
        </w:tc>
        <w:tc>
          <w:tcPr>
            <w:tcW w:w="6135" w:type="dxa"/>
            <w:tcBorders>
              <w:top w:val="single" w:color="auto" w:sz="4" w:space="0"/>
              <w:left w:val="nil"/>
              <w:bottom w:val="single" w:color="auto" w:sz="4" w:space="0"/>
              <w:right w:val="single" w:color="auto" w:sz="4" w:space="0"/>
            </w:tcBorders>
            <w:noWrap w:val="0"/>
            <w:vAlign w:val="center"/>
          </w:tcPr>
          <w:p w14:paraId="1B128F9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在</w:t>
            </w:r>
            <w:r>
              <w:rPr>
                <w:rFonts w:hint="eastAsia" w:ascii="宋体" w:hAnsi="宋体" w:eastAsia="宋体" w:cs="宋体"/>
                <w:sz w:val="24"/>
                <w:highlight w:val="none"/>
                <w:lang w:val="en-US" w:eastAsia="zh-CN" w:bidi="ar"/>
              </w:rPr>
              <w:t>竞争性磋商公告同一网站</w:t>
            </w:r>
            <w:r>
              <w:rPr>
                <w:rFonts w:hint="eastAsia" w:ascii="宋体" w:hAnsi="宋体" w:cs="宋体"/>
                <w:sz w:val="24"/>
                <w:szCs w:val="24"/>
                <w:highlight w:val="none"/>
              </w:rPr>
              <w:t>同时进行公示。</w:t>
            </w:r>
          </w:p>
        </w:tc>
      </w:tr>
      <w:tr w14:paraId="301A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60E68E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35</w:t>
            </w:r>
          </w:p>
        </w:tc>
        <w:tc>
          <w:tcPr>
            <w:tcW w:w="2236" w:type="dxa"/>
            <w:gridSpan w:val="2"/>
            <w:tcBorders>
              <w:top w:val="single" w:color="auto" w:sz="4" w:space="0"/>
              <w:left w:val="nil"/>
              <w:bottom w:val="single" w:color="auto" w:sz="4" w:space="0"/>
              <w:right w:val="single" w:color="auto" w:sz="4" w:space="0"/>
            </w:tcBorders>
            <w:noWrap w:val="0"/>
            <w:vAlign w:val="center"/>
          </w:tcPr>
          <w:p w14:paraId="09002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履约保证金</w:t>
            </w:r>
          </w:p>
        </w:tc>
        <w:tc>
          <w:tcPr>
            <w:tcW w:w="6135" w:type="dxa"/>
            <w:tcBorders>
              <w:top w:val="single" w:color="auto" w:sz="4" w:space="0"/>
              <w:left w:val="nil"/>
              <w:bottom w:val="single" w:color="auto" w:sz="4" w:space="0"/>
              <w:right w:val="single" w:color="auto" w:sz="4" w:space="0"/>
            </w:tcBorders>
            <w:noWrap w:val="0"/>
            <w:vAlign w:val="center"/>
          </w:tcPr>
          <w:p w14:paraId="7D69F41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color w:val="auto"/>
                <w:sz w:val="24"/>
                <w:szCs w:val="24"/>
                <w:highlight w:val="none"/>
                <w:lang w:eastAsia="zh-CN"/>
              </w:rPr>
              <w:t>根据三门峡市财政局三</w:t>
            </w:r>
            <w:r>
              <w:rPr>
                <w:rFonts w:hint="eastAsia" w:ascii="宋体" w:hAnsi="宋体" w:eastAsia="宋体" w:cs="宋体"/>
                <w:color w:val="auto"/>
                <w:sz w:val="24"/>
                <w:szCs w:val="24"/>
                <w:highlight w:val="none"/>
                <w:lang w:eastAsia="zh-CN"/>
              </w:rPr>
              <w:t>财购【</w:t>
            </w:r>
            <w:r>
              <w:rPr>
                <w:rFonts w:hint="eastAsia" w:ascii="宋体" w:hAnsi="宋体" w:eastAsia="宋体" w:cs="宋体"/>
                <w:color w:val="auto"/>
                <w:sz w:val="24"/>
                <w:szCs w:val="24"/>
                <w:highlight w:val="none"/>
                <w:lang w:val="en-US" w:eastAsia="zh-CN"/>
              </w:rPr>
              <w:t>2021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14号文</w:t>
            </w:r>
            <w:r>
              <w:rPr>
                <w:rFonts w:hint="eastAsia"/>
                <w:color w:val="auto"/>
                <w:sz w:val="24"/>
                <w:szCs w:val="24"/>
                <w:highlight w:val="none"/>
                <w:lang w:val="en-US" w:eastAsia="zh-CN"/>
              </w:rPr>
              <w:t>的规定，</w:t>
            </w:r>
            <w:r>
              <w:rPr>
                <w:rFonts w:hint="eastAsia"/>
                <w:color w:val="auto"/>
                <w:sz w:val="24"/>
                <w:szCs w:val="24"/>
                <w:highlight w:val="none"/>
              </w:rPr>
              <w:t>本项目不收取履约</w:t>
            </w:r>
            <w:r>
              <w:rPr>
                <w:rFonts w:hint="eastAsia"/>
                <w:color w:val="auto"/>
                <w:sz w:val="24"/>
                <w:szCs w:val="24"/>
                <w:highlight w:val="none"/>
                <w:lang w:eastAsia="zh-CN"/>
              </w:rPr>
              <w:t>保证金</w:t>
            </w:r>
          </w:p>
        </w:tc>
      </w:tr>
      <w:tr w14:paraId="3956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43EFD0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kern w:val="0"/>
                <w:sz w:val="24"/>
                <w:szCs w:val="24"/>
                <w:highlight w:val="none"/>
                <w:lang w:val="en-US" w:eastAsia="zh-CN"/>
              </w:rPr>
            </w:pPr>
            <w:r>
              <w:rPr>
                <w:rFonts w:hint="eastAsia" w:ascii="宋体" w:hAnsi="宋体" w:cs="宋体"/>
                <w:sz w:val="24"/>
                <w:szCs w:val="24"/>
                <w:highlight w:val="none"/>
                <w:lang w:val="en-US" w:eastAsia="zh-CN"/>
              </w:rPr>
              <w:t>36</w:t>
            </w:r>
          </w:p>
        </w:tc>
        <w:tc>
          <w:tcPr>
            <w:tcW w:w="2236" w:type="dxa"/>
            <w:gridSpan w:val="2"/>
            <w:tcBorders>
              <w:top w:val="single" w:color="auto" w:sz="4" w:space="0"/>
              <w:left w:val="nil"/>
              <w:bottom w:val="single" w:color="auto" w:sz="4" w:space="0"/>
              <w:right w:val="single" w:color="auto" w:sz="4" w:space="0"/>
            </w:tcBorders>
            <w:noWrap w:val="0"/>
            <w:vAlign w:val="center"/>
          </w:tcPr>
          <w:p w14:paraId="4FE123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cs="Calibri" w:asciiTheme="minorEastAsia" w:hAnsiTheme="minorEastAsia" w:eastAsiaTheme="minorEastAsia"/>
                <w:sz w:val="24"/>
                <w:szCs w:val="24"/>
                <w:highlight w:val="none"/>
              </w:rPr>
              <w:t>签订合同时间</w:t>
            </w:r>
          </w:p>
        </w:tc>
        <w:tc>
          <w:tcPr>
            <w:tcW w:w="6135" w:type="dxa"/>
            <w:tcBorders>
              <w:top w:val="single" w:color="auto" w:sz="4" w:space="0"/>
              <w:left w:val="nil"/>
              <w:bottom w:val="single" w:color="auto" w:sz="4" w:space="0"/>
              <w:right w:val="single" w:color="auto" w:sz="4" w:space="0"/>
            </w:tcBorders>
            <w:noWrap w:val="0"/>
            <w:vAlign w:val="center"/>
          </w:tcPr>
          <w:p w14:paraId="429DC80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eastAsiaTheme="minorEastAsia"/>
                <w:color w:val="auto"/>
                <w:sz w:val="24"/>
                <w:szCs w:val="24"/>
                <w:highlight w:val="none"/>
                <w:lang w:eastAsia="zh-CN"/>
              </w:rPr>
            </w:pPr>
            <w:r>
              <w:rPr>
                <w:rFonts w:hint="eastAsia" w:cs="Calibri" w:asciiTheme="minorEastAsia" w:hAnsiTheme="minorEastAsia" w:eastAsiaTheme="minorEastAsia"/>
                <w:sz w:val="24"/>
                <w:szCs w:val="24"/>
                <w:highlight w:val="none"/>
              </w:rPr>
              <w:t>成交通知书发出后2个工作日内</w:t>
            </w:r>
          </w:p>
        </w:tc>
      </w:tr>
      <w:tr w14:paraId="700A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088E74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cs="宋体"/>
                <w:sz w:val="24"/>
                <w:szCs w:val="24"/>
                <w:highlight w:val="none"/>
                <w:lang w:val="en-US"/>
              </w:rPr>
            </w:pPr>
            <w:r>
              <w:rPr>
                <w:rFonts w:hint="eastAsia" w:ascii="宋体" w:hAnsi="宋体" w:cs="宋体"/>
                <w:sz w:val="24"/>
                <w:szCs w:val="24"/>
                <w:highlight w:val="none"/>
                <w:lang w:val="en-US" w:eastAsia="zh-CN"/>
              </w:rPr>
              <w:t>37</w:t>
            </w:r>
          </w:p>
        </w:tc>
        <w:tc>
          <w:tcPr>
            <w:tcW w:w="2236" w:type="dxa"/>
            <w:gridSpan w:val="2"/>
            <w:tcBorders>
              <w:top w:val="single" w:color="auto" w:sz="4" w:space="0"/>
              <w:left w:val="nil"/>
              <w:bottom w:val="single" w:color="auto" w:sz="4" w:space="0"/>
              <w:right w:val="single" w:color="auto" w:sz="4" w:space="0"/>
            </w:tcBorders>
            <w:noWrap w:val="0"/>
            <w:vAlign w:val="center"/>
          </w:tcPr>
          <w:p w14:paraId="417383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竞争性磋商文件的解释</w:t>
            </w:r>
          </w:p>
        </w:tc>
        <w:tc>
          <w:tcPr>
            <w:tcW w:w="6135" w:type="dxa"/>
            <w:tcBorders>
              <w:top w:val="single" w:color="auto" w:sz="4" w:space="0"/>
              <w:left w:val="nil"/>
              <w:bottom w:val="single" w:color="auto" w:sz="4" w:space="0"/>
              <w:right w:val="single" w:color="auto" w:sz="4" w:space="0"/>
            </w:tcBorders>
            <w:noWrap w:val="0"/>
            <w:vAlign w:val="center"/>
          </w:tcPr>
          <w:p w14:paraId="75968C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cs="宋体"/>
                <w:sz w:val="24"/>
                <w:szCs w:val="24"/>
                <w:highlight w:val="none"/>
              </w:rPr>
            </w:pPr>
            <w:r>
              <w:rPr>
                <w:rFonts w:hint="eastAsia" w:ascii="宋体" w:hAnsi="宋体" w:cs="宋体"/>
                <w:sz w:val="24"/>
                <w:szCs w:val="24"/>
                <w:highlight w:val="none"/>
              </w:rPr>
              <w:t>在符合相关法律法规的前题下，竞争性磋商文件的解释权归招标人所有。本竞争性磋商文件中其他部分内容与</w:t>
            </w:r>
            <w:r>
              <w:rPr>
                <w:rFonts w:hint="eastAsia" w:ascii="宋体" w:hAnsi="宋体" w:cs="宋体"/>
                <w:sz w:val="24"/>
                <w:szCs w:val="24"/>
                <w:highlight w:val="none"/>
                <w:lang w:eastAsia="zh-CN"/>
              </w:rPr>
              <w:t>投标人</w:t>
            </w:r>
            <w:r>
              <w:rPr>
                <w:rFonts w:hint="eastAsia" w:ascii="宋体" w:hAnsi="宋体" w:cs="宋体"/>
                <w:sz w:val="24"/>
                <w:szCs w:val="24"/>
                <w:highlight w:val="none"/>
              </w:rPr>
              <w:t>须知前附表不一致的，以</w:t>
            </w:r>
            <w:r>
              <w:rPr>
                <w:rFonts w:hint="eastAsia" w:ascii="宋体" w:hAnsi="宋体" w:cs="宋体"/>
                <w:sz w:val="24"/>
                <w:szCs w:val="24"/>
                <w:highlight w:val="none"/>
                <w:lang w:eastAsia="zh-CN"/>
              </w:rPr>
              <w:t>投标人</w:t>
            </w:r>
            <w:r>
              <w:rPr>
                <w:rFonts w:hint="eastAsia" w:ascii="宋体" w:hAnsi="宋体" w:cs="宋体"/>
                <w:sz w:val="24"/>
                <w:szCs w:val="24"/>
                <w:highlight w:val="none"/>
              </w:rPr>
              <w:t>须知前附表为准。</w:t>
            </w:r>
          </w:p>
        </w:tc>
      </w:tr>
      <w:tr w14:paraId="290B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681A8A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cs="宋体" w:eastAsiaTheme="minorEastAsia"/>
                <w:sz w:val="24"/>
                <w:szCs w:val="24"/>
                <w:highlight w:val="none"/>
                <w:lang w:val="en-US" w:eastAsia="zh-CN"/>
              </w:rPr>
            </w:pPr>
            <w:r>
              <w:rPr>
                <w:rFonts w:hint="eastAsia" w:ascii="宋体" w:hAnsi="宋体" w:cs="宋体"/>
                <w:sz w:val="24"/>
                <w:szCs w:val="24"/>
                <w:highlight w:val="none"/>
                <w:lang w:val="en-US" w:eastAsia="zh-CN"/>
              </w:rPr>
              <w:t>38</w:t>
            </w:r>
          </w:p>
        </w:tc>
        <w:tc>
          <w:tcPr>
            <w:tcW w:w="2236" w:type="dxa"/>
            <w:gridSpan w:val="2"/>
            <w:tcBorders>
              <w:top w:val="single" w:color="auto" w:sz="4" w:space="0"/>
              <w:left w:val="nil"/>
              <w:bottom w:val="single" w:color="auto" w:sz="4" w:space="0"/>
              <w:right w:val="single" w:color="auto" w:sz="4" w:space="0"/>
            </w:tcBorders>
            <w:noWrap w:val="0"/>
            <w:vAlign w:val="center"/>
          </w:tcPr>
          <w:p w14:paraId="0C22D9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知识产权</w:t>
            </w:r>
          </w:p>
        </w:tc>
        <w:tc>
          <w:tcPr>
            <w:tcW w:w="6135" w:type="dxa"/>
            <w:tcBorders>
              <w:top w:val="single" w:color="auto" w:sz="4" w:space="0"/>
              <w:left w:val="nil"/>
              <w:bottom w:val="single" w:color="auto" w:sz="4" w:space="0"/>
              <w:right w:val="single" w:color="auto" w:sz="4" w:space="0"/>
            </w:tcBorders>
            <w:noWrap w:val="0"/>
            <w:vAlign w:val="center"/>
          </w:tcPr>
          <w:p w14:paraId="4B24D28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构成本竞争性磋商文件各个组成部分的文件，未经招标人书面同意，</w:t>
            </w:r>
            <w:r>
              <w:rPr>
                <w:rFonts w:hint="eastAsia" w:ascii="宋体" w:hAnsi="宋体" w:cs="宋体"/>
                <w:sz w:val="24"/>
                <w:szCs w:val="24"/>
                <w:highlight w:val="none"/>
                <w:lang w:eastAsia="zh-CN"/>
              </w:rPr>
              <w:t>投标人</w:t>
            </w:r>
            <w:r>
              <w:rPr>
                <w:rFonts w:hint="eastAsia" w:ascii="宋体" w:hAnsi="宋体" w:cs="宋体"/>
                <w:sz w:val="24"/>
                <w:szCs w:val="24"/>
                <w:highlight w:val="none"/>
              </w:rPr>
              <w:t>不得擅自复印和用于非本招标项目所需的其他目的。招标人全部或者部分使用未中标人响应文件中的技术成果或技术方案时，需征得其书面同意，并不得擅自复印或提供给第三人。</w:t>
            </w:r>
          </w:p>
        </w:tc>
      </w:tr>
      <w:tr w14:paraId="60E7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7952F9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cs="宋体"/>
                <w:b/>
                <w:bCs/>
                <w:sz w:val="24"/>
                <w:szCs w:val="24"/>
                <w:highlight w:val="none"/>
                <w:lang w:val="en-US"/>
              </w:rPr>
            </w:pPr>
            <w:r>
              <w:rPr>
                <w:rFonts w:hint="eastAsia" w:ascii="宋体" w:hAnsi="宋体" w:cs="宋体"/>
                <w:sz w:val="24"/>
                <w:szCs w:val="24"/>
                <w:highlight w:val="none"/>
                <w:lang w:val="en-US" w:eastAsia="zh-CN"/>
              </w:rPr>
              <w:t>39</w:t>
            </w:r>
          </w:p>
        </w:tc>
        <w:tc>
          <w:tcPr>
            <w:tcW w:w="2236" w:type="dxa"/>
            <w:gridSpan w:val="2"/>
            <w:tcBorders>
              <w:top w:val="single" w:color="auto" w:sz="4" w:space="0"/>
              <w:left w:val="nil"/>
              <w:bottom w:val="single" w:color="auto" w:sz="4" w:space="0"/>
              <w:right w:val="single" w:color="auto" w:sz="4" w:space="0"/>
            </w:tcBorders>
            <w:noWrap w:val="0"/>
            <w:vAlign w:val="center"/>
          </w:tcPr>
          <w:p w14:paraId="2D41F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重新招标的其他情形</w:t>
            </w:r>
          </w:p>
        </w:tc>
        <w:tc>
          <w:tcPr>
            <w:tcW w:w="6135" w:type="dxa"/>
            <w:tcBorders>
              <w:top w:val="single" w:color="auto" w:sz="4" w:space="0"/>
              <w:left w:val="nil"/>
              <w:bottom w:val="single" w:color="auto" w:sz="4" w:space="0"/>
              <w:right w:val="single" w:color="auto" w:sz="4" w:space="0"/>
            </w:tcBorders>
            <w:noWrap w:val="0"/>
            <w:vAlign w:val="center"/>
          </w:tcPr>
          <w:p w14:paraId="20D1B37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除</w:t>
            </w:r>
            <w:r>
              <w:rPr>
                <w:rFonts w:hint="eastAsia" w:ascii="宋体" w:hAnsi="宋体" w:cs="宋体"/>
                <w:sz w:val="24"/>
                <w:szCs w:val="24"/>
                <w:highlight w:val="none"/>
                <w:lang w:eastAsia="zh-CN"/>
              </w:rPr>
              <w:t>投标人</w:t>
            </w:r>
            <w:r>
              <w:rPr>
                <w:rFonts w:hint="eastAsia" w:ascii="宋体" w:hAnsi="宋体" w:cs="宋体"/>
                <w:sz w:val="24"/>
                <w:szCs w:val="24"/>
                <w:highlight w:val="none"/>
              </w:rPr>
              <w:t>须知正文规定的情形外，除非已经产生中标候选人，在磋商有效期内同意延长磋商有效期的</w:t>
            </w:r>
            <w:r>
              <w:rPr>
                <w:rFonts w:hint="eastAsia" w:ascii="宋体" w:hAnsi="宋体" w:cs="宋体"/>
                <w:sz w:val="24"/>
                <w:szCs w:val="24"/>
                <w:highlight w:val="none"/>
                <w:lang w:eastAsia="zh-CN"/>
              </w:rPr>
              <w:t>投标人</w:t>
            </w:r>
            <w:r>
              <w:rPr>
                <w:rFonts w:hint="eastAsia" w:ascii="宋体" w:hAnsi="宋体" w:cs="宋体"/>
                <w:sz w:val="24"/>
                <w:szCs w:val="24"/>
                <w:highlight w:val="none"/>
              </w:rPr>
              <w:t>少于三个的，招标人应当依法重新招标。</w:t>
            </w:r>
          </w:p>
        </w:tc>
      </w:tr>
      <w:tr w14:paraId="1394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3A93956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40</w:t>
            </w:r>
          </w:p>
        </w:tc>
        <w:tc>
          <w:tcPr>
            <w:tcW w:w="2236" w:type="dxa"/>
            <w:gridSpan w:val="2"/>
            <w:tcBorders>
              <w:top w:val="single" w:color="auto" w:sz="4" w:space="0"/>
              <w:left w:val="nil"/>
              <w:bottom w:val="single" w:color="auto" w:sz="4" w:space="0"/>
              <w:right w:val="single" w:color="auto" w:sz="4" w:space="0"/>
            </w:tcBorders>
            <w:noWrap w:val="0"/>
            <w:vAlign w:val="center"/>
          </w:tcPr>
          <w:p w14:paraId="5C64ED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r>
              <w:rPr>
                <w:rFonts w:hint="eastAsia" w:ascii="宋体" w:hAnsi="宋体" w:cs="宋体"/>
                <w:sz w:val="24"/>
                <w:szCs w:val="24"/>
                <w:highlight w:val="none"/>
              </w:rPr>
              <w:t>监  督</w:t>
            </w:r>
          </w:p>
        </w:tc>
        <w:tc>
          <w:tcPr>
            <w:tcW w:w="6135" w:type="dxa"/>
            <w:tcBorders>
              <w:top w:val="single" w:color="auto" w:sz="4" w:space="0"/>
              <w:left w:val="nil"/>
              <w:bottom w:val="single" w:color="auto" w:sz="4" w:space="0"/>
              <w:right w:val="single" w:color="auto" w:sz="4" w:space="0"/>
            </w:tcBorders>
            <w:noWrap w:val="0"/>
            <w:vAlign w:val="center"/>
          </w:tcPr>
          <w:p w14:paraId="02442AE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cs="宋体"/>
                <w:sz w:val="24"/>
                <w:szCs w:val="24"/>
                <w:highlight w:val="none"/>
              </w:rPr>
              <w:t>本项目的招标磋商活动及其相关当事人应当接受有管辖权的招标投标行政监督部门依法实施的监督。</w:t>
            </w:r>
          </w:p>
        </w:tc>
      </w:tr>
      <w:tr w14:paraId="7547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op w:val="single" w:color="auto" w:sz="4" w:space="0"/>
              <w:left w:val="single" w:color="auto" w:sz="4" w:space="0"/>
              <w:bottom w:val="single" w:color="auto" w:sz="4" w:space="0"/>
              <w:right w:val="single" w:color="auto" w:sz="4" w:space="0"/>
            </w:tcBorders>
            <w:noWrap w:val="0"/>
            <w:vAlign w:val="center"/>
          </w:tcPr>
          <w:p w14:paraId="53B1AA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41</w:t>
            </w:r>
          </w:p>
        </w:tc>
        <w:tc>
          <w:tcPr>
            <w:tcW w:w="2236" w:type="dxa"/>
            <w:gridSpan w:val="2"/>
            <w:tcBorders>
              <w:top w:val="single" w:color="auto" w:sz="4" w:space="0"/>
              <w:left w:val="nil"/>
              <w:bottom w:val="single" w:color="auto" w:sz="4" w:space="0"/>
              <w:right w:val="single" w:color="auto" w:sz="4" w:space="0"/>
            </w:tcBorders>
            <w:noWrap w:val="0"/>
            <w:vAlign w:val="center"/>
          </w:tcPr>
          <w:p w14:paraId="6681F82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eastAsia="宋体" w:cs="宋体"/>
                <w:sz w:val="24"/>
                <w:highlight w:val="none"/>
              </w:rPr>
              <w:t>招标代理服务费</w:t>
            </w:r>
          </w:p>
        </w:tc>
        <w:tc>
          <w:tcPr>
            <w:tcW w:w="6135" w:type="dxa"/>
            <w:tcBorders>
              <w:top w:val="single" w:color="auto" w:sz="4" w:space="0"/>
              <w:left w:val="nil"/>
              <w:bottom w:val="single" w:color="auto" w:sz="4" w:space="0"/>
              <w:right w:val="single" w:color="auto" w:sz="4" w:space="0"/>
            </w:tcBorders>
            <w:noWrap w:val="0"/>
            <w:vAlign w:val="center"/>
          </w:tcPr>
          <w:p w14:paraId="38D053D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sz w:val="24"/>
                <w:szCs w:val="24"/>
                <w:highlight w:val="none"/>
              </w:rPr>
            </w:pPr>
            <w:r>
              <w:rPr>
                <w:rFonts w:hint="eastAsia" w:ascii="宋体" w:hAnsi="宋体" w:eastAsia="宋体" w:cs="宋体"/>
                <w:sz w:val="24"/>
                <w:highlight w:val="none"/>
              </w:rPr>
              <w:t>按照豫招协【2023】002号文规定计取，由中标人向招标代理机构缴纳</w:t>
            </w:r>
            <w:r>
              <w:rPr>
                <w:rFonts w:hint="eastAsia" w:ascii="宋体" w:hAnsi="宋体" w:eastAsia="宋体" w:cs="宋体"/>
                <w:sz w:val="24"/>
                <w:highlight w:val="none"/>
                <w:lang w:eastAsia="zh-CN"/>
              </w:rPr>
              <w:t>。</w:t>
            </w:r>
            <w:r>
              <w:rPr>
                <w:rFonts w:hint="eastAsia" w:ascii="宋体" w:hAnsi="宋体" w:eastAsia="宋体" w:cs="宋体"/>
                <w:sz w:val="24"/>
                <w:highlight w:val="none"/>
              </w:rPr>
              <w:t xml:space="preserve"> </w:t>
            </w:r>
          </w:p>
        </w:tc>
      </w:tr>
      <w:tr w14:paraId="7341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78" w:type="dxa"/>
            <w:gridSpan w:val="4"/>
            <w:tcBorders>
              <w:top w:val="single" w:color="auto" w:sz="4" w:space="0"/>
              <w:left w:val="single" w:color="auto" w:sz="4" w:space="0"/>
              <w:bottom w:val="single" w:color="auto" w:sz="4" w:space="0"/>
              <w:right w:val="single" w:color="auto" w:sz="4" w:space="0"/>
            </w:tcBorders>
            <w:noWrap w:val="0"/>
            <w:vAlign w:val="center"/>
          </w:tcPr>
          <w:p w14:paraId="50604E2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bCs/>
                <w:sz w:val="24"/>
                <w:szCs w:val="24"/>
                <w:highlight w:val="none"/>
              </w:rPr>
            </w:pPr>
            <w:r>
              <w:rPr>
                <w:rFonts w:hint="eastAsia" w:ascii="宋体" w:hAnsi="宋体" w:cs="宋体"/>
                <w:sz w:val="24"/>
                <w:szCs w:val="24"/>
                <w:highlight w:val="none"/>
              </w:rPr>
              <w:t>电子化交易注意事项</w:t>
            </w:r>
          </w:p>
        </w:tc>
      </w:tr>
      <w:tr w14:paraId="721B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1" w:type="dxa"/>
            <w:gridSpan w:val="2"/>
            <w:tcBorders>
              <w:top w:val="single" w:color="auto" w:sz="4" w:space="0"/>
              <w:left w:val="single" w:color="auto" w:sz="4" w:space="0"/>
              <w:bottom w:val="single" w:color="auto" w:sz="4" w:space="0"/>
              <w:right w:val="single" w:color="auto" w:sz="4" w:space="0"/>
            </w:tcBorders>
            <w:noWrap w:val="0"/>
            <w:vAlign w:val="center"/>
          </w:tcPr>
          <w:p w14:paraId="01FEB7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cs="宋体"/>
                <w:sz w:val="24"/>
                <w:szCs w:val="24"/>
                <w:highlight w:val="none"/>
              </w:rPr>
            </w:pPr>
          </w:p>
        </w:tc>
        <w:tc>
          <w:tcPr>
            <w:tcW w:w="8347" w:type="dxa"/>
            <w:gridSpan w:val="2"/>
            <w:tcBorders>
              <w:top w:val="single" w:color="auto" w:sz="4" w:space="0"/>
              <w:left w:val="nil"/>
              <w:bottom w:val="single" w:color="auto" w:sz="4" w:space="0"/>
              <w:right w:val="single" w:color="auto" w:sz="4" w:space="0"/>
            </w:tcBorders>
            <w:noWrap w:val="0"/>
            <w:vAlign w:val="center"/>
          </w:tcPr>
          <w:p w14:paraId="3A28357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具体要求：本项目为电子化、无纸化交易项目，响应文件是</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通过中心磋商响应文件制作系统制作，并经过签章和加密后生成的电子版磋商响应文件。</w:t>
            </w:r>
          </w:p>
          <w:p w14:paraId="4F5FB7A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color w:val="auto"/>
                <w:sz w:val="24"/>
                <w:highlight w:val="none"/>
              </w:rPr>
            </w:pPr>
            <w:r>
              <w:rPr>
                <w:rFonts w:hint="eastAsia" w:ascii="宋体" w:hAnsi="宋体" w:cs="宋体"/>
                <w:b/>
                <w:color w:val="auto"/>
                <w:sz w:val="24"/>
                <w:highlight w:val="none"/>
              </w:rPr>
              <w:t>一、电子化投标</w:t>
            </w:r>
          </w:p>
          <w:p w14:paraId="36E4FB3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（一）网上磋商保证金的缴纳</w:t>
            </w:r>
          </w:p>
          <w:p w14:paraId="28ADAD4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本项目不收取磋商保证金。</w:t>
            </w:r>
          </w:p>
          <w:p w14:paraId="2C70AF9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（二）电子化</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的签章</w:t>
            </w:r>
          </w:p>
          <w:p w14:paraId="75C492A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在生成电子化磋商响应文件后，应对电子化磋商响应文件进行签章，未进行签章的视为无效投标。</w:t>
            </w:r>
          </w:p>
          <w:p w14:paraId="1F55F9F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b/>
                <w:color w:val="auto"/>
                <w:sz w:val="24"/>
                <w:highlight w:val="none"/>
              </w:rPr>
              <w:t>竞争性磋商文件中要求磋商响应</w:t>
            </w:r>
            <w:r>
              <w:rPr>
                <w:rFonts w:hint="eastAsia" w:ascii="宋体" w:hAnsi="宋体" w:cs="宋体"/>
                <w:b/>
                <w:color w:val="auto"/>
                <w:sz w:val="24"/>
                <w:highlight w:val="none"/>
                <w:lang w:eastAsia="zh-CN"/>
              </w:rPr>
              <w:t>投标人</w:t>
            </w:r>
            <w:r>
              <w:rPr>
                <w:rFonts w:hint="eastAsia" w:ascii="宋体" w:hAnsi="宋体" w:cs="宋体"/>
                <w:b/>
                <w:color w:val="auto"/>
                <w:sz w:val="24"/>
                <w:highlight w:val="none"/>
              </w:rPr>
              <w:t>盖章的，以签</w:t>
            </w:r>
            <w:r>
              <w:rPr>
                <w:rFonts w:hint="eastAsia" w:ascii="宋体" w:hAnsi="宋体" w:cs="宋体"/>
                <w:b/>
                <w:color w:val="auto"/>
                <w:sz w:val="24"/>
                <w:highlight w:val="none"/>
                <w:lang w:eastAsia="zh-CN"/>
              </w:rPr>
              <w:t>公章电子签章</w:t>
            </w:r>
            <w:r>
              <w:rPr>
                <w:rFonts w:hint="eastAsia" w:ascii="宋体" w:hAnsi="宋体" w:cs="宋体"/>
                <w:b/>
                <w:color w:val="auto"/>
                <w:sz w:val="24"/>
                <w:highlight w:val="none"/>
              </w:rPr>
              <w:t>为准；要求法定代表人或授权代理人签章的，以签盖法定代表人签章为准</w:t>
            </w:r>
            <w:r>
              <w:rPr>
                <w:rFonts w:hint="eastAsia" w:ascii="宋体" w:hAnsi="宋体" w:cs="宋体"/>
                <w:color w:val="auto"/>
                <w:sz w:val="24"/>
                <w:highlight w:val="none"/>
              </w:rPr>
              <w:t>。</w:t>
            </w:r>
          </w:p>
          <w:p w14:paraId="5EF7684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color w:val="auto"/>
                <w:sz w:val="24"/>
                <w:highlight w:val="none"/>
              </w:rPr>
            </w:pPr>
            <w:r>
              <w:rPr>
                <w:rFonts w:hint="eastAsia" w:ascii="宋体" w:hAnsi="宋体" w:cs="宋体"/>
                <w:color w:val="auto"/>
                <w:sz w:val="24"/>
                <w:highlight w:val="none"/>
              </w:rPr>
              <w:t>（三）电子化磋商响应文件的格式及上传</w:t>
            </w:r>
          </w:p>
          <w:p w14:paraId="2FC3E42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所上传的电子化磋商响应文件，应是通过中心</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制作系统制作的（</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制作工具下载地址：</w:t>
            </w:r>
            <w:r>
              <w:rPr>
                <w:rFonts w:hint="eastAsia"/>
                <w:color w:val="auto"/>
                <w:sz w:val="24"/>
                <w:szCs w:val="24"/>
                <w:highlight w:val="none"/>
              </w:rPr>
              <w:t>https://download.bqpoint.com/download/downloaddetail.html?SourceFrom=Ztb&amp;ZtbSoftXiaQuCode=1506&amp;ZtbSoftType=tballinclusive</w:t>
            </w:r>
            <w:r>
              <w:rPr>
                <w:rFonts w:hint="eastAsia" w:ascii="宋体" w:hAnsi="宋体" w:cs="宋体"/>
                <w:color w:val="auto"/>
                <w:sz w:val="24"/>
                <w:highlight w:val="none"/>
              </w:rPr>
              <w:t>），经过签章和加密后生成的电子版磋商响应文件。其中包含用于磋商响应文件上传的主文件（后缀为.smxtf）和用于应急补救的磋商响应文件备份文件（后缀为.nsmxtf）。备份文件主要用于电子化开标出现技术问题后的补救。</w:t>
            </w:r>
          </w:p>
          <w:p w14:paraId="3268F44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电子化磋商响应文件具体制作教材请</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点击以下链接学习http://gzjy.smx.gov.cn/SMX/InformationCenter/NewsDetail.do?CID=fdd6c8fc-bb0a-4c07-8715-d29609fc7a80&amp;ID=3061a14f-cf3f-4cdd-aad4-7e2873151413</w:t>
            </w:r>
          </w:p>
          <w:p w14:paraId="3385D3B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color w:val="auto"/>
                <w:sz w:val="24"/>
                <w:highlight w:val="none"/>
              </w:rPr>
            </w:pPr>
            <w:r>
              <w:rPr>
                <w:rFonts w:hint="eastAsia" w:ascii="宋体" w:hAnsi="宋体" w:cs="宋体"/>
                <w:b/>
                <w:color w:val="auto"/>
                <w:sz w:val="24"/>
                <w:highlight w:val="none"/>
              </w:rPr>
              <w:t>注：</w:t>
            </w:r>
            <w:r>
              <w:rPr>
                <w:rFonts w:hint="eastAsia" w:ascii="宋体" w:hAnsi="宋体" w:cs="宋体"/>
                <w:b/>
                <w:color w:val="auto"/>
                <w:sz w:val="24"/>
                <w:highlight w:val="none"/>
                <w:lang w:eastAsia="zh-CN"/>
              </w:rPr>
              <w:t>投标人</w:t>
            </w:r>
            <w:r>
              <w:rPr>
                <w:rFonts w:hint="eastAsia" w:ascii="宋体" w:hAnsi="宋体" w:cs="宋体"/>
                <w:b/>
                <w:color w:val="auto"/>
                <w:sz w:val="24"/>
                <w:highlight w:val="none"/>
              </w:rPr>
              <w:t>投报多个标段的，需要每个标段单独制作电子磋商响应文件。</w:t>
            </w:r>
          </w:p>
          <w:p w14:paraId="04433FB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2、电子化磋商响应文件应在</w:t>
            </w:r>
            <w:r>
              <w:rPr>
                <w:rFonts w:hint="eastAsia" w:ascii="宋体" w:hAnsi="宋体" w:cs="宋体"/>
                <w:color w:val="auto"/>
                <w:sz w:val="24"/>
                <w:highlight w:val="none"/>
                <w:lang w:eastAsia="zh-CN"/>
              </w:rPr>
              <w:t>磋商</w:t>
            </w:r>
            <w:r>
              <w:rPr>
                <w:rFonts w:hint="eastAsia" w:ascii="宋体" w:hAnsi="宋体" w:cs="宋体"/>
                <w:color w:val="auto"/>
                <w:sz w:val="24"/>
                <w:highlight w:val="none"/>
              </w:rPr>
              <w:t>时间前成功上传至三门峡市公共资源电子化交易系统。至</w:t>
            </w:r>
            <w:r>
              <w:rPr>
                <w:rFonts w:hint="eastAsia" w:ascii="宋体" w:hAnsi="宋体" w:cs="宋体"/>
                <w:color w:val="auto"/>
                <w:sz w:val="24"/>
                <w:highlight w:val="none"/>
                <w:lang w:eastAsia="zh-CN"/>
              </w:rPr>
              <w:t>磋商</w:t>
            </w:r>
            <w:r>
              <w:rPr>
                <w:rFonts w:hint="eastAsia" w:ascii="宋体" w:hAnsi="宋体" w:cs="宋体"/>
                <w:color w:val="auto"/>
                <w:sz w:val="24"/>
                <w:highlight w:val="none"/>
              </w:rPr>
              <w:t>时间止，仍未上传成功的电子化磋商响应文件将不予接收。</w:t>
            </w:r>
          </w:p>
          <w:p w14:paraId="0DDDCB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b/>
                <w:color w:val="auto"/>
                <w:sz w:val="24"/>
                <w:highlight w:val="none"/>
              </w:rPr>
              <w:t>注：</w:t>
            </w:r>
            <w:r>
              <w:rPr>
                <w:rFonts w:hint="eastAsia" w:ascii="宋体" w:hAnsi="宋体" w:cs="宋体"/>
                <w:color w:val="auto"/>
                <w:sz w:val="24"/>
                <w:highlight w:val="none"/>
              </w:rPr>
              <w:t>如按照电子化投标操作教材制作完成的电子化磋商响应文件无法上传的，</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应在</w:t>
            </w:r>
            <w:r>
              <w:rPr>
                <w:rFonts w:hint="eastAsia" w:ascii="宋体" w:hAnsi="宋体" w:cs="宋体"/>
                <w:b/>
                <w:color w:val="auto"/>
                <w:sz w:val="24"/>
                <w:highlight w:val="none"/>
                <w:lang w:eastAsia="zh-CN"/>
              </w:rPr>
              <w:t>磋商</w:t>
            </w:r>
            <w:r>
              <w:rPr>
                <w:rFonts w:hint="eastAsia" w:ascii="宋体" w:hAnsi="宋体" w:cs="宋体"/>
                <w:b/>
                <w:color w:val="auto"/>
                <w:sz w:val="24"/>
                <w:highlight w:val="none"/>
              </w:rPr>
              <w:t>时间前尽早的</w:t>
            </w:r>
            <w:r>
              <w:rPr>
                <w:rFonts w:hint="eastAsia" w:ascii="宋体" w:hAnsi="宋体" w:cs="宋体"/>
                <w:color w:val="auto"/>
                <w:sz w:val="24"/>
                <w:highlight w:val="none"/>
              </w:rPr>
              <w:t>联系中心技术人员，以便有充分的时间进行处理。</w:t>
            </w:r>
            <w:r>
              <w:rPr>
                <w:rFonts w:hint="eastAsia" w:ascii="宋体" w:hAnsi="宋体" w:cs="宋体"/>
                <w:b/>
                <w:color w:val="auto"/>
                <w:sz w:val="24"/>
                <w:highlight w:val="none"/>
                <w:lang w:eastAsia="zh-CN"/>
              </w:rPr>
              <w:t>投标人</w:t>
            </w:r>
            <w:r>
              <w:rPr>
                <w:rFonts w:hint="eastAsia" w:ascii="宋体" w:hAnsi="宋体" w:cs="宋体"/>
                <w:b/>
                <w:color w:val="auto"/>
                <w:sz w:val="24"/>
                <w:highlight w:val="none"/>
              </w:rPr>
              <w:t>应充分考虑到处理技术问题和上传数据等工作所需的时间问题，磋商响应文件未在</w:t>
            </w:r>
            <w:r>
              <w:rPr>
                <w:rFonts w:hint="eastAsia" w:ascii="宋体" w:hAnsi="宋体" w:cs="宋体"/>
                <w:b/>
                <w:color w:val="auto"/>
                <w:sz w:val="24"/>
                <w:highlight w:val="none"/>
                <w:lang w:eastAsia="zh-CN"/>
              </w:rPr>
              <w:t>磋商</w:t>
            </w:r>
            <w:r>
              <w:rPr>
                <w:rFonts w:hint="eastAsia" w:ascii="宋体" w:hAnsi="宋体" w:cs="宋体"/>
                <w:b/>
                <w:color w:val="auto"/>
                <w:sz w:val="24"/>
                <w:highlight w:val="none"/>
              </w:rPr>
              <w:t>时间前成功上传的，其磋商响应文件不予接收。</w:t>
            </w:r>
          </w:p>
          <w:p w14:paraId="0DEF217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技术联系电话：0398-3117871</w:t>
            </w:r>
          </w:p>
          <w:p w14:paraId="3A024EC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新点客服电话：4009980000</w:t>
            </w:r>
          </w:p>
          <w:p w14:paraId="07573D8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lang w:eastAsia="zh-CN"/>
              </w:rPr>
            </w:pPr>
            <w:r>
              <w:rPr>
                <w:rFonts w:hint="eastAsia" w:ascii="宋体" w:hAnsi="宋体" w:cs="宋体"/>
                <w:color w:val="auto"/>
                <w:sz w:val="24"/>
                <w:highlight w:val="none"/>
              </w:rPr>
              <w:t>（四）电子化项目开标、解密、唱标、</w:t>
            </w:r>
            <w:r>
              <w:rPr>
                <w:rFonts w:hint="eastAsia" w:ascii="宋体" w:hAnsi="宋体" w:cs="宋体"/>
                <w:color w:val="auto"/>
                <w:sz w:val="24"/>
                <w:highlight w:val="none"/>
                <w:lang w:eastAsia="zh-CN"/>
              </w:rPr>
              <w:t>评审</w:t>
            </w:r>
          </w:p>
          <w:p w14:paraId="1F06A4E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1、本项目采用</w:t>
            </w:r>
            <w:r>
              <w:rPr>
                <w:rFonts w:hint="eastAsia" w:ascii="宋体" w:hAnsi="宋体" w:cs="宋体"/>
                <w:b/>
                <w:color w:val="auto"/>
                <w:sz w:val="24"/>
                <w:highlight w:val="none"/>
              </w:rPr>
              <w:t>电子化、无纸化</w:t>
            </w:r>
            <w:r>
              <w:rPr>
                <w:rFonts w:hint="eastAsia" w:ascii="宋体" w:hAnsi="宋体" w:cs="宋体"/>
                <w:color w:val="auto"/>
                <w:sz w:val="24"/>
                <w:highlight w:val="none"/>
              </w:rPr>
              <w:t>进行</w:t>
            </w:r>
            <w:r>
              <w:rPr>
                <w:rFonts w:hint="eastAsia" w:ascii="宋体" w:hAnsi="宋体" w:cs="宋体"/>
                <w:color w:val="auto"/>
                <w:sz w:val="24"/>
                <w:highlight w:val="none"/>
                <w:lang w:eastAsia="zh-CN"/>
              </w:rPr>
              <w:t>采购</w:t>
            </w:r>
            <w:r>
              <w:rPr>
                <w:rFonts w:hint="eastAsia" w:ascii="宋体" w:hAnsi="宋体" w:cs="宋体"/>
                <w:color w:val="auto"/>
                <w:sz w:val="24"/>
                <w:highlight w:val="none"/>
              </w:rPr>
              <w:t>，</w:t>
            </w:r>
            <w:r>
              <w:rPr>
                <w:rFonts w:hint="eastAsia" w:ascii="宋体" w:hAnsi="宋体" w:cs="宋体"/>
                <w:color w:val="auto"/>
                <w:sz w:val="24"/>
                <w:highlight w:val="none"/>
                <w:lang w:eastAsia="zh-CN"/>
              </w:rPr>
              <w:t>磋商</w:t>
            </w:r>
            <w:r>
              <w:rPr>
                <w:rFonts w:hint="eastAsia" w:ascii="宋体" w:hAnsi="宋体" w:cs="宋体"/>
                <w:color w:val="auto"/>
                <w:sz w:val="24"/>
                <w:highlight w:val="none"/>
              </w:rPr>
              <w:t>当日，</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无需到现场参加</w:t>
            </w:r>
            <w:r>
              <w:rPr>
                <w:rFonts w:hint="eastAsia" w:ascii="宋体" w:hAnsi="宋体" w:cs="宋体"/>
                <w:color w:val="auto"/>
                <w:sz w:val="24"/>
                <w:highlight w:val="none"/>
                <w:lang w:eastAsia="zh-CN"/>
              </w:rPr>
              <w:t>磋商</w:t>
            </w:r>
            <w:r>
              <w:rPr>
                <w:rFonts w:hint="eastAsia" w:ascii="宋体" w:hAnsi="宋体" w:cs="宋体"/>
                <w:color w:val="auto"/>
                <w:sz w:val="24"/>
                <w:highlight w:val="none"/>
              </w:rPr>
              <w:t>会议，</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应当在</w:t>
            </w:r>
            <w:r>
              <w:rPr>
                <w:rFonts w:hint="eastAsia" w:ascii="宋体" w:hAnsi="宋体" w:cs="宋体"/>
                <w:color w:val="auto"/>
                <w:sz w:val="24"/>
                <w:highlight w:val="none"/>
                <w:lang w:eastAsia="zh-CN"/>
              </w:rPr>
              <w:t>磋商</w:t>
            </w:r>
            <w:r>
              <w:rPr>
                <w:rFonts w:hint="eastAsia" w:ascii="宋体" w:hAnsi="宋体" w:cs="宋体"/>
                <w:color w:val="auto"/>
                <w:sz w:val="24"/>
                <w:highlight w:val="none"/>
              </w:rPr>
              <w:t>时间前，登陆不见面开标大厅选择登陆三门峡市公共资源电子招投标系统进行登陆（网址为</w:t>
            </w:r>
            <w:r>
              <w:rPr>
                <w:rFonts w:hint="eastAsia" w:ascii="宋体" w:hAnsi="宋体"/>
                <w:color w:val="auto"/>
                <w:sz w:val="24"/>
                <w:szCs w:val="24"/>
                <w:highlight w:val="none"/>
              </w:rPr>
              <w:t>http://120.194.249.36:10094/BidOpening/bidopeninghallaction/hall/login</w:t>
            </w:r>
            <w:r>
              <w:rPr>
                <w:rFonts w:hint="eastAsia" w:ascii="宋体" w:hAnsi="宋体" w:cs="宋体"/>
                <w:color w:val="auto"/>
                <w:sz w:val="24"/>
                <w:highlight w:val="none"/>
              </w:rPr>
              <w:t>）,在线准时参加开标活动并进行磋商响应文件解密等。</w:t>
            </w:r>
          </w:p>
          <w:p w14:paraId="1ADFBCC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2、电子化磋商响应文件采用一次加密方式。开标时，由</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使用CA 证书，在规定时间内对其电子化磋商响应文件进行解密。每位</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的解密时间为开标时间起30 分钟内，如在规定时间内未完成解密的，其磋商响应文件不予开标、唱标。</w:t>
            </w:r>
          </w:p>
          <w:p w14:paraId="30F4F48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color w:val="auto"/>
                <w:sz w:val="24"/>
                <w:highlight w:val="none"/>
              </w:rPr>
            </w:pPr>
            <w:r>
              <w:rPr>
                <w:rFonts w:hint="eastAsia" w:ascii="宋体" w:hAnsi="宋体" w:cs="宋体"/>
                <w:color w:val="auto"/>
                <w:sz w:val="24"/>
                <w:highlight w:val="none"/>
              </w:rPr>
              <w:t>3、电子化磋商响应文件解密异常的处理</w:t>
            </w:r>
          </w:p>
          <w:p w14:paraId="78F168B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如出现</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的电子磋商响应文件无法解密等异常情况，</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应及时致电中介服务机构说明。磋商响应文件异常，按以下步骤进行处理：</w:t>
            </w:r>
          </w:p>
          <w:p w14:paraId="26BA48B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（1）首先由技术人员进行问题排查。</w:t>
            </w:r>
          </w:p>
          <w:p w14:paraId="6F3E270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（2）经技术人员排查后，是</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文件自身问题导致磋商响应文件无法解密的，该磋商响应文件将不予接收、解密和唱标。开标会议继续进行。</w:t>
            </w:r>
          </w:p>
          <w:p w14:paraId="4ECCFCE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3）经技术人员排查后，如果是电子化交易系统问题造成磋商响应文件无法解密的，将由技术人员对问题进行处理。如短时间内问题无法解决的，将由中介服务机构向监督部门申请，经监督部门同意后，暂停开标会议，待问题解决后继续开标。</w:t>
            </w:r>
          </w:p>
          <w:p w14:paraId="10B6506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4、待所有</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磋商响应文件解密完成后，由中介服务机构操作，对所有已解密磋商响应文件进行唱标。</w:t>
            </w:r>
          </w:p>
          <w:p w14:paraId="281B521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b/>
                <w:color w:val="auto"/>
                <w:sz w:val="24"/>
                <w:highlight w:val="none"/>
                <w:lang w:eastAsia="zh-CN"/>
              </w:rPr>
              <w:t>投标人</w:t>
            </w:r>
            <w:r>
              <w:rPr>
                <w:rFonts w:hint="eastAsia" w:ascii="宋体" w:hAnsi="宋体" w:cs="宋体"/>
                <w:b/>
                <w:color w:val="auto"/>
                <w:sz w:val="24"/>
                <w:highlight w:val="none"/>
              </w:rPr>
              <w:t>应保证在</w:t>
            </w:r>
            <w:r>
              <w:rPr>
                <w:rFonts w:hint="eastAsia" w:ascii="宋体" w:hAnsi="宋体" w:cs="宋体"/>
                <w:b/>
                <w:color w:val="auto"/>
                <w:sz w:val="24"/>
                <w:highlight w:val="none"/>
                <w:lang w:eastAsia="zh-CN"/>
              </w:rPr>
              <w:t>磋商</w:t>
            </w:r>
            <w:r>
              <w:rPr>
                <w:rFonts w:hint="eastAsia" w:ascii="宋体" w:hAnsi="宋体" w:cs="宋体"/>
                <w:b/>
                <w:color w:val="auto"/>
                <w:sz w:val="24"/>
                <w:highlight w:val="none"/>
              </w:rPr>
              <w:t>期间电话、电脑、网络能够正常工作，</w:t>
            </w:r>
            <w:r>
              <w:rPr>
                <w:rFonts w:hint="eastAsia" w:ascii="宋体" w:hAnsi="宋体" w:cs="宋体"/>
                <w:b/>
                <w:color w:val="auto"/>
                <w:sz w:val="24"/>
                <w:highlight w:val="none"/>
                <w:lang w:eastAsia="zh-CN"/>
              </w:rPr>
              <w:t>投标人</w:t>
            </w:r>
            <w:r>
              <w:rPr>
                <w:rFonts w:hint="eastAsia" w:ascii="宋体" w:hAnsi="宋体" w:cs="宋体"/>
                <w:b/>
                <w:color w:val="auto"/>
                <w:sz w:val="24"/>
                <w:highlight w:val="none"/>
              </w:rPr>
              <w:t>因停电、电脑病毒、网络堵塞等原因，未在规定的解密时间内对响应文件进行解密的，其响应文件不予接收、唱标。</w:t>
            </w:r>
          </w:p>
          <w:p w14:paraId="1162283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lang w:eastAsia="zh-CN"/>
              </w:rPr>
              <w:t>磋商</w:t>
            </w:r>
            <w:r>
              <w:rPr>
                <w:rFonts w:hint="eastAsia" w:ascii="宋体" w:hAnsi="宋体" w:cs="宋体"/>
                <w:color w:val="auto"/>
                <w:sz w:val="24"/>
                <w:highlight w:val="none"/>
              </w:rPr>
              <w:t>时</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可登录到交易系统中在开标解密栏中点击报价一览表查看自己的</w:t>
            </w:r>
            <w:r>
              <w:rPr>
                <w:rFonts w:hint="eastAsia" w:ascii="宋体" w:hAnsi="宋体" w:cs="宋体"/>
                <w:color w:val="auto"/>
                <w:sz w:val="24"/>
                <w:highlight w:val="none"/>
                <w:lang w:eastAsia="zh-CN"/>
              </w:rPr>
              <w:t>磋商</w:t>
            </w:r>
            <w:r>
              <w:rPr>
                <w:rFonts w:hint="eastAsia" w:ascii="宋体" w:hAnsi="宋体" w:cs="宋体"/>
                <w:color w:val="auto"/>
                <w:sz w:val="24"/>
                <w:highlight w:val="none"/>
              </w:rPr>
              <w:t>报价。如对自己的唱标内容有异议的，应在</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解密成功后10分钟内向中介服务机构电话质疑。中介服务机构应在监督人员的监督下进行免提通话接受</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的质疑并做好书面记录。</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未在规定时间内提出质疑的，视为认可唱标内容。</w:t>
            </w:r>
          </w:p>
          <w:p w14:paraId="6395BD5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color w:val="auto"/>
                <w:sz w:val="24"/>
                <w:highlight w:val="none"/>
                <w:lang w:eastAsia="zh-CN"/>
              </w:rPr>
              <w:t>评审</w:t>
            </w:r>
            <w:r>
              <w:rPr>
                <w:rFonts w:hint="eastAsia" w:ascii="宋体" w:hAnsi="宋体" w:cs="宋体"/>
                <w:color w:val="auto"/>
                <w:sz w:val="24"/>
                <w:highlight w:val="none"/>
              </w:rPr>
              <w:t>时，</w:t>
            </w:r>
            <w:r>
              <w:rPr>
                <w:rFonts w:hint="eastAsia" w:ascii="宋体" w:hAnsi="宋体" w:cs="宋体"/>
                <w:color w:val="auto"/>
                <w:sz w:val="24"/>
                <w:highlight w:val="none"/>
                <w:lang w:eastAsia="zh-CN"/>
              </w:rPr>
              <w:t>磋商小组</w:t>
            </w:r>
            <w:r>
              <w:rPr>
                <w:rFonts w:hint="eastAsia" w:ascii="宋体" w:hAnsi="宋体" w:cs="宋体"/>
                <w:color w:val="auto"/>
                <w:sz w:val="24"/>
                <w:highlight w:val="none"/>
              </w:rPr>
              <w:t>对电子化磋商响应文件有质疑的，将通过电子化交易系统对</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发起质疑，并在监督人员的监督下，用免提模式致电需要答复的</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对质疑进行回复。</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的回复文件必须以经过</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和其法定代表人签章的PDF格式文件为准，并通过电子化交易系统提交至</w:t>
            </w:r>
            <w:r>
              <w:rPr>
                <w:rFonts w:hint="eastAsia" w:ascii="宋体" w:hAnsi="宋体" w:cs="宋体"/>
                <w:color w:val="auto"/>
                <w:sz w:val="24"/>
                <w:highlight w:val="none"/>
                <w:lang w:eastAsia="zh-CN"/>
              </w:rPr>
              <w:t>磋商小组</w:t>
            </w:r>
            <w:r>
              <w:rPr>
                <w:rFonts w:hint="eastAsia" w:ascii="宋体" w:hAnsi="宋体" w:cs="宋体"/>
                <w:color w:val="auto"/>
                <w:sz w:val="24"/>
                <w:highlight w:val="none"/>
              </w:rPr>
              <w:t>。</w:t>
            </w:r>
          </w:p>
          <w:p w14:paraId="3D97D07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color w:val="auto"/>
                <w:sz w:val="24"/>
                <w:highlight w:val="none"/>
              </w:rPr>
            </w:pPr>
            <w:r>
              <w:rPr>
                <w:rFonts w:hint="eastAsia" w:ascii="宋体" w:hAnsi="宋体" w:cs="宋体"/>
                <w:color w:val="auto"/>
                <w:sz w:val="24"/>
                <w:highlight w:val="none"/>
              </w:rPr>
              <w:t>7、如</w:t>
            </w:r>
            <w:r>
              <w:rPr>
                <w:rFonts w:hint="eastAsia" w:ascii="宋体" w:hAnsi="宋体" w:cs="宋体"/>
                <w:color w:val="auto"/>
                <w:sz w:val="24"/>
                <w:highlight w:val="none"/>
                <w:lang w:eastAsia="zh-CN"/>
              </w:rPr>
              <w:t>磋商小组</w:t>
            </w:r>
            <w:r>
              <w:rPr>
                <w:rFonts w:hint="eastAsia" w:ascii="宋体" w:hAnsi="宋体" w:cs="宋体"/>
                <w:color w:val="auto"/>
                <w:sz w:val="24"/>
                <w:highlight w:val="none"/>
              </w:rPr>
              <w:t>对需要回复的</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连续三次致电未接通的，视为</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放弃回复，</w:t>
            </w:r>
            <w:r>
              <w:rPr>
                <w:rFonts w:hint="eastAsia" w:ascii="宋体" w:hAnsi="宋体" w:cs="宋体"/>
                <w:color w:val="auto"/>
                <w:sz w:val="24"/>
                <w:highlight w:val="none"/>
                <w:lang w:eastAsia="zh-CN"/>
              </w:rPr>
              <w:t>磋商小组</w:t>
            </w:r>
            <w:r>
              <w:rPr>
                <w:rFonts w:hint="eastAsia" w:ascii="宋体" w:hAnsi="宋体" w:cs="宋体"/>
                <w:color w:val="auto"/>
                <w:sz w:val="24"/>
                <w:highlight w:val="none"/>
              </w:rPr>
              <w:t>将自行对需要回复的内容进行认定。</w:t>
            </w:r>
          </w:p>
          <w:p w14:paraId="6495AC8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二、相关内容</w:t>
            </w:r>
          </w:p>
          <w:p w14:paraId="0B9FC25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bCs/>
                <w:sz w:val="24"/>
                <w:highlight w:val="none"/>
              </w:rPr>
            </w:pPr>
            <w:r>
              <w:rPr>
                <w:rFonts w:hint="eastAsia" w:ascii="宋体" w:hAnsi="宋体" w:cs="宋体"/>
                <w:b/>
                <w:bCs/>
                <w:sz w:val="24"/>
                <w:highlight w:val="none"/>
              </w:rPr>
              <w:t>本项目实行资格后审，竞争性磋商文件中要求</w:t>
            </w:r>
            <w:r>
              <w:rPr>
                <w:rFonts w:hint="eastAsia" w:ascii="宋体" w:hAnsi="宋体" w:cs="宋体"/>
                <w:b/>
                <w:bCs/>
                <w:sz w:val="24"/>
                <w:highlight w:val="none"/>
                <w:lang w:eastAsia="zh-CN"/>
              </w:rPr>
              <w:t>投标人</w:t>
            </w:r>
            <w:r>
              <w:rPr>
                <w:rFonts w:hint="eastAsia" w:ascii="宋体" w:hAnsi="宋体" w:cs="宋体"/>
                <w:b/>
                <w:bCs/>
                <w:sz w:val="24"/>
                <w:highlight w:val="none"/>
              </w:rPr>
              <w:t>提交相关资料原件的，根据优化营商环境的要求，评标时以投标文件为准：</w:t>
            </w:r>
          </w:p>
          <w:p w14:paraId="5EBC01C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bCs/>
                <w:sz w:val="24"/>
                <w:highlight w:val="none"/>
              </w:rPr>
            </w:pPr>
            <w:r>
              <w:rPr>
                <w:rFonts w:hint="eastAsia" w:ascii="宋体" w:hAnsi="宋体" w:cs="宋体"/>
                <w:b/>
                <w:bCs/>
                <w:sz w:val="24"/>
                <w:highlight w:val="none"/>
              </w:rPr>
              <w:t>1、资格评（预）审部分：资格评（预）以投标文件为准，其上传资料真实性由投标人自行承担，</w:t>
            </w:r>
            <w:r>
              <w:rPr>
                <w:rFonts w:hint="eastAsia" w:ascii="宋体" w:hAnsi="宋体" w:cs="宋体"/>
                <w:b/>
                <w:bCs/>
                <w:sz w:val="24"/>
                <w:highlight w:val="none"/>
              </w:rPr>
              <w:br w:type="textWrapping"/>
            </w:r>
            <w:r>
              <w:rPr>
                <w:rFonts w:hint="eastAsia" w:ascii="宋体" w:hAnsi="宋体" w:cs="宋体"/>
                <w:b/>
                <w:bCs/>
                <w:sz w:val="24"/>
                <w:highlight w:val="none"/>
              </w:rPr>
              <w:t>2、评标打分部分：评标打分部分仍按照100分制原则进行，涉及到资格审查、企业荣誉、人员业绩、企业业绩等计分部分时，以投标单位自行上传到投标文件中的相应内容为准。</w:t>
            </w:r>
            <w:r>
              <w:rPr>
                <w:rFonts w:hint="eastAsia" w:ascii="宋体" w:hAnsi="宋体" w:cs="宋体"/>
                <w:b/>
                <w:bCs/>
                <w:sz w:val="24"/>
                <w:highlight w:val="none"/>
              </w:rPr>
              <w:br w:type="textWrapping"/>
            </w:r>
            <w:r>
              <w:rPr>
                <w:rFonts w:hint="eastAsia" w:ascii="宋体" w:hAnsi="宋体" w:cs="宋体"/>
                <w:b/>
                <w:bCs/>
                <w:sz w:val="24"/>
                <w:highlight w:val="none"/>
              </w:rPr>
              <w:t>3、投标文件编制部分：在招标文件中要求投标人按照投标文件格式进行投标文件编制，在投标文件编制时，应明确将投标单位企业基本情况、资质情况、人员情况、财务情况、业绩情况编入投标文件，便于进行资格审查及评标打分。</w:t>
            </w:r>
          </w:p>
          <w:p w14:paraId="2EBF470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bCs/>
                <w:sz w:val="24"/>
                <w:highlight w:val="none"/>
              </w:rPr>
            </w:pPr>
            <w:r>
              <w:rPr>
                <w:rFonts w:hint="eastAsia" w:ascii="宋体" w:hAnsi="宋体" w:cs="宋体"/>
                <w:b/>
                <w:bCs/>
                <w:sz w:val="24"/>
                <w:highlight w:val="none"/>
              </w:rPr>
              <w:t>提示：本项目为电子化、无纸化交易项目，为保证您能投标成功，请需仔细阅读以上条款。</w:t>
            </w:r>
          </w:p>
          <w:p w14:paraId="6E5664C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cs="宋体"/>
                <w:b/>
                <w:bCs/>
                <w:sz w:val="24"/>
                <w:highlight w:val="none"/>
              </w:rPr>
            </w:pPr>
            <w:r>
              <w:rPr>
                <w:rFonts w:hint="eastAsia" w:ascii="宋体" w:hAnsi="宋体" w:cs="宋体"/>
                <w:b/>
                <w:bCs/>
                <w:sz w:val="24"/>
                <w:highlight w:val="none"/>
              </w:rPr>
              <w:t>注：以投标文件业绩信息为准，可使用电子营业执照。</w:t>
            </w:r>
          </w:p>
        </w:tc>
      </w:tr>
    </w:tbl>
    <w:p w14:paraId="76B921B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14:paraId="2C06A03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cs="宋体"/>
          <w:b/>
          <w:bCs/>
          <w:kern w:val="0"/>
          <w:sz w:val="24"/>
          <w:szCs w:val="24"/>
          <w:highlight w:val="none"/>
        </w:rPr>
      </w:pPr>
      <w:bookmarkStart w:id="7" w:name="_Toc530663964"/>
      <w:bookmarkEnd w:id="7"/>
      <w:bookmarkStart w:id="8" w:name="_Toc530665467"/>
      <w:bookmarkEnd w:id="8"/>
      <w:bookmarkStart w:id="9" w:name="_Toc531936156"/>
      <w:bookmarkEnd w:id="9"/>
      <w:bookmarkStart w:id="10" w:name="_Toc530664120"/>
      <w:r>
        <w:rPr>
          <w:rFonts w:hint="eastAsia" w:ascii="宋体" w:hAnsi="宋体" w:cs="宋体"/>
          <w:b/>
          <w:bCs/>
          <w:kern w:val="0"/>
          <w:sz w:val="24"/>
          <w:szCs w:val="24"/>
          <w:highlight w:val="none"/>
        </w:rPr>
        <w:t>1.总则</w:t>
      </w:r>
    </w:p>
    <w:p w14:paraId="31ED67C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cs="宋体"/>
          <w:b/>
          <w:bCs/>
          <w:kern w:val="0"/>
          <w:sz w:val="24"/>
          <w:szCs w:val="24"/>
          <w:highlight w:val="none"/>
        </w:rPr>
      </w:pPr>
      <w:r>
        <w:rPr>
          <w:rFonts w:hint="eastAsia" w:ascii="宋体" w:hAnsi="宋体" w:cs="宋体"/>
          <w:b/>
          <w:bCs/>
          <w:kern w:val="0"/>
          <w:sz w:val="24"/>
          <w:szCs w:val="24"/>
          <w:highlight w:val="none"/>
        </w:rPr>
        <w:t>1.1项目概况</w:t>
      </w:r>
    </w:p>
    <w:p w14:paraId="5132FB1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cs="宋体"/>
          <w:sz w:val="24"/>
          <w:szCs w:val="24"/>
          <w:highlight w:val="none"/>
        </w:rPr>
      </w:pPr>
      <w:r>
        <w:rPr>
          <w:rFonts w:hint="eastAsia" w:ascii="宋体" w:hAnsi="宋体" w:cs="宋体"/>
          <w:sz w:val="24"/>
          <w:szCs w:val="24"/>
          <w:highlight w:val="none"/>
        </w:rPr>
        <w:t>1.1.1 根据《中华人民共和国政府采购法》《政府采购竞争性磋商采购方式管理暂行办法》 等有关法律、法规和规章的规定，本项目已具备磋商条件，现对本项目进行竞争性磋商。</w:t>
      </w:r>
    </w:p>
    <w:p w14:paraId="1BCD438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cs="宋体" w:asciiTheme="minorEastAsia" w:hAnsiTheme="minorEastAsia" w:eastAsiaTheme="minorEastAsia"/>
          <w:b/>
          <w:bCs/>
          <w:kern w:val="28"/>
          <w:sz w:val="24"/>
          <w:szCs w:val="24"/>
          <w:highlight w:val="none"/>
        </w:rPr>
      </w:pPr>
      <w:bookmarkStart w:id="11" w:name="_Toc152042305"/>
      <w:bookmarkStart w:id="12" w:name="_Toc296602420"/>
      <w:bookmarkStart w:id="13" w:name="_Toc144974497"/>
      <w:bookmarkStart w:id="14" w:name="_Toc152045529"/>
      <w:bookmarkStart w:id="15" w:name="_Toc247085689"/>
      <w:bookmarkStart w:id="16" w:name="_Toc246996175"/>
      <w:bookmarkStart w:id="17" w:name="_Toc246996918"/>
      <w:bookmarkStart w:id="18" w:name="_Toc179632546"/>
      <w:r>
        <w:rPr>
          <w:rFonts w:hint="eastAsia" w:cs="宋体" w:asciiTheme="minorEastAsia" w:hAnsiTheme="minorEastAsia" w:eastAsiaTheme="minorEastAsia"/>
          <w:b/>
          <w:bCs/>
          <w:kern w:val="28"/>
          <w:sz w:val="24"/>
          <w:szCs w:val="24"/>
          <w:highlight w:val="none"/>
        </w:rPr>
        <w:t>1. 总则</w:t>
      </w:r>
      <w:bookmarkEnd w:id="11"/>
      <w:bookmarkEnd w:id="12"/>
      <w:bookmarkEnd w:id="13"/>
      <w:bookmarkEnd w:id="14"/>
      <w:bookmarkEnd w:id="15"/>
      <w:bookmarkEnd w:id="16"/>
      <w:bookmarkEnd w:id="17"/>
      <w:bookmarkEnd w:id="18"/>
    </w:p>
    <w:p w14:paraId="6DB3C587">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9" w:name="_Toc152045530"/>
      <w:bookmarkStart w:id="20" w:name="_Toc246996176"/>
      <w:bookmarkStart w:id="21" w:name="_Toc247085690"/>
      <w:bookmarkStart w:id="22" w:name="_Toc77586820"/>
      <w:bookmarkStart w:id="23" w:name="_Toc152042306"/>
      <w:bookmarkStart w:id="24" w:name="_Toc246996919"/>
      <w:bookmarkStart w:id="25" w:name="_Toc77586913"/>
      <w:bookmarkStart w:id="26" w:name="_Toc179632547"/>
      <w:bookmarkStart w:id="27" w:name="_Toc296602421"/>
      <w:bookmarkStart w:id="28" w:name="_Toc144974498"/>
      <w:r>
        <w:rPr>
          <w:rFonts w:hint="eastAsia" w:cs="宋体" w:asciiTheme="minorEastAsia" w:hAnsiTheme="minorEastAsia" w:eastAsiaTheme="minorEastAsia"/>
          <w:sz w:val="24"/>
          <w:szCs w:val="24"/>
          <w:highlight w:val="none"/>
        </w:rPr>
        <w:t>1.1 项目概况</w:t>
      </w:r>
      <w:bookmarkEnd w:id="19"/>
      <w:bookmarkEnd w:id="20"/>
      <w:bookmarkEnd w:id="21"/>
      <w:bookmarkEnd w:id="22"/>
      <w:bookmarkEnd w:id="23"/>
      <w:bookmarkEnd w:id="24"/>
      <w:bookmarkEnd w:id="25"/>
      <w:bookmarkEnd w:id="26"/>
      <w:bookmarkEnd w:id="27"/>
      <w:bookmarkEnd w:id="28"/>
    </w:p>
    <w:p w14:paraId="28535B0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1.1.1根据《政府采购竞争性磋商采购方式管理暂行办法》等有关法律、法规和规章的规定，本磋商项目已具备磋商条件，现对本项目施工进行竞争性磋商。</w:t>
      </w:r>
    </w:p>
    <w:p w14:paraId="6575667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1.1.2 本磋商项目</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6ADC5EC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1.1.3 本磋商项目招标代理机构：见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2885ADC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1.1.4 本磋商项目名称：见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7BBE78A0">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default" w:cs="宋体" w:asciiTheme="minorEastAsia" w:hAnsiTheme="minorEastAsia" w:eastAsiaTheme="minorEastAsia"/>
          <w:sz w:val="24"/>
          <w:szCs w:val="24"/>
          <w:highlight w:val="none"/>
          <w:lang w:val="en-US" w:eastAsia="zh-CN"/>
        </w:rPr>
      </w:pPr>
      <w:bookmarkStart w:id="29" w:name="_Toc179632548"/>
      <w:bookmarkStart w:id="30" w:name="_Toc247085691"/>
      <w:bookmarkStart w:id="31" w:name="_Toc296602422"/>
      <w:bookmarkStart w:id="32" w:name="_Toc144974499"/>
      <w:bookmarkStart w:id="33" w:name="_Toc77586821"/>
      <w:bookmarkStart w:id="34" w:name="_Toc152042307"/>
      <w:bookmarkStart w:id="35" w:name="_Toc77586914"/>
      <w:bookmarkStart w:id="36" w:name="_Toc152045531"/>
      <w:bookmarkStart w:id="37" w:name="_Toc246996177"/>
      <w:bookmarkStart w:id="38" w:name="_Toc246996920"/>
      <w:r>
        <w:rPr>
          <w:rFonts w:hint="eastAsia" w:cs="宋体" w:asciiTheme="minorEastAsia" w:hAnsiTheme="minorEastAsia" w:eastAsiaTheme="minorEastAsia"/>
          <w:sz w:val="24"/>
          <w:szCs w:val="24"/>
          <w:highlight w:val="none"/>
        </w:rPr>
        <w:t>1.2 资金来源和落实情况</w:t>
      </w:r>
      <w:bookmarkEnd w:id="29"/>
      <w:bookmarkEnd w:id="30"/>
      <w:bookmarkEnd w:id="31"/>
      <w:bookmarkEnd w:id="32"/>
      <w:bookmarkEnd w:id="33"/>
      <w:bookmarkEnd w:id="34"/>
      <w:bookmarkEnd w:id="35"/>
      <w:bookmarkEnd w:id="36"/>
      <w:bookmarkEnd w:id="37"/>
      <w:bookmarkEnd w:id="38"/>
      <w:r>
        <w:rPr>
          <w:rFonts w:hint="eastAsia" w:cs="宋体" w:asciiTheme="minorEastAsia" w:hAnsiTheme="minorEastAsia" w:eastAsiaTheme="minorEastAsia"/>
          <w:sz w:val="24"/>
          <w:szCs w:val="24"/>
          <w:highlight w:val="none"/>
          <w:lang w:val="en-US" w:eastAsia="zh-CN"/>
        </w:rPr>
        <w:t xml:space="preserve"> +  </w:t>
      </w:r>
    </w:p>
    <w:p w14:paraId="474FEDB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1.2.1 本磋商项目的资金来源及出资比例：见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36C7300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1.2.2 本磋商项目的资金落实情况：见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551EEC68">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39" w:name="_Toc179632549"/>
      <w:bookmarkStart w:id="40" w:name="_Toc77586822"/>
      <w:bookmarkStart w:id="41" w:name="_Toc77586915"/>
      <w:bookmarkStart w:id="42" w:name="_Toc246996178"/>
      <w:bookmarkStart w:id="43" w:name="_Toc144974500"/>
      <w:bookmarkStart w:id="44" w:name="_Toc246996921"/>
      <w:bookmarkStart w:id="45" w:name="_Toc296602423"/>
      <w:bookmarkStart w:id="46" w:name="_Toc247085692"/>
      <w:bookmarkStart w:id="47" w:name="_Toc152045532"/>
      <w:bookmarkStart w:id="48" w:name="_Toc152042308"/>
      <w:r>
        <w:rPr>
          <w:rFonts w:hint="eastAsia" w:cs="宋体" w:asciiTheme="minorEastAsia" w:hAnsiTheme="minorEastAsia" w:eastAsiaTheme="minorEastAsia"/>
          <w:sz w:val="24"/>
          <w:szCs w:val="24"/>
          <w:highlight w:val="none"/>
        </w:rPr>
        <w:t>1.3 磋商范围、工期、质量要求</w:t>
      </w:r>
      <w:bookmarkEnd w:id="39"/>
      <w:bookmarkEnd w:id="40"/>
      <w:bookmarkEnd w:id="41"/>
      <w:bookmarkEnd w:id="42"/>
      <w:bookmarkEnd w:id="43"/>
      <w:bookmarkEnd w:id="44"/>
      <w:bookmarkEnd w:id="45"/>
      <w:bookmarkEnd w:id="46"/>
      <w:bookmarkEnd w:id="47"/>
      <w:bookmarkEnd w:id="48"/>
    </w:p>
    <w:p w14:paraId="307CCC3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1.3.1 本次磋商范围：见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37B1B64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1.3.2 本磋商项目的工期：见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41EF457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1.3.3 本磋商项目的质量要求：见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1BEC41BD">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49" w:name="_Toc296602424"/>
      <w:bookmarkStart w:id="50" w:name="_Toc77586823"/>
      <w:bookmarkStart w:id="51" w:name="_Toc246996179"/>
      <w:bookmarkStart w:id="52" w:name="_Toc77586916"/>
      <w:bookmarkStart w:id="53" w:name="_Toc246996922"/>
      <w:bookmarkStart w:id="54" w:name="_Toc152042310"/>
      <w:bookmarkStart w:id="55" w:name="_Toc152045534"/>
      <w:bookmarkStart w:id="56" w:name="_Toc144974502"/>
      <w:bookmarkStart w:id="57" w:name="_Toc247085693"/>
      <w:bookmarkStart w:id="58" w:name="_Toc179632551"/>
      <w:r>
        <w:rPr>
          <w:rFonts w:hint="eastAsia" w:cs="宋体" w:asciiTheme="minorEastAsia" w:hAnsiTheme="minorEastAsia" w:eastAsiaTheme="minorEastAsia"/>
          <w:sz w:val="24"/>
          <w:szCs w:val="24"/>
          <w:highlight w:val="none"/>
        </w:rPr>
        <w:t xml:space="preserve">1.4 </w:t>
      </w:r>
      <w:r>
        <w:rPr>
          <w:rFonts w:hint="eastAsia" w:cs="宋体" w:asciiTheme="minorEastAsia" w:hAnsiTheme="minorEastAsia" w:eastAsiaTheme="minorEastAsia"/>
          <w:sz w:val="24"/>
          <w:szCs w:val="24"/>
          <w:highlight w:val="none"/>
          <w:lang w:eastAsia="zh-CN"/>
        </w:rPr>
        <w:t>投标人</w:t>
      </w:r>
      <w:r>
        <w:rPr>
          <w:rFonts w:hint="eastAsia" w:cs="宋体" w:asciiTheme="minorEastAsia" w:hAnsiTheme="minorEastAsia" w:eastAsiaTheme="minorEastAsia"/>
          <w:sz w:val="24"/>
          <w:szCs w:val="24"/>
          <w:highlight w:val="none"/>
        </w:rPr>
        <w:t>资格要求</w:t>
      </w:r>
      <w:bookmarkEnd w:id="49"/>
      <w:bookmarkEnd w:id="50"/>
      <w:bookmarkEnd w:id="51"/>
      <w:bookmarkEnd w:id="52"/>
      <w:bookmarkEnd w:id="53"/>
      <w:bookmarkEnd w:id="54"/>
      <w:bookmarkEnd w:id="55"/>
      <w:bookmarkEnd w:id="56"/>
      <w:bookmarkEnd w:id="57"/>
      <w:bookmarkEnd w:id="58"/>
    </w:p>
    <w:p w14:paraId="01D4E05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见公告</w:t>
      </w:r>
    </w:p>
    <w:p w14:paraId="122C5DDE">
      <w:pPr>
        <w:pStyle w:val="53"/>
        <w:pageBreakBefore w:val="0"/>
        <w:widowControl w:val="0"/>
        <w:kinsoku/>
        <w:wordWrap/>
        <w:overflowPunct/>
        <w:topLinePunct w:val="0"/>
        <w:autoSpaceDE/>
        <w:autoSpaceDN/>
        <w:bidi w:val="0"/>
        <w:adjustRightInd w:val="0"/>
        <w:snapToGrid w:val="0"/>
        <w:spacing w:before="0" w:beforeAutospacing="0" w:afterAutospacing="0" w:line="360" w:lineRule="auto"/>
        <w:ind w:left="0" w:leftChars="0" w:right="0" w:rightChars="0" w:firstLine="482" w:firstLineChars="200"/>
        <w:textAlignment w:val="auto"/>
        <w:rPr>
          <w:rFonts w:hint="default" w:cs="宋体" w:asciiTheme="minorEastAsia" w:hAnsiTheme="minorEastAsia" w:eastAsiaTheme="minorEastAsia"/>
          <w:highlight w:val="none"/>
        </w:rPr>
      </w:pPr>
      <w:r>
        <w:rPr>
          <w:rFonts w:cs="宋体" w:asciiTheme="minorEastAsia" w:hAnsiTheme="minorEastAsia" w:eastAsiaTheme="minorEastAsia"/>
          <w:highlight w:val="none"/>
        </w:rPr>
        <w:t xml:space="preserve">1.4.2 </w:t>
      </w:r>
      <w:r>
        <w:rPr>
          <w:rFonts w:hint="eastAsia" w:cs="宋体" w:asciiTheme="minorEastAsia" w:hAnsiTheme="minorEastAsia" w:eastAsiaTheme="minorEastAsia"/>
          <w:highlight w:val="none"/>
          <w:lang w:eastAsia="zh-CN"/>
        </w:rPr>
        <w:t>投标人</w:t>
      </w:r>
      <w:r>
        <w:rPr>
          <w:rFonts w:cs="宋体" w:asciiTheme="minorEastAsia" w:hAnsiTheme="minorEastAsia" w:eastAsiaTheme="minorEastAsia"/>
          <w:highlight w:val="none"/>
        </w:rPr>
        <w:t>须知规定本磋商项目不接受联合体投标。</w:t>
      </w:r>
    </w:p>
    <w:p w14:paraId="11512DA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1.4.3 </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不得存在下列情形之一：</w:t>
      </w:r>
    </w:p>
    <w:p w14:paraId="16AD94D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（1）为</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不具有独立法人资格的附属机构（单位）；</w:t>
      </w:r>
    </w:p>
    <w:p w14:paraId="2370C06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（2）为本磋商项目前期准备提供设计或咨询服务的； </w:t>
      </w:r>
    </w:p>
    <w:p w14:paraId="09E8AC6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（3）为本磋商项目的监理人；</w:t>
      </w:r>
    </w:p>
    <w:p w14:paraId="437935B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（4）为本磋商项目的代建人； </w:t>
      </w:r>
    </w:p>
    <w:p w14:paraId="0E0C070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（5）为本磋商项目提供招标代理服务的； </w:t>
      </w:r>
    </w:p>
    <w:p w14:paraId="4BDFDC1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（6）与本磋商项目的监理人或代建人或招标代理机构同为一个法定代表人的；</w:t>
      </w:r>
    </w:p>
    <w:p w14:paraId="40F76A7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（7）与本磋商项目的监理人或代建人或招标代理机构相互控股或参股的；</w:t>
      </w:r>
    </w:p>
    <w:p w14:paraId="068B05E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（8）与本磋商项目的监理人或代建人或招标代理机构相互任职或工作的；</w:t>
      </w:r>
    </w:p>
    <w:p w14:paraId="595CA17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（9）被责令停业的； </w:t>
      </w:r>
    </w:p>
    <w:p w14:paraId="724A8D8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（10）被暂停或取消投标资格的； </w:t>
      </w:r>
    </w:p>
    <w:p w14:paraId="1877220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（11）财产被接管或冻结的；</w:t>
      </w:r>
    </w:p>
    <w:p w14:paraId="17E5541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（12）在最近三年内有骗取成交或严重违约或重大工程质量问题的。</w:t>
      </w:r>
    </w:p>
    <w:p w14:paraId="22C61C9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（13）单位负责人为同一人或者存在直接控股、管理关系的不同</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，不得参加同一合同项下的政府采购活动。</w:t>
      </w:r>
    </w:p>
    <w:p w14:paraId="7E4DDB6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为采购项目提供整体设计、规范编制或者项目管理、监理、检测等服务的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，不得再参加该采购项目的其他采购活动。</w:t>
      </w:r>
    </w:p>
    <w:p w14:paraId="5049154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（14）与招标人存在利害关系可能影响招标公正性的法人、其他组织或者个人，不得参加投标。</w:t>
      </w:r>
    </w:p>
    <w:p w14:paraId="7B33624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单位负责人为同一人或者存在控股、管理关系的不同单位，不得参加同一标段投标或者未划分标段的同一招标项目投标。</w:t>
      </w:r>
    </w:p>
    <w:p w14:paraId="055F030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违反前两款规定的，相关投标均无效。</w:t>
      </w:r>
    </w:p>
    <w:p w14:paraId="483680AA">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59" w:name="_Toc144974503"/>
      <w:bookmarkStart w:id="60" w:name="_Toc152045535"/>
      <w:bookmarkStart w:id="61" w:name="_Toc152042311"/>
      <w:bookmarkStart w:id="62" w:name="_Toc179632552"/>
      <w:bookmarkStart w:id="63" w:name="_Toc77586824"/>
      <w:bookmarkStart w:id="64" w:name="_Toc77586917"/>
      <w:r>
        <w:rPr>
          <w:rFonts w:hint="eastAsia" w:cs="宋体" w:asciiTheme="minorEastAsia" w:hAnsiTheme="minorEastAsia" w:eastAsiaTheme="minorEastAsia"/>
          <w:sz w:val="24"/>
          <w:szCs w:val="24"/>
          <w:highlight w:val="none"/>
        </w:rPr>
        <w:t>1.5 费用承担</w:t>
      </w:r>
      <w:bookmarkEnd w:id="59"/>
      <w:bookmarkEnd w:id="60"/>
      <w:bookmarkEnd w:id="61"/>
      <w:bookmarkEnd w:id="62"/>
      <w:bookmarkEnd w:id="63"/>
      <w:bookmarkEnd w:id="64"/>
    </w:p>
    <w:p w14:paraId="7EE0D2D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准备和参加投标活动发生的费用自理。</w:t>
      </w:r>
    </w:p>
    <w:p w14:paraId="0E1694ED">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65" w:name="_Toc152042312"/>
      <w:bookmarkStart w:id="66" w:name="_Toc77586825"/>
      <w:bookmarkStart w:id="67" w:name="_Toc144974504"/>
      <w:bookmarkStart w:id="68" w:name="_Toc152045536"/>
      <w:bookmarkStart w:id="69" w:name="_Toc77586918"/>
      <w:bookmarkStart w:id="70" w:name="_Toc179632553"/>
      <w:bookmarkStart w:id="71" w:name="_Toc246996181"/>
      <w:bookmarkStart w:id="72" w:name="_Toc246996924"/>
      <w:bookmarkStart w:id="73" w:name="_Toc247085695"/>
      <w:bookmarkStart w:id="74" w:name="_Toc296602426"/>
      <w:r>
        <w:rPr>
          <w:rFonts w:hint="eastAsia" w:cs="宋体" w:asciiTheme="minorEastAsia" w:hAnsiTheme="minorEastAsia" w:eastAsiaTheme="minorEastAsia"/>
          <w:sz w:val="24"/>
          <w:szCs w:val="24"/>
          <w:highlight w:val="none"/>
        </w:rPr>
        <w:t>1.6 保密</w:t>
      </w:r>
      <w:bookmarkEnd w:id="65"/>
      <w:bookmarkEnd w:id="66"/>
      <w:bookmarkEnd w:id="67"/>
      <w:bookmarkEnd w:id="68"/>
      <w:bookmarkEnd w:id="69"/>
      <w:bookmarkEnd w:id="70"/>
      <w:bookmarkEnd w:id="71"/>
      <w:bookmarkEnd w:id="72"/>
      <w:bookmarkEnd w:id="73"/>
      <w:bookmarkEnd w:id="74"/>
    </w:p>
    <w:p w14:paraId="1C8D8DE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参与招标投标活动的各方应对竞争性磋商文件和磋商响应文件中的商业和技术等秘密保密，违者应对由此造成的后果承担法律责任。 </w:t>
      </w:r>
    </w:p>
    <w:p w14:paraId="0AD3402D">
      <w:pPr>
        <w:pStyle w:val="54"/>
        <w:pageBreakBefore w:val="0"/>
        <w:widowControl w:val="0"/>
        <w:kinsoku/>
        <w:wordWrap/>
        <w:overflowPunct/>
        <w:topLinePunct w:val="0"/>
        <w:autoSpaceDE/>
        <w:autoSpaceDN/>
        <w:bidi w:val="0"/>
        <w:adjustRightInd w:val="0"/>
        <w:snapToGrid w:val="0"/>
        <w:spacing w:before="0" w:beforeAutospacing="0" w:afterAutospacing="0" w:line="360" w:lineRule="auto"/>
        <w:ind w:left="0" w:leftChars="0" w:right="0" w:rightChars="0" w:firstLine="482" w:firstLineChars="200"/>
        <w:textAlignment w:val="auto"/>
        <w:rPr>
          <w:rFonts w:cs="宋体" w:asciiTheme="minorEastAsia" w:hAnsiTheme="minorEastAsia" w:eastAsiaTheme="minorEastAsia"/>
          <w:b/>
          <w:color w:val="auto"/>
          <w:sz w:val="24"/>
          <w:szCs w:val="24"/>
          <w:highlight w:val="none"/>
        </w:rPr>
      </w:pPr>
      <w:bookmarkStart w:id="75" w:name="_Toc144974505"/>
      <w:bookmarkStart w:id="76" w:name="_Toc152045537"/>
      <w:bookmarkStart w:id="77" w:name="_Toc179632554"/>
      <w:bookmarkStart w:id="78" w:name="_Toc77586919"/>
      <w:bookmarkStart w:id="79" w:name="_Toc77586826"/>
      <w:bookmarkStart w:id="80" w:name="_Toc247085696"/>
      <w:bookmarkStart w:id="81" w:name="_Toc246996182"/>
      <w:bookmarkStart w:id="82" w:name="_Toc246996925"/>
      <w:bookmarkStart w:id="83" w:name="_Toc296602427"/>
      <w:bookmarkStart w:id="84" w:name="_Toc152042313"/>
      <w:r>
        <w:rPr>
          <w:rFonts w:hint="eastAsia" w:cs="宋体" w:asciiTheme="minorEastAsia" w:hAnsiTheme="minorEastAsia" w:eastAsiaTheme="minorEastAsia"/>
          <w:b/>
          <w:color w:val="auto"/>
          <w:sz w:val="24"/>
          <w:szCs w:val="24"/>
          <w:highlight w:val="none"/>
        </w:rPr>
        <w:t>1.7 语言</w:t>
      </w:r>
      <w:bookmarkEnd w:id="75"/>
      <w:r>
        <w:rPr>
          <w:rFonts w:hint="eastAsia" w:cs="宋体" w:asciiTheme="minorEastAsia" w:hAnsiTheme="minorEastAsia" w:eastAsiaTheme="minorEastAsia"/>
          <w:b/>
          <w:color w:val="auto"/>
          <w:sz w:val="24"/>
          <w:szCs w:val="24"/>
          <w:highlight w:val="none"/>
        </w:rPr>
        <w:t>文字</w:t>
      </w:r>
      <w:bookmarkEnd w:id="76"/>
      <w:bookmarkEnd w:id="77"/>
      <w:bookmarkEnd w:id="78"/>
      <w:bookmarkEnd w:id="79"/>
      <w:bookmarkEnd w:id="80"/>
      <w:bookmarkEnd w:id="81"/>
      <w:bookmarkEnd w:id="82"/>
      <w:bookmarkEnd w:id="83"/>
      <w:bookmarkEnd w:id="84"/>
    </w:p>
    <w:p w14:paraId="6C849F8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bookmarkStart w:id="85" w:name="_Toc152042314"/>
      <w:bookmarkStart w:id="86" w:name="_Toc246996926"/>
      <w:bookmarkStart w:id="87" w:name="_Toc144974506"/>
      <w:bookmarkStart w:id="88" w:name="_Toc152045538"/>
      <w:bookmarkStart w:id="89" w:name="_Toc246996183"/>
      <w:bookmarkStart w:id="90" w:name="_Toc247085697"/>
      <w:bookmarkStart w:id="91" w:name="_Toc179632555"/>
      <w:r>
        <w:rPr>
          <w:rFonts w:hint="eastAsia" w:cs="宋体" w:asciiTheme="minorEastAsia" w:hAnsiTheme="minorEastAsia" w:eastAsiaTheme="minorEastAsia"/>
          <w:sz w:val="24"/>
          <w:szCs w:val="24"/>
          <w:highlight w:val="none"/>
        </w:rPr>
        <w:t>招标磋商响应文件使用的语言文字为中文。专用术语使用外文的，应附有中文注释。</w:t>
      </w:r>
    </w:p>
    <w:p w14:paraId="2F065E5B">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92" w:name="_Toc296602428"/>
      <w:bookmarkStart w:id="93" w:name="_Toc77586920"/>
      <w:bookmarkStart w:id="94" w:name="_Toc77586827"/>
      <w:r>
        <w:rPr>
          <w:rFonts w:hint="eastAsia" w:cs="宋体" w:asciiTheme="minorEastAsia" w:hAnsiTheme="minorEastAsia" w:eastAsiaTheme="minorEastAsia"/>
          <w:sz w:val="24"/>
          <w:szCs w:val="24"/>
          <w:highlight w:val="none"/>
        </w:rPr>
        <w:t>1.8 计量单位</w:t>
      </w:r>
      <w:bookmarkEnd w:id="85"/>
      <w:bookmarkEnd w:id="86"/>
      <w:bookmarkEnd w:id="87"/>
      <w:bookmarkEnd w:id="88"/>
      <w:bookmarkEnd w:id="89"/>
      <w:bookmarkEnd w:id="90"/>
      <w:bookmarkEnd w:id="91"/>
      <w:bookmarkEnd w:id="92"/>
      <w:bookmarkEnd w:id="93"/>
      <w:bookmarkEnd w:id="94"/>
    </w:p>
    <w:p w14:paraId="720CB67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所有计量均采用中华人民共和国法定计量单位。</w:t>
      </w:r>
    </w:p>
    <w:p w14:paraId="353551F5">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95" w:name="_Toc247513962"/>
      <w:bookmarkStart w:id="96" w:name="_Toc247592876"/>
      <w:bookmarkStart w:id="97" w:name="_Toc296602429"/>
      <w:bookmarkStart w:id="98" w:name="_Toc152045539"/>
      <w:bookmarkStart w:id="99" w:name="_Toc77586921"/>
      <w:bookmarkStart w:id="100" w:name="_Toc144974507"/>
      <w:bookmarkStart w:id="101" w:name="_Toc77586828"/>
      <w:bookmarkStart w:id="102" w:name="_Toc152042315"/>
      <w:bookmarkStart w:id="103" w:name="_Toc247527563"/>
      <w:r>
        <w:rPr>
          <w:rFonts w:hint="eastAsia" w:cs="宋体" w:asciiTheme="minorEastAsia" w:hAnsiTheme="minorEastAsia" w:eastAsiaTheme="minorEastAsia"/>
          <w:sz w:val="24"/>
          <w:szCs w:val="24"/>
          <w:highlight w:val="none"/>
        </w:rPr>
        <w:t>1.9 踏勘现场</w:t>
      </w:r>
      <w:bookmarkEnd w:id="95"/>
      <w:bookmarkEnd w:id="96"/>
      <w:bookmarkEnd w:id="97"/>
      <w:bookmarkEnd w:id="98"/>
      <w:bookmarkEnd w:id="99"/>
      <w:bookmarkEnd w:id="100"/>
      <w:bookmarkEnd w:id="101"/>
      <w:bookmarkEnd w:id="102"/>
      <w:bookmarkEnd w:id="103"/>
    </w:p>
    <w:p w14:paraId="1331947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1.9.1 </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不组织现场踏勘，由</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 xml:space="preserve">自行踏勘。 </w:t>
      </w:r>
    </w:p>
    <w:p w14:paraId="0350598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1.9.2 </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踏勘现场发生的费用自理。</w:t>
      </w:r>
    </w:p>
    <w:p w14:paraId="3BE61D5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1.9.3 </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自行负责在踏勘现场中所发生的人员伤亡和财产损失。</w:t>
      </w:r>
    </w:p>
    <w:p w14:paraId="0F079FD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1.9.4 </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在踏勘现场中看到的工程场地和相关的周边环境情况，供</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在编制磋商响应文件时参考，</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不对</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据此作出的判断和决策负责。</w:t>
      </w:r>
    </w:p>
    <w:p w14:paraId="734D781C">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04" w:name="_Toc296602430"/>
      <w:bookmarkStart w:id="105" w:name="_Toc247592877"/>
      <w:bookmarkStart w:id="106" w:name="_Toc247513963"/>
      <w:bookmarkStart w:id="107" w:name="_Toc77586829"/>
      <w:bookmarkStart w:id="108" w:name="_Toc77586922"/>
      <w:bookmarkStart w:id="109" w:name="_Toc144974508"/>
      <w:bookmarkStart w:id="110" w:name="_Toc152045540"/>
      <w:bookmarkStart w:id="111" w:name="_Toc247527564"/>
      <w:bookmarkStart w:id="112" w:name="_Toc152042316"/>
      <w:r>
        <w:rPr>
          <w:rFonts w:hint="eastAsia" w:cs="宋体" w:asciiTheme="minorEastAsia" w:hAnsiTheme="minorEastAsia" w:eastAsiaTheme="minorEastAsia"/>
          <w:sz w:val="24"/>
          <w:szCs w:val="24"/>
          <w:highlight w:val="none"/>
        </w:rPr>
        <w:t>1.10 投标预备会</w:t>
      </w:r>
      <w:bookmarkEnd w:id="104"/>
      <w:bookmarkEnd w:id="105"/>
      <w:bookmarkEnd w:id="106"/>
      <w:bookmarkEnd w:id="107"/>
      <w:bookmarkEnd w:id="108"/>
      <w:bookmarkEnd w:id="109"/>
      <w:bookmarkEnd w:id="110"/>
      <w:bookmarkEnd w:id="111"/>
      <w:bookmarkEnd w:id="112"/>
      <w:bookmarkStart w:id="113" w:name="_Toc296602431"/>
    </w:p>
    <w:p w14:paraId="44CAC42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不召开</w:t>
      </w:r>
    </w:p>
    <w:p w14:paraId="1553ECD0">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14" w:name="_Toc77586923"/>
      <w:bookmarkStart w:id="115" w:name="_Toc77586830"/>
      <w:r>
        <w:rPr>
          <w:rFonts w:hint="eastAsia" w:cs="宋体" w:asciiTheme="minorEastAsia" w:hAnsiTheme="minorEastAsia" w:eastAsiaTheme="minorEastAsia"/>
          <w:sz w:val="24"/>
          <w:szCs w:val="24"/>
          <w:highlight w:val="none"/>
        </w:rPr>
        <w:t xml:space="preserve">1.11 </w:t>
      </w:r>
      <w:bookmarkEnd w:id="113"/>
      <w:r>
        <w:rPr>
          <w:rFonts w:hint="eastAsia" w:cs="宋体" w:asciiTheme="minorEastAsia" w:hAnsiTheme="minorEastAsia" w:eastAsiaTheme="minorEastAsia"/>
          <w:sz w:val="24"/>
          <w:szCs w:val="24"/>
          <w:highlight w:val="none"/>
        </w:rPr>
        <w:t>分包</w:t>
      </w:r>
      <w:bookmarkEnd w:id="114"/>
      <w:bookmarkEnd w:id="115"/>
    </w:p>
    <w:p w14:paraId="7C20670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不允许</w:t>
      </w:r>
    </w:p>
    <w:p w14:paraId="03D536EA">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16" w:name="_Toc144974510"/>
      <w:bookmarkStart w:id="117" w:name="_Toc152042318"/>
      <w:bookmarkStart w:id="118" w:name="_Toc152045542"/>
      <w:bookmarkStart w:id="119" w:name="_Toc179632560"/>
      <w:bookmarkStart w:id="120" w:name="_Toc246996930"/>
      <w:bookmarkStart w:id="121" w:name="_Toc77586924"/>
      <w:bookmarkStart w:id="122" w:name="_Toc246996187"/>
      <w:bookmarkStart w:id="123" w:name="_Toc247085701"/>
      <w:bookmarkStart w:id="124" w:name="_Toc296602432"/>
      <w:bookmarkStart w:id="125" w:name="_Toc77586831"/>
      <w:r>
        <w:rPr>
          <w:rFonts w:hint="eastAsia" w:cs="宋体" w:asciiTheme="minorEastAsia" w:hAnsiTheme="minorEastAsia" w:eastAsiaTheme="minorEastAsia"/>
          <w:sz w:val="24"/>
          <w:szCs w:val="24"/>
          <w:highlight w:val="none"/>
        </w:rPr>
        <w:t>2. 竞争性磋商文件</w:t>
      </w:r>
      <w:bookmarkEnd w:id="116"/>
      <w:bookmarkEnd w:id="117"/>
      <w:bookmarkEnd w:id="118"/>
      <w:bookmarkEnd w:id="119"/>
      <w:bookmarkEnd w:id="120"/>
      <w:bookmarkEnd w:id="121"/>
      <w:bookmarkEnd w:id="122"/>
      <w:bookmarkEnd w:id="123"/>
      <w:bookmarkEnd w:id="124"/>
      <w:bookmarkEnd w:id="125"/>
    </w:p>
    <w:p w14:paraId="206BFF71">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26" w:name="_Toc152042319"/>
      <w:bookmarkStart w:id="127" w:name="_Toc296602433"/>
      <w:bookmarkStart w:id="128" w:name="_Toc247085702"/>
      <w:bookmarkStart w:id="129" w:name="_Toc246996931"/>
      <w:bookmarkStart w:id="130" w:name="_Toc77586925"/>
      <w:bookmarkStart w:id="131" w:name="_Toc144974511"/>
      <w:bookmarkStart w:id="132" w:name="_Toc179632561"/>
      <w:bookmarkStart w:id="133" w:name="_Toc152045543"/>
      <w:bookmarkStart w:id="134" w:name="_Toc77586832"/>
      <w:bookmarkStart w:id="135" w:name="_Toc246996188"/>
      <w:r>
        <w:rPr>
          <w:rFonts w:hint="eastAsia" w:cs="宋体" w:asciiTheme="minorEastAsia" w:hAnsiTheme="minorEastAsia" w:eastAsiaTheme="minorEastAsia"/>
          <w:sz w:val="24"/>
          <w:szCs w:val="24"/>
          <w:highlight w:val="none"/>
        </w:rPr>
        <w:t>2.1 竞争性磋商文件的组成</w:t>
      </w:r>
      <w:bookmarkEnd w:id="126"/>
      <w:bookmarkEnd w:id="127"/>
      <w:bookmarkEnd w:id="128"/>
      <w:bookmarkEnd w:id="129"/>
      <w:bookmarkEnd w:id="130"/>
      <w:bookmarkEnd w:id="131"/>
      <w:bookmarkEnd w:id="132"/>
      <w:bookmarkEnd w:id="133"/>
      <w:bookmarkEnd w:id="134"/>
      <w:bookmarkEnd w:id="135"/>
    </w:p>
    <w:p w14:paraId="3C6EA9E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2.1.1 本竞争性磋商文件包括：</w:t>
      </w:r>
    </w:p>
    <w:p w14:paraId="334B2F6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详见磋商文件</w:t>
      </w:r>
    </w:p>
    <w:p w14:paraId="32B5CE1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2.1.2根据本章第2.2款和第2.3款对竞争性磋商文件所作的澄清、修改，构成竞争性磋商文件的组成部分。</w:t>
      </w:r>
    </w:p>
    <w:p w14:paraId="5DFC9604">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36" w:name="_Toc179632562"/>
      <w:bookmarkStart w:id="137" w:name="_Toc152042320"/>
      <w:bookmarkStart w:id="138" w:name="_Toc296602434"/>
      <w:bookmarkStart w:id="139" w:name="_Toc246996932"/>
      <w:bookmarkStart w:id="140" w:name="_Toc246996189"/>
      <w:bookmarkStart w:id="141" w:name="_Toc152045544"/>
      <w:bookmarkStart w:id="142" w:name="_Toc77586833"/>
      <w:bookmarkStart w:id="143" w:name="_Toc144974512"/>
      <w:bookmarkStart w:id="144" w:name="_Toc77586926"/>
      <w:bookmarkStart w:id="145" w:name="_Toc247085703"/>
      <w:r>
        <w:rPr>
          <w:rFonts w:hint="eastAsia" w:cs="宋体" w:asciiTheme="minorEastAsia" w:hAnsiTheme="minorEastAsia" w:eastAsiaTheme="minorEastAsia"/>
          <w:sz w:val="24"/>
          <w:szCs w:val="24"/>
          <w:highlight w:val="none"/>
        </w:rPr>
        <w:t>2.2 竞争性磋商文件的澄清</w:t>
      </w:r>
      <w:bookmarkEnd w:id="136"/>
      <w:bookmarkEnd w:id="137"/>
      <w:bookmarkEnd w:id="138"/>
      <w:bookmarkEnd w:id="139"/>
      <w:bookmarkEnd w:id="140"/>
      <w:bookmarkEnd w:id="141"/>
      <w:bookmarkEnd w:id="142"/>
      <w:bookmarkEnd w:id="143"/>
      <w:bookmarkEnd w:id="144"/>
      <w:bookmarkEnd w:id="145"/>
      <w:r>
        <w:rPr>
          <w:rFonts w:hint="eastAsia" w:cs="宋体" w:asciiTheme="minorEastAsia" w:hAnsiTheme="minorEastAsia" w:eastAsiaTheme="minorEastAsia"/>
          <w:sz w:val="24"/>
          <w:szCs w:val="24"/>
          <w:highlight w:val="none"/>
        </w:rPr>
        <w:t xml:space="preserve"> </w:t>
      </w:r>
    </w:p>
    <w:p w14:paraId="476DB20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2.2.1 </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应仔细阅读和检查竞争性磋商文件的全部内容。如发现缺页或附件不全，应及时向</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提出，以便补齐。如有疑问，应在</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须知前附表规定的时间前以书面的形式，要求</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对竞争性磋商文件予以澄清。</w:t>
      </w:r>
    </w:p>
    <w:p w14:paraId="5247BDF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2.2.2竞争性磋商文件的澄清将以公告形式发布到网上，但不指明澄清问题的来源。如果澄清发出的时间距</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 xml:space="preserve">须知前附表规定的投标截止时间不足5天，并且澄清内容影响磋商响应文件编制的，将相应延长磋商截止时间。 </w:t>
      </w:r>
    </w:p>
    <w:p w14:paraId="1C6CC92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2.2.3 </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rPr>
        <w:t>应自行查看澄清信息。</w:t>
      </w:r>
    </w:p>
    <w:p w14:paraId="219B88B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cs="宋体" w:asciiTheme="minorEastAsia" w:hAnsiTheme="minorEastAsia" w:eastAsiaTheme="minorEastAsia"/>
          <w:b/>
          <w:sz w:val="24"/>
          <w:szCs w:val="24"/>
          <w:highlight w:val="none"/>
          <w:lang w:val="en-US" w:eastAsia="zh-CN" w:bidi="ar-SA"/>
        </w:rPr>
      </w:pPr>
      <w:bookmarkStart w:id="146" w:name="_Toc77586834"/>
      <w:bookmarkStart w:id="147" w:name="_Toc144974513"/>
      <w:bookmarkStart w:id="148" w:name="_Toc246996933"/>
      <w:bookmarkStart w:id="149" w:name="_Toc152045545"/>
      <w:bookmarkStart w:id="150" w:name="_Toc179632563"/>
      <w:bookmarkStart w:id="151" w:name="_Toc247085704"/>
      <w:bookmarkStart w:id="152" w:name="_Toc77586927"/>
      <w:bookmarkStart w:id="153" w:name="_Toc296602435"/>
      <w:bookmarkStart w:id="154" w:name="_Toc246996190"/>
      <w:bookmarkStart w:id="155" w:name="_Toc152042321"/>
      <w:r>
        <w:rPr>
          <w:rFonts w:hint="eastAsia" w:cs="宋体" w:asciiTheme="minorEastAsia" w:hAnsiTheme="minorEastAsia" w:eastAsiaTheme="minorEastAsia"/>
          <w:b/>
          <w:sz w:val="24"/>
          <w:szCs w:val="24"/>
          <w:highlight w:val="none"/>
          <w:lang w:val="en-US" w:eastAsia="zh-CN" w:bidi="ar-SA"/>
        </w:rPr>
        <w:t>2.3 竞争性磋商文件的修改</w:t>
      </w:r>
      <w:bookmarkEnd w:id="146"/>
      <w:bookmarkEnd w:id="147"/>
      <w:bookmarkEnd w:id="148"/>
      <w:bookmarkEnd w:id="149"/>
      <w:bookmarkEnd w:id="150"/>
      <w:bookmarkEnd w:id="151"/>
      <w:bookmarkEnd w:id="152"/>
      <w:bookmarkEnd w:id="153"/>
      <w:bookmarkEnd w:id="154"/>
      <w:bookmarkEnd w:id="155"/>
    </w:p>
    <w:p w14:paraId="579F76A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2.3.1 在磋商截止时间5天前，</w:t>
      </w:r>
      <w:r>
        <w:rPr>
          <w:rFonts w:hint="eastAsia" w:cs="宋体" w:asciiTheme="minorEastAsia" w:hAnsiTheme="minorEastAsia"/>
          <w:sz w:val="24"/>
          <w:szCs w:val="24"/>
          <w:highlight w:val="none"/>
          <w:lang w:val="en-US" w:eastAsia="zh-CN"/>
        </w:rPr>
        <w:t>招标人</w:t>
      </w:r>
      <w:r>
        <w:rPr>
          <w:rFonts w:hint="eastAsia" w:cs="宋体" w:asciiTheme="minorEastAsia" w:hAnsiTheme="minorEastAsia" w:eastAsiaTheme="minorEastAsia"/>
          <w:sz w:val="24"/>
          <w:szCs w:val="24"/>
          <w:highlight w:val="none"/>
        </w:rPr>
        <w:t>可以修改竞争性磋商文件，并以变更公告形式通知所有已购买竞争性磋商文件的</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rPr>
        <w:t>。</w:t>
      </w:r>
    </w:p>
    <w:p w14:paraId="070FD09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2.3.2如果修改竞争性磋商文件，会在</w:t>
      </w:r>
      <w:r>
        <w:rPr>
          <w:rFonts w:hint="eastAsia" w:cs="宋体" w:asciiTheme="minorEastAsia" w:hAnsiTheme="minorEastAsia" w:eastAsiaTheme="minorEastAsia"/>
          <w:sz w:val="24"/>
          <w:szCs w:val="24"/>
          <w:highlight w:val="none"/>
          <w:lang w:val="en-US" w:eastAsia="zh-CN"/>
        </w:rPr>
        <w:t>相关网站</w:t>
      </w:r>
      <w:r>
        <w:rPr>
          <w:rFonts w:hint="eastAsia" w:cs="宋体" w:asciiTheme="minorEastAsia" w:hAnsiTheme="minorEastAsia" w:eastAsiaTheme="minorEastAsia"/>
          <w:sz w:val="24"/>
          <w:szCs w:val="24"/>
          <w:highlight w:val="none"/>
        </w:rPr>
        <w:t>发布变更公告，不再发纸质的变更信息。提醒</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rPr>
        <w:t>随时注意网上发布的信息。如因</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rPr>
        <w:t>自身原因未看到信息，因此造成的一切后果由</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rPr>
        <w:t>自行承担。</w:t>
      </w:r>
    </w:p>
    <w:p w14:paraId="22DE889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2.3.3为使</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rPr>
        <w:t>在准备响应文件时有合理的时间考虑竞争性磋商文件的修改，招标代理机构可酌情推迟磋商截止时间和磋商时间，但应当至少在磋商截止时间三个日历天前将变更时间以发布变更公告的形式通知所有</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rPr>
        <w:t>。该修改内容为竞争性磋商文件的组成部分。在此情况下，</w:t>
      </w:r>
      <w:r>
        <w:rPr>
          <w:rFonts w:hint="eastAsia" w:cs="宋体" w:asciiTheme="minorEastAsia" w:hAnsiTheme="minorEastAsia"/>
          <w:sz w:val="24"/>
          <w:szCs w:val="24"/>
          <w:highlight w:val="none"/>
          <w:lang w:val="en-US" w:eastAsia="zh-CN"/>
        </w:rPr>
        <w:t>招标人</w:t>
      </w:r>
      <w:r>
        <w:rPr>
          <w:rFonts w:hint="eastAsia" w:cs="宋体" w:asciiTheme="minorEastAsia" w:hAnsiTheme="minorEastAsia" w:eastAsiaTheme="minorEastAsia"/>
          <w:sz w:val="24"/>
          <w:szCs w:val="24"/>
          <w:highlight w:val="none"/>
        </w:rPr>
        <w:t>和</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rPr>
        <w:t>受磋商截止期制约的所有权利和义务均应延长至新的截止日期。</w:t>
      </w:r>
      <w:bookmarkStart w:id="156" w:name="_Toc184635073"/>
      <w:bookmarkEnd w:id="156"/>
      <w:r>
        <w:rPr>
          <w:rFonts w:hint="eastAsia" w:cs="宋体" w:asciiTheme="minorEastAsia" w:hAnsiTheme="minorEastAsia" w:eastAsiaTheme="minorEastAsia"/>
          <w:sz w:val="24"/>
          <w:szCs w:val="24"/>
          <w:highlight w:val="none"/>
        </w:rPr>
        <w:t xml:space="preserve"> </w:t>
      </w:r>
    </w:p>
    <w:p w14:paraId="09F7B343">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57" w:name="_Toc296602436"/>
      <w:bookmarkStart w:id="158" w:name="_Toc152045546"/>
      <w:bookmarkStart w:id="159" w:name="_Toc247085705"/>
      <w:bookmarkStart w:id="160" w:name="_Toc144974514"/>
      <w:bookmarkStart w:id="161" w:name="_Toc179632564"/>
      <w:bookmarkStart w:id="162" w:name="_Toc246996934"/>
      <w:bookmarkStart w:id="163" w:name="_Toc246996191"/>
      <w:bookmarkStart w:id="164" w:name="_Toc77586835"/>
      <w:bookmarkStart w:id="165" w:name="_Toc77586928"/>
      <w:bookmarkStart w:id="166" w:name="_Toc152042322"/>
      <w:r>
        <w:rPr>
          <w:rFonts w:hint="eastAsia" w:cs="宋体" w:asciiTheme="minorEastAsia" w:hAnsiTheme="minorEastAsia" w:eastAsiaTheme="minorEastAsia"/>
          <w:sz w:val="24"/>
          <w:szCs w:val="24"/>
          <w:highlight w:val="none"/>
        </w:rPr>
        <w:t>3. 竞争性磋商文件</w:t>
      </w:r>
      <w:bookmarkEnd w:id="157"/>
      <w:bookmarkEnd w:id="158"/>
      <w:bookmarkEnd w:id="159"/>
      <w:bookmarkEnd w:id="160"/>
      <w:bookmarkEnd w:id="161"/>
      <w:bookmarkEnd w:id="162"/>
      <w:bookmarkEnd w:id="163"/>
      <w:bookmarkEnd w:id="164"/>
      <w:bookmarkEnd w:id="165"/>
      <w:bookmarkEnd w:id="166"/>
    </w:p>
    <w:p w14:paraId="0B36BB68">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67" w:name="_Toc77586836"/>
      <w:bookmarkStart w:id="168" w:name="_Toc144974515"/>
      <w:bookmarkStart w:id="169" w:name="_Toc179632565"/>
      <w:bookmarkStart w:id="170" w:name="_Toc152042323"/>
      <w:bookmarkStart w:id="171" w:name="_Toc246996192"/>
      <w:bookmarkStart w:id="172" w:name="_Toc247085706"/>
      <w:bookmarkStart w:id="173" w:name="_Toc296602437"/>
      <w:bookmarkStart w:id="174" w:name="_Toc152045547"/>
      <w:bookmarkStart w:id="175" w:name="_Toc77586929"/>
      <w:bookmarkStart w:id="176" w:name="_Toc246996935"/>
      <w:r>
        <w:rPr>
          <w:rFonts w:hint="eastAsia" w:cs="宋体" w:asciiTheme="minorEastAsia" w:hAnsiTheme="minorEastAsia" w:eastAsiaTheme="minorEastAsia"/>
          <w:sz w:val="24"/>
          <w:szCs w:val="24"/>
          <w:highlight w:val="none"/>
        </w:rPr>
        <w:t>3.1 竞争性磋商文件的组成</w:t>
      </w:r>
      <w:bookmarkEnd w:id="167"/>
      <w:bookmarkEnd w:id="168"/>
      <w:bookmarkEnd w:id="169"/>
      <w:bookmarkEnd w:id="170"/>
      <w:bookmarkEnd w:id="171"/>
      <w:bookmarkEnd w:id="172"/>
      <w:bookmarkEnd w:id="173"/>
      <w:bookmarkEnd w:id="174"/>
      <w:bookmarkEnd w:id="175"/>
      <w:bookmarkEnd w:id="176"/>
    </w:p>
    <w:p w14:paraId="47BD93A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bookmarkStart w:id="177" w:name="_Toc247085707"/>
      <w:bookmarkStart w:id="178" w:name="_Toc144974516"/>
      <w:bookmarkStart w:id="179" w:name="_Toc152042324"/>
      <w:bookmarkStart w:id="180" w:name="_Toc179632566"/>
      <w:bookmarkStart w:id="181" w:name="_Toc152045548"/>
      <w:bookmarkStart w:id="182" w:name="_Toc246996193"/>
      <w:bookmarkStart w:id="183" w:name="_Toc246996936"/>
      <w:bookmarkStart w:id="184" w:name="_Toc296602438"/>
      <w:r>
        <w:rPr>
          <w:rFonts w:hint="eastAsia" w:cs="宋体" w:asciiTheme="minorEastAsia" w:hAnsiTheme="minorEastAsia" w:eastAsiaTheme="minorEastAsia"/>
          <w:b w:val="0"/>
          <w:bCs w:val="0"/>
          <w:sz w:val="24"/>
          <w:szCs w:val="24"/>
          <w:highlight w:val="none"/>
        </w:rPr>
        <w:t>详见磋商文件</w:t>
      </w:r>
    </w:p>
    <w:p w14:paraId="0A3A9B6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ascii="宋体" w:hAnsi="宋体"/>
          <w:b/>
          <w:bCs/>
          <w:sz w:val="24"/>
          <w:szCs w:val="24"/>
          <w:highlight w:val="none"/>
        </w:rPr>
      </w:pPr>
      <w:bookmarkStart w:id="185" w:name="_Toc77586837"/>
      <w:bookmarkStart w:id="186" w:name="_Toc77586930"/>
      <w:r>
        <w:rPr>
          <w:rFonts w:hint="eastAsia" w:cs="宋体" w:asciiTheme="minorEastAsia" w:hAnsiTheme="minorEastAsia" w:eastAsiaTheme="minorEastAsia"/>
          <w:b/>
          <w:bCs/>
          <w:sz w:val="24"/>
          <w:szCs w:val="24"/>
          <w:highlight w:val="none"/>
        </w:rPr>
        <w:t>3.2 磋商报价</w:t>
      </w:r>
      <w:bookmarkEnd w:id="177"/>
      <w:bookmarkEnd w:id="178"/>
      <w:bookmarkEnd w:id="179"/>
      <w:bookmarkEnd w:id="180"/>
      <w:bookmarkEnd w:id="181"/>
      <w:bookmarkEnd w:id="182"/>
      <w:bookmarkEnd w:id="183"/>
      <w:bookmarkEnd w:id="184"/>
      <w:bookmarkEnd w:id="185"/>
      <w:bookmarkEnd w:id="186"/>
    </w:p>
    <w:p w14:paraId="2B45A66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宋体" w:hAnsi="宋体"/>
          <w:b w:val="0"/>
          <w:bCs w:val="0"/>
          <w:sz w:val="24"/>
          <w:szCs w:val="24"/>
          <w:highlight w:val="none"/>
        </w:rPr>
      </w:pPr>
      <w:r>
        <w:rPr>
          <w:rFonts w:hint="eastAsia" w:cs="宋体" w:asciiTheme="minorEastAsia" w:hAnsiTheme="minorEastAsia" w:eastAsiaTheme="minorEastAsia"/>
          <w:b w:val="0"/>
          <w:bCs w:val="0"/>
          <w:sz w:val="24"/>
          <w:szCs w:val="24"/>
          <w:highlight w:val="none"/>
        </w:rPr>
        <w:t>3.2.1 根据竞争性磋商文件规定的工程内容，</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应对本次招标工程的全部工作内容进行报价。磋商报价应是竞争性磋商文件所确定的磋商范围内的全部工作内容的价格体现。</w:t>
      </w:r>
      <w:r>
        <w:rPr>
          <w:rFonts w:hint="eastAsia" w:ascii="宋体" w:hAnsi="宋体"/>
          <w:b w:val="0"/>
          <w:bCs w:val="0"/>
          <w:sz w:val="24"/>
          <w:szCs w:val="24"/>
          <w:highlight w:val="none"/>
          <w:lang w:eastAsia="zh-CN"/>
        </w:rPr>
        <w:t>投标人</w:t>
      </w:r>
      <w:r>
        <w:rPr>
          <w:rFonts w:hint="eastAsia" w:ascii="宋体" w:hAnsi="宋体"/>
          <w:b w:val="0"/>
          <w:bCs w:val="0"/>
          <w:sz w:val="24"/>
          <w:szCs w:val="24"/>
          <w:highlight w:val="none"/>
        </w:rPr>
        <w:t>的报价应含有所投项目、税费、交付后约定期限内免费后续工程等所发生的一切应有费用。</w:t>
      </w:r>
    </w:p>
    <w:p w14:paraId="041C05C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宋体" w:hAnsi="宋体"/>
          <w:b w:val="0"/>
          <w:bCs w:val="0"/>
          <w:sz w:val="24"/>
          <w:szCs w:val="24"/>
          <w:highlight w:val="none"/>
        </w:rPr>
      </w:pPr>
      <w:r>
        <w:rPr>
          <w:rFonts w:hint="eastAsia" w:cs="宋体" w:asciiTheme="minorEastAsia" w:hAnsiTheme="minorEastAsia" w:eastAsiaTheme="minorEastAsia"/>
          <w:b w:val="0"/>
          <w:bCs w:val="0"/>
          <w:sz w:val="24"/>
          <w:szCs w:val="24"/>
          <w:highlight w:val="none"/>
        </w:rPr>
        <w:t>3.2.2磋商报价应包括竞争性磋商文件及技术规范等规定的，实施和完成招标工程直至竣工验收合格，及达到质量和工期目标、安全文明、环境保护等要求,正式交付</w:t>
      </w:r>
      <w:r>
        <w:rPr>
          <w:rFonts w:hint="eastAsia" w:cs="宋体" w:asciiTheme="minorEastAsia" w:hAnsiTheme="minorEastAsia"/>
          <w:b w:val="0"/>
          <w:bCs w:val="0"/>
          <w:sz w:val="24"/>
          <w:szCs w:val="24"/>
          <w:highlight w:val="none"/>
          <w:lang w:eastAsia="zh-CN"/>
        </w:rPr>
        <w:t>招标人</w:t>
      </w:r>
      <w:r>
        <w:rPr>
          <w:rFonts w:hint="eastAsia" w:cs="宋体" w:asciiTheme="minorEastAsia" w:hAnsiTheme="minorEastAsia" w:eastAsiaTheme="minorEastAsia"/>
          <w:b w:val="0"/>
          <w:bCs w:val="0"/>
          <w:sz w:val="24"/>
          <w:szCs w:val="24"/>
          <w:highlight w:val="none"/>
        </w:rPr>
        <w:t>使用前所需的全部费用。</w:t>
      </w:r>
      <w:r>
        <w:rPr>
          <w:rFonts w:hint="eastAsia" w:ascii="宋体" w:hAnsi="宋体"/>
          <w:b w:val="0"/>
          <w:bCs w:val="0"/>
          <w:sz w:val="24"/>
          <w:szCs w:val="24"/>
          <w:highlight w:val="none"/>
        </w:rPr>
        <w:t>本工程的报价应按照竞争磋商文件、补充通知、答疑纪要、现场情况、承包范围，并充分考虑施工期间各类建材市场风险和国家政策性调整等风险系数，由各</w:t>
      </w:r>
      <w:r>
        <w:rPr>
          <w:rFonts w:hint="eastAsia" w:ascii="宋体" w:hAnsi="宋体"/>
          <w:b w:val="0"/>
          <w:bCs w:val="0"/>
          <w:sz w:val="24"/>
          <w:szCs w:val="24"/>
          <w:highlight w:val="none"/>
          <w:lang w:eastAsia="zh-CN"/>
        </w:rPr>
        <w:t>投标人</w:t>
      </w:r>
      <w:r>
        <w:rPr>
          <w:rFonts w:hint="eastAsia" w:ascii="宋体" w:hAnsi="宋体"/>
          <w:b w:val="0"/>
          <w:bCs w:val="0"/>
          <w:sz w:val="24"/>
          <w:szCs w:val="24"/>
          <w:highlight w:val="none"/>
        </w:rPr>
        <w:t>根据自身情况，在合理范围内，自主考虑、优惠报价，但不得低于企业成本。</w:t>
      </w:r>
    </w:p>
    <w:p w14:paraId="41DBFAA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3.2.3</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的磋商报价根据竞争性磋商文件、工程量清单、答疑等，充分考虑市场价格、风险因素，在合理范围内自主报价，但不得低于企业实际成本。</w:t>
      </w:r>
    </w:p>
    <w:p w14:paraId="3512F1E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3.2.4</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应结合自身条件，并充分考虑本工程施工难度、工期的要求、质量要求以及市场因素、现场环境因素、社会因素、市场价格调整因素等各方面原因合理报价。磋商报价将被认为已综合考虑了在施工全过程中可能发生的全部不可预见费用。</w:t>
      </w:r>
      <w:r>
        <w:rPr>
          <w:rFonts w:hint="eastAsia" w:cs="宋体" w:asciiTheme="minorEastAsia" w:hAnsiTheme="minorEastAsia" w:eastAsiaTheme="minorEastAsia"/>
          <w:b w:val="0"/>
          <w:bCs w:val="0"/>
          <w:color w:val="auto"/>
          <w:sz w:val="24"/>
          <w:szCs w:val="24"/>
          <w:highlight w:val="none"/>
        </w:rPr>
        <w:t>成交人无权再以任何理由提出延长工期、增加价款或索赔等要求。</w:t>
      </w:r>
    </w:p>
    <w:p w14:paraId="555690A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宋体" w:hAnsi="宋体"/>
          <w:b w:val="0"/>
          <w:bCs w:val="0"/>
          <w:sz w:val="24"/>
          <w:szCs w:val="24"/>
          <w:highlight w:val="none"/>
        </w:rPr>
      </w:pPr>
      <w:r>
        <w:rPr>
          <w:rFonts w:hint="eastAsia" w:cs="宋体" w:asciiTheme="minorEastAsia" w:hAnsiTheme="minorEastAsia" w:eastAsiaTheme="minorEastAsia"/>
          <w:b w:val="0"/>
          <w:bCs w:val="0"/>
          <w:sz w:val="24"/>
          <w:szCs w:val="24"/>
          <w:highlight w:val="none"/>
        </w:rPr>
        <w:t>3.2.5</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在磋商报价前可踏勘施工现场，充分考虑工地现状条件可能影响到工程正常施工的所有风险因素。无论</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是否进行了上述现场踏勘工作，其磋商报价中均将被认为已包含有工地现状在施工作业期间发生的全部不可预见的风险费用，</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成交后则无权因此要求任何工期或费用上的索赔。</w:t>
      </w:r>
      <w:r>
        <w:rPr>
          <w:rFonts w:hint="eastAsia" w:ascii="宋体" w:hAnsi="宋体"/>
          <w:b w:val="0"/>
          <w:bCs w:val="0"/>
          <w:sz w:val="24"/>
          <w:szCs w:val="24"/>
          <w:highlight w:val="none"/>
        </w:rPr>
        <w:t>磋商报价将被认为已综合考虑了在工程全过程中可能发生的全部不可预见费用。</w:t>
      </w:r>
      <w:r>
        <w:rPr>
          <w:rFonts w:hint="eastAsia" w:ascii="宋体" w:hAnsi="宋体"/>
          <w:b w:val="0"/>
          <w:bCs w:val="0"/>
          <w:sz w:val="24"/>
          <w:szCs w:val="24"/>
          <w:highlight w:val="none"/>
          <w:lang w:eastAsia="zh-CN"/>
        </w:rPr>
        <w:t>投标人</w:t>
      </w:r>
      <w:r>
        <w:rPr>
          <w:rFonts w:hint="eastAsia" w:ascii="宋体" w:hAnsi="宋体"/>
          <w:b w:val="0"/>
          <w:bCs w:val="0"/>
          <w:sz w:val="24"/>
          <w:szCs w:val="24"/>
          <w:highlight w:val="none"/>
        </w:rPr>
        <w:t>未考虑到或漏算的项目，合同执行期间人员费用等相关的变动；各种原因服务周期工作时间延长，成交人无权再以任何理由提出延长服务周期、增加价款或索赔等要求。如果</w:t>
      </w:r>
      <w:r>
        <w:rPr>
          <w:rFonts w:hint="eastAsia" w:ascii="宋体" w:hAnsi="宋体"/>
          <w:b w:val="0"/>
          <w:bCs w:val="0"/>
          <w:sz w:val="24"/>
          <w:szCs w:val="24"/>
          <w:highlight w:val="none"/>
          <w:lang w:eastAsia="zh-CN"/>
        </w:rPr>
        <w:t>投标人</w:t>
      </w:r>
      <w:r>
        <w:rPr>
          <w:rFonts w:hint="eastAsia" w:ascii="宋体" w:hAnsi="宋体"/>
          <w:b w:val="0"/>
          <w:bCs w:val="0"/>
          <w:sz w:val="24"/>
          <w:szCs w:val="24"/>
          <w:highlight w:val="none"/>
        </w:rPr>
        <w:t>对任何报价遗漏或未计，均被认为已包含在其他费用中，招标人不另行支付。</w:t>
      </w:r>
    </w:p>
    <w:p w14:paraId="07BCE60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3.3.6施工期间由于工程条件发生变化或</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原因造成施工方案的更改，所增加的措施费用及工期一概不予调整，相应的费用</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应在磋商报价中充分考虑，</w:t>
      </w:r>
      <w:r>
        <w:rPr>
          <w:rFonts w:hint="eastAsia" w:cs="宋体" w:asciiTheme="minorEastAsia" w:hAnsiTheme="minorEastAsia"/>
          <w:b w:val="0"/>
          <w:bCs w:val="0"/>
          <w:sz w:val="24"/>
          <w:szCs w:val="24"/>
          <w:highlight w:val="none"/>
          <w:lang w:eastAsia="zh-CN"/>
        </w:rPr>
        <w:t>招标人</w:t>
      </w:r>
      <w:r>
        <w:rPr>
          <w:rFonts w:hint="eastAsia" w:cs="宋体" w:asciiTheme="minorEastAsia" w:hAnsiTheme="minorEastAsia" w:eastAsiaTheme="minorEastAsia"/>
          <w:b w:val="0"/>
          <w:bCs w:val="0"/>
          <w:sz w:val="24"/>
          <w:szCs w:val="24"/>
          <w:highlight w:val="none"/>
        </w:rPr>
        <w:t>不再另行支付。</w:t>
      </w:r>
    </w:p>
    <w:p w14:paraId="08DD9F3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3.2.7磋商报价要求</w:t>
      </w:r>
    </w:p>
    <w:p w14:paraId="15B968FF">
      <w:pPr>
        <w:pageBreakBefore w:val="0"/>
        <w:widowControl w:val="0"/>
        <w:numPr>
          <w:ilvl w:val="0"/>
          <w:numId w:val="2"/>
        </w:numP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各</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在投标时必须在磋商响应文件中提供一份完整的工程量清单；</w:t>
      </w:r>
    </w:p>
    <w:p w14:paraId="174EC24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（2）各</w:t>
      </w:r>
      <w:r>
        <w:rPr>
          <w:rFonts w:hint="eastAsia" w:cs="宋体" w:asciiTheme="minorEastAsia" w:hAnsiTheme="minorEastAsia"/>
          <w:b w:val="0"/>
          <w:bCs w:val="0"/>
          <w:sz w:val="24"/>
          <w:szCs w:val="24"/>
          <w:highlight w:val="none"/>
          <w:lang w:eastAsia="zh-CN"/>
        </w:rPr>
        <w:t>投标人</w:t>
      </w:r>
      <w:r>
        <w:rPr>
          <w:rFonts w:hint="eastAsia" w:cs="宋体" w:asciiTheme="minorEastAsia" w:hAnsiTheme="minorEastAsia" w:eastAsiaTheme="minorEastAsia"/>
          <w:b w:val="0"/>
          <w:bCs w:val="0"/>
          <w:sz w:val="24"/>
          <w:szCs w:val="24"/>
          <w:highlight w:val="none"/>
        </w:rPr>
        <w:t>作为有经验的承包商，应充分考虑该工程实施时的各种风险，并将其考虑在本次投标报价各清单项目的综合单价中，结算时综合单价不做调整（合同另有约定的除外）；</w:t>
      </w:r>
    </w:p>
    <w:p w14:paraId="3DE83AE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（3）本次磋商的最终投标总报价不得高于磋商控制价，高于磋商控制价的报价将不再评审；</w:t>
      </w:r>
    </w:p>
    <w:p w14:paraId="64B6E63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（4）磋商响应文件报价中的单价和总价全部采用人民币表示。</w:t>
      </w:r>
      <w:r>
        <w:rPr>
          <w:rFonts w:hint="eastAsia" w:ascii="宋体" w:hAnsi="宋体"/>
          <w:b w:val="0"/>
          <w:bCs w:val="0"/>
          <w:sz w:val="24"/>
          <w:szCs w:val="24"/>
          <w:highlight w:val="none"/>
        </w:rPr>
        <w:t>如磋商报价函中的大写金额和小写金额不一致的，以大写金额为准；总价金额与单价金额不一致的，以单价金额为准，但单价金额小数点有明显错误的除外；对不同文字文本磋商文件的解释发生异议的，以中文文本为准。</w:t>
      </w:r>
    </w:p>
    <w:p w14:paraId="20443B3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（5）本项目为竞争性磋商方式，允许二次报价。</w:t>
      </w:r>
    </w:p>
    <w:p w14:paraId="2B7ACBCC">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b/>
          <w:bCs/>
          <w:sz w:val="24"/>
          <w:szCs w:val="24"/>
          <w:highlight w:val="none"/>
        </w:rPr>
      </w:pPr>
      <w:bookmarkStart w:id="187" w:name="_Toc144974517"/>
      <w:bookmarkStart w:id="188" w:name="_Toc179632567"/>
      <w:bookmarkStart w:id="189" w:name="_Toc152045549"/>
      <w:bookmarkStart w:id="190" w:name="_Toc247085708"/>
      <w:bookmarkStart w:id="191" w:name="_Toc246996937"/>
      <w:bookmarkStart w:id="192" w:name="_Toc152042325"/>
      <w:bookmarkStart w:id="193" w:name="_Toc246996194"/>
      <w:bookmarkStart w:id="194" w:name="_Toc77586931"/>
      <w:bookmarkStart w:id="195" w:name="_Toc296602439"/>
      <w:bookmarkStart w:id="196" w:name="_Toc77586838"/>
      <w:r>
        <w:rPr>
          <w:rFonts w:hint="eastAsia" w:cs="宋体" w:asciiTheme="minorEastAsia" w:hAnsiTheme="minorEastAsia" w:eastAsiaTheme="minorEastAsia"/>
          <w:b/>
          <w:bCs/>
          <w:sz w:val="24"/>
          <w:szCs w:val="24"/>
          <w:highlight w:val="none"/>
        </w:rPr>
        <w:t>3.3 磋商有效期</w:t>
      </w:r>
      <w:bookmarkEnd w:id="187"/>
      <w:bookmarkEnd w:id="188"/>
      <w:bookmarkEnd w:id="189"/>
      <w:bookmarkEnd w:id="190"/>
      <w:bookmarkEnd w:id="191"/>
      <w:bookmarkEnd w:id="192"/>
      <w:bookmarkEnd w:id="193"/>
      <w:bookmarkEnd w:id="194"/>
      <w:bookmarkEnd w:id="195"/>
      <w:bookmarkEnd w:id="196"/>
    </w:p>
    <w:p w14:paraId="33420ED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b w:val="0"/>
          <w:bCs w:val="0"/>
          <w:sz w:val="24"/>
          <w:szCs w:val="24"/>
          <w:highlight w:val="none"/>
        </w:rPr>
      </w:pPr>
      <w:r>
        <w:rPr>
          <w:rFonts w:hint="eastAsia" w:cs="宋体" w:asciiTheme="minorEastAsia" w:hAnsiTheme="minorEastAsia" w:eastAsiaTheme="minorEastAsia"/>
          <w:b w:val="0"/>
          <w:bCs w:val="0"/>
          <w:sz w:val="24"/>
          <w:szCs w:val="24"/>
          <w:highlight w:val="none"/>
        </w:rPr>
        <w:t>3.3.1 磋商有效期为60日历天。</w:t>
      </w:r>
    </w:p>
    <w:p w14:paraId="252B777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3.3.2在磋商有效期内，</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撤销或修改其磋商响应文件的，应承担磋商文件和法律规定的责任。</w:t>
      </w:r>
    </w:p>
    <w:p w14:paraId="03FE3D3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3.3.3出现特殊情况需要延长投标有效期的，</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以书面形式通知所有</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延长投标有效期。</w:t>
      </w:r>
    </w:p>
    <w:p w14:paraId="23C30175">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197" w:name="_Toc247085709"/>
      <w:bookmarkStart w:id="198" w:name="_Toc179632568"/>
      <w:bookmarkStart w:id="199" w:name="_Toc246996195"/>
      <w:bookmarkStart w:id="200" w:name="_Toc152045550"/>
      <w:bookmarkStart w:id="201" w:name="_Toc246996938"/>
      <w:bookmarkStart w:id="202" w:name="_Toc152042326"/>
      <w:bookmarkStart w:id="203" w:name="_Toc296602440"/>
      <w:bookmarkStart w:id="204" w:name="_Toc144974518"/>
      <w:bookmarkStart w:id="205" w:name="_Toc77586932"/>
      <w:bookmarkStart w:id="206" w:name="_Toc77586839"/>
      <w:r>
        <w:rPr>
          <w:rFonts w:hint="eastAsia" w:cs="宋体" w:asciiTheme="minorEastAsia" w:hAnsiTheme="minorEastAsia" w:eastAsiaTheme="minorEastAsia"/>
          <w:sz w:val="24"/>
          <w:szCs w:val="24"/>
          <w:highlight w:val="none"/>
        </w:rPr>
        <w:t xml:space="preserve">3.4 </w:t>
      </w:r>
      <w:bookmarkEnd w:id="197"/>
      <w:bookmarkEnd w:id="198"/>
      <w:bookmarkEnd w:id="199"/>
      <w:bookmarkEnd w:id="200"/>
      <w:bookmarkEnd w:id="201"/>
      <w:bookmarkEnd w:id="202"/>
      <w:bookmarkEnd w:id="203"/>
      <w:bookmarkEnd w:id="204"/>
      <w:r>
        <w:rPr>
          <w:rFonts w:hint="eastAsia" w:cs="宋体" w:asciiTheme="minorEastAsia" w:hAnsiTheme="minorEastAsia" w:eastAsiaTheme="minorEastAsia"/>
          <w:sz w:val="24"/>
          <w:szCs w:val="24"/>
          <w:highlight w:val="none"/>
        </w:rPr>
        <w:t>磋商保证金</w:t>
      </w:r>
      <w:bookmarkEnd w:id="205"/>
      <w:bookmarkEnd w:id="206"/>
    </w:p>
    <w:p w14:paraId="12306FF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   本项目不收取磋商保证金。</w:t>
      </w:r>
    </w:p>
    <w:p w14:paraId="47210C6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default" w:cs="宋体" w:asciiTheme="minorEastAsia" w:hAnsiTheme="minorEastAsia" w:eastAsiaTheme="minorEastAsia"/>
          <w:sz w:val="24"/>
          <w:szCs w:val="24"/>
          <w:highlight w:val="none"/>
          <w:lang w:val="en-US" w:eastAsia="zh-CN"/>
        </w:rPr>
      </w:pPr>
      <w:r>
        <w:rPr>
          <w:rFonts w:hint="eastAsia" w:cs="宋体" w:asciiTheme="minorEastAsia" w:hAnsiTheme="minorEastAsia" w:eastAsiaTheme="minorEastAsia"/>
          <w:b/>
          <w:bCs/>
          <w:sz w:val="24"/>
          <w:szCs w:val="24"/>
          <w:highlight w:val="none"/>
        </w:rPr>
        <w:t xml:space="preserve">3.5 </w:t>
      </w:r>
      <w:r>
        <w:rPr>
          <w:rFonts w:hint="eastAsia" w:cs="宋体" w:asciiTheme="minorEastAsia" w:hAnsiTheme="minorEastAsia" w:eastAsiaTheme="minorEastAsia"/>
          <w:b/>
          <w:bCs/>
          <w:sz w:val="24"/>
          <w:szCs w:val="24"/>
          <w:highlight w:val="none"/>
          <w:lang w:val="en-US" w:eastAsia="zh-CN"/>
        </w:rPr>
        <w:t>资格审查资料：详见公告</w:t>
      </w:r>
    </w:p>
    <w:p w14:paraId="63265F66">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07" w:name="_Toc77586933"/>
      <w:bookmarkStart w:id="208" w:name="_Toc77586840"/>
      <w:r>
        <w:rPr>
          <w:rFonts w:hint="eastAsia" w:cs="宋体" w:asciiTheme="minorEastAsia" w:hAnsiTheme="minorEastAsia" w:eastAsiaTheme="minorEastAsia"/>
          <w:sz w:val="24"/>
          <w:szCs w:val="24"/>
          <w:highlight w:val="none"/>
        </w:rPr>
        <w:t>3.6磋商响应文件的编制</w:t>
      </w:r>
      <w:bookmarkEnd w:id="207"/>
      <w:bookmarkEnd w:id="208"/>
    </w:p>
    <w:p w14:paraId="371A81B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bookmarkStart w:id="209" w:name="_Toc247085713"/>
      <w:bookmarkStart w:id="210" w:name="_Toc144974523"/>
      <w:bookmarkStart w:id="211" w:name="_Toc246996199"/>
      <w:bookmarkStart w:id="212" w:name="_Toc296602443"/>
      <w:bookmarkStart w:id="213" w:name="_Toc179632573"/>
      <w:bookmarkStart w:id="214" w:name="_Toc152042331"/>
      <w:bookmarkStart w:id="215" w:name="_Toc246996942"/>
      <w:bookmarkStart w:id="216" w:name="_Toc152045555"/>
      <w:r>
        <w:rPr>
          <w:rFonts w:hint="eastAsia" w:cs="宋体" w:asciiTheme="minorEastAsia" w:hAnsiTheme="minorEastAsia" w:eastAsiaTheme="minorEastAsia"/>
          <w:sz w:val="24"/>
          <w:szCs w:val="24"/>
          <w:highlight w:val="none"/>
        </w:rPr>
        <w:t>3.6.1磋商响应文件可按第七章“磋商响应文件格式”进行编写，如有必要，可以增加附页作为磋商响应文件的组成部分。其中，投标函附录在满足竞争性磋商文件实质性要求的基础上，可以提出比竞争性磋商文件要求更有利于</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的承诺。</w:t>
      </w:r>
    </w:p>
    <w:p w14:paraId="2740694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3.6.2 磋商响应文件应当对竞争性磋商文件有关项目实施周期、投标有效期、质量要求、招标范围等实质性内容作出响应。</w:t>
      </w:r>
    </w:p>
    <w:p w14:paraId="1161828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3.6.3</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所上传的电子化</w:t>
      </w:r>
      <w:r>
        <w:rPr>
          <w:rFonts w:hint="eastAsia" w:cs="宋体" w:asciiTheme="minorEastAsia" w:hAnsiTheme="minorEastAsia" w:eastAsiaTheme="minorEastAsia"/>
          <w:sz w:val="24"/>
          <w:szCs w:val="24"/>
          <w:highlight w:val="none"/>
        </w:rPr>
        <w:t>磋商响应</w:t>
      </w:r>
      <w:r>
        <w:rPr>
          <w:rFonts w:hint="eastAsia" w:asciiTheme="minorEastAsia" w:hAnsiTheme="minorEastAsia" w:eastAsiaTheme="minorEastAsia"/>
          <w:sz w:val="24"/>
          <w:szCs w:val="24"/>
          <w:highlight w:val="none"/>
        </w:rPr>
        <w:t>文件，应是通过中心投标文件制作系统制作的（投标文件制作工具下载地址：http://t.cn/A6ZvtVob），经过签章和加密后生成的电子版磋商响应文件。其中包含用于</w:t>
      </w:r>
      <w:r>
        <w:rPr>
          <w:rFonts w:hint="eastAsia" w:cs="宋体" w:asciiTheme="minorEastAsia" w:hAnsiTheme="minorEastAsia" w:eastAsiaTheme="minorEastAsia"/>
          <w:sz w:val="24"/>
          <w:szCs w:val="24"/>
          <w:highlight w:val="none"/>
        </w:rPr>
        <w:t>磋商响应</w:t>
      </w:r>
      <w:r>
        <w:rPr>
          <w:rFonts w:hint="eastAsia" w:asciiTheme="minorEastAsia" w:hAnsiTheme="minorEastAsia" w:eastAsiaTheme="minorEastAsia"/>
          <w:sz w:val="24"/>
          <w:szCs w:val="24"/>
          <w:highlight w:val="none"/>
        </w:rPr>
        <w:t>文件上传的主文件（后缀为.smxtf）和用于应急补救的</w:t>
      </w:r>
      <w:r>
        <w:rPr>
          <w:rFonts w:hint="eastAsia" w:cs="宋体" w:asciiTheme="minorEastAsia" w:hAnsiTheme="minorEastAsia" w:eastAsiaTheme="minorEastAsia"/>
          <w:sz w:val="24"/>
          <w:szCs w:val="24"/>
          <w:highlight w:val="none"/>
        </w:rPr>
        <w:t>磋商响应</w:t>
      </w:r>
      <w:r>
        <w:rPr>
          <w:rFonts w:hint="eastAsia" w:asciiTheme="minorEastAsia" w:hAnsiTheme="minorEastAsia" w:eastAsiaTheme="minorEastAsia"/>
          <w:sz w:val="24"/>
          <w:szCs w:val="24"/>
          <w:highlight w:val="none"/>
        </w:rPr>
        <w:t>文件备份文件（后缀为.nsmxtf）。</w:t>
      </w:r>
    </w:p>
    <w:p w14:paraId="4B50E9A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电子化投标文件具体制作教材请</w:t>
      </w:r>
      <w:r>
        <w:rPr>
          <w:rFonts w:hint="eastAsia" w:asciiTheme="minorEastAsia" w:hAnsiTheme="minorEastAsia"/>
          <w:b/>
          <w:sz w:val="24"/>
          <w:szCs w:val="24"/>
          <w:highlight w:val="none"/>
          <w:lang w:eastAsia="zh-CN"/>
        </w:rPr>
        <w:t>投标人</w:t>
      </w:r>
      <w:r>
        <w:rPr>
          <w:rFonts w:hint="eastAsia" w:asciiTheme="minorEastAsia" w:hAnsiTheme="minorEastAsia" w:eastAsiaTheme="minorEastAsia"/>
          <w:b/>
          <w:sz w:val="24"/>
          <w:szCs w:val="24"/>
          <w:highlight w:val="none"/>
        </w:rPr>
        <w:t>点击以下链接学习</w:t>
      </w:r>
      <w:r>
        <w:rPr>
          <w:rFonts w:asciiTheme="minorEastAsia" w:hAnsiTheme="minorEastAsia" w:eastAsiaTheme="minorEastAsia"/>
          <w:sz w:val="24"/>
          <w:szCs w:val="24"/>
          <w:highlight w:val="none"/>
        </w:rPr>
        <w:t>http://gzjy.smx.gov.cn/bzzx/008001/20200325/4a2f9fa3-b923-4ddd-bd6f-138a0b63f7d1.html</w:t>
      </w:r>
    </w:p>
    <w:p w14:paraId="5BF51DBD">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17" w:name="_Toc77586934"/>
      <w:bookmarkStart w:id="218" w:name="_Toc77586841"/>
      <w:r>
        <w:rPr>
          <w:rFonts w:hint="eastAsia" w:cs="宋体" w:asciiTheme="minorEastAsia" w:hAnsiTheme="minorEastAsia" w:eastAsiaTheme="minorEastAsia"/>
          <w:sz w:val="24"/>
          <w:szCs w:val="24"/>
          <w:highlight w:val="none"/>
        </w:rPr>
        <w:t>3.7备选投标方案</w:t>
      </w:r>
      <w:bookmarkEnd w:id="217"/>
      <w:bookmarkEnd w:id="218"/>
    </w:p>
    <w:p w14:paraId="7D855E5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不允许</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递交备选投标方案。</w:t>
      </w:r>
    </w:p>
    <w:p w14:paraId="3447F27B">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19" w:name="_Toc77586935"/>
      <w:bookmarkStart w:id="220" w:name="_Toc77586842"/>
      <w:r>
        <w:rPr>
          <w:rFonts w:hint="eastAsia" w:cs="宋体" w:asciiTheme="minorEastAsia" w:hAnsiTheme="minorEastAsia" w:eastAsiaTheme="minorEastAsia"/>
          <w:sz w:val="24"/>
          <w:szCs w:val="24"/>
          <w:highlight w:val="none"/>
        </w:rPr>
        <w:t>4. 投标</w:t>
      </w:r>
      <w:bookmarkEnd w:id="209"/>
      <w:bookmarkEnd w:id="210"/>
      <w:bookmarkEnd w:id="211"/>
      <w:bookmarkEnd w:id="212"/>
      <w:bookmarkEnd w:id="213"/>
      <w:bookmarkEnd w:id="214"/>
      <w:bookmarkEnd w:id="215"/>
      <w:bookmarkEnd w:id="216"/>
      <w:bookmarkEnd w:id="219"/>
      <w:bookmarkEnd w:id="220"/>
    </w:p>
    <w:p w14:paraId="625E8642">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21" w:name="_Toc179632574"/>
      <w:bookmarkStart w:id="222" w:name="_Toc152042332"/>
      <w:bookmarkStart w:id="223" w:name="_Toc246996200"/>
      <w:bookmarkStart w:id="224" w:name="_Toc247085714"/>
      <w:bookmarkStart w:id="225" w:name="_Toc152045556"/>
      <w:bookmarkStart w:id="226" w:name="_Toc296602444"/>
      <w:bookmarkStart w:id="227" w:name="_Toc144974524"/>
      <w:bookmarkStart w:id="228" w:name="_Toc246996943"/>
      <w:bookmarkStart w:id="229" w:name="_Toc77586843"/>
      <w:bookmarkStart w:id="230" w:name="_Toc77586936"/>
      <w:r>
        <w:rPr>
          <w:rFonts w:hint="eastAsia" w:cs="宋体" w:asciiTheme="minorEastAsia" w:hAnsiTheme="minorEastAsia" w:eastAsiaTheme="minorEastAsia"/>
          <w:sz w:val="24"/>
          <w:szCs w:val="24"/>
          <w:highlight w:val="none"/>
        </w:rPr>
        <w:t>4.1 磋商响应文件的</w:t>
      </w:r>
      <w:bookmarkEnd w:id="221"/>
      <w:bookmarkEnd w:id="222"/>
      <w:bookmarkEnd w:id="223"/>
      <w:bookmarkEnd w:id="224"/>
      <w:bookmarkEnd w:id="225"/>
      <w:bookmarkEnd w:id="226"/>
      <w:bookmarkEnd w:id="227"/>
      <w:bookmarkEnd w:id="228"/>
      <w:r>
        <w:rPr>
          <w:rFonts w:hint="eastAsia" w:cs="宋体" w:asciiTheme="minorEastAsia" w:hAnsiTheme="minorEastAsia" w:eastAsiaTheme="minorEastAsia"/>
          <w:sz w:val="24"/>
          <w:szCs w:val="24"/>
          <w:highlight w:val="none"/>
        </w:rPr>
        <w:t>签署</w:t>
      </w:r>
      <w:bookmarkEnd w:id="229"/>
      <w:bookmarkEnd w:id="230"/>
    </w:p>
    <w:p w14:paraId="73987F8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bCs/>
          <w:sz w:val="24"/>
          <w:szCs w:val="24"/>
          <w:highlight w:val="none"/>
        </w:rPr>
        <w:t>4.1.1</w:t>
      </w:r>
      <w:r>
        <w:rPr>
          <w:rFonts w:hint="eastAsia" w:cs="宋体" w:asciiTheme="minorEastAsia" w:hAnsiTheme="minorEastAsia"/>
          <w:bCs/>
          <w:sz w:val="24"/>
          <w:szCs w:val="24"/>
          <w:highlight w:val="none"/>
          <w:lang w:eastAsia="zh-CN"/>
        </w:rPr>
        <w:t>投标人</w:t>
      </w:r>
      <w:r>
        <w:rPr>
          <w:rFonts w:hint="eastAsia" w:cs="宋体" w:asciiTheme="minorEastAsia" w:hAnsiTheme="minorEastAsia" w:eastAsiaTheme="minorEastAsia"/>
          <w:bCs/>
          <w:sz w:val="24"/>
          <w:szCs w:val="24"/>
          <w:highlight w:val="none"/>
        </w:rPr>
        <w:t>在进行电子化磋商响应文件签章时，竞争性磋商文件中要求</w:t>
      </w:r>
      <w:r>
        <w:rPr>
          <w:rFonts w:hint="eastAsia" w:cs="宋体" w:asciiTheme="minorEastAsia" w:hAnsiTheme="minorEastAsia"/>
          <w:bCs/>
          <w:sz w:val="24"/>
          <w:szCs w:val="24"/>
          <w:highlight w:val="none"/>
          <w:lang w:eastAsia="zh-CN"/>
        </w:rPr>
        <w:t>投标人</w:t>
      </w:r>
      <w:r>
        <w:rPr>
          <w:rFonts w:hint="eastAsia" w:cs="宋体" w:asciiTheme="minorEastAsia" w:hAnsiTheme="minorEastAsia" w:eastAsiaTheme="minorEastAsia"/>
          <w:bCs/>
          <w:sz w:val="24"/>
          <w:szCs w:val="24"/>
          <w:highlight w:val="none"/>
        </w:rPr>
        <w:t>盖章的，以签</w:t>
      </w:r>
      <w:r>
        <w:rPr>
          <w:rFonts w:hint="eastAsia" w:cs="宋体" w:asciiTheme="minorEastAsia" w:hAnsiTheme="minorEastAsia"/>
          <w:bCs/>
          <w:sz w:val="24"/>
          <w:szCs w:val="24"/>
          <w:highlight w:val="none"/>
          <w:lang w:eastAsia="zh-CN"/>
        </w:rPr>
        <w:t>公章电子签章</w:t>
      </w:r>
      <w:r>
        <w:rPr>
          <w:rFonts w:hint="eastAsia" w:cs="宋体" w:asciiTheme="minorEastAsia" w:hAnsiTheme="minorEastAsia" w:eastAsiaTheme="minorEastAsia"/>
          <w:bCs/>
          <w:sz w:val="24"/>
          <w:szCs w:val="24"/>
          <w:highlight w:val="none"/>
        </w:rPr>
        <w:t>为准；要求法定代表人签章的，以签盖法定代表人签章为准</w:t>
      </w:r>
      <w:r>
        <w:rPr>
          <w:rFonts w:hint="eastAsia" w:cs="宋体" w:asciiTheme="minorEastAsia" w:hAnsiTheme="minorEastAsia" w:eastAsiaTheme="minorEastAsia"/>
          <w:sz w:val="24"/>
          <w:szCs w:val="24"/>
          <w:highlight w:val="none"/>
        </w:rPr>
        <w:t>。电子化磋商响应文件具体制作教材请</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通过CA证书登录三门峡市公共资源电子化交易系统在右上角“组件下载”中查看。</w:t>
      </w:r>
    </w:p>
    <w:p w14:paraId="6867772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bookmarkStart w:id="231" w:name="_Toc77586844"/>
      <w:bookmarkStart w:id="232" w:name="_Toc77586937"/>
      <w:r>
        <w:rPr>
          <w:rFonts w:hint="eastAsia" w:cs="宋体" w:asciiTheme="minorEastAsia" w:hAnsiTheme="minorEastAsia" w:eastAsiaTheme="minorEastAsia"/>
          <w:sz w:val="24"/>
          <w:szCs w:val="24"/>
          <w:highlight w:val="none"/>
        </w:rPr>
        <w:t>4.2 磋商响应文件的上传</w:t>
      </w:r>
      <w:bookmarkEnd w:id="231"/>
      <w:bookmarkEnd w:id="232"/>
    </w:p>
    <w:p w14:paraId="73CD23A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电子化磋商响应文件应在投标截止时间前成功上传至三门峡市公共资源电子化交易系统。至投标截止时间止，仍未上传成功的电子化</w:t>
      </w:r>
      <w:r>
        <w:rPr>
          <w:rFonts w:hint="eastAsia" w:cs="宋体" w:asciiTheme="minorEastAsia" w:hAnsiTheme="minorEastAsia" w:eastAsiaTheme="minorEastAsia"/>
          <w:sz w:val="24"/>
          <w:szCs w:val="24"/>
          <w:highlight w:val="none"/>
        </w:rPr>
        <w:t>磋商响应</w:t>
      </w:r>
      <w:r>
        <w:rPr>
          <w:rFonts w:hint="eastAsia" w:asciiTheme="minorEastAsia" w:hAnsiTheme="minorEastAsia" w:eastAsiaTheme="minorEastAsia"/>
          <w:sz w:val="24"/>
          <w:szCs w:val="24"/>
          <w:highlight w:val="none"/>
        </w:rPr>
        <w:t>文件将不予接收。</w:t>
      </w:r>
    </w:p>
    <w:p w14:paraId="3EEBBB2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注：如按照电子化投标操作教材制作完成的电子化</w:t>
      </w:r>
      <w:r>
        <w:rPr>
          <w:rFonts w:hint="eastAsia" w:cs="宋体" w:asciiTheme="minorEastAsia" w:hAnsiTheme="minorEastAsia" w:eastAsiaTheme="minorEastAsia"/>
          <w:sz w:val="24"/>
          <w:szCs w:val="24"/>
          <w:highlight w:val="none"/>
        </w:rPr>
        <w:t>磋商响应</w:t>
      </w:r>
      <w:r>
        <w:rPr>
          <w:rFonts w:hint="eastAsia" w:asciiTheme="minorEastAsia" w:hAnsiTheme="minorEastAsia" w:eastAsiaTheme="minorEastAsia"/>
          <w:sz w:val="24"/>
          <w:szCs w:val="24"/>
          <w:highlight w:val="none"/>
        </w:rPr>
        <w:t>文件无法上传的，</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应在</w:t>
      </w:r>
      <w:r>
        <w:rPr>
          <w:rFonts w:hint="eastAsia" w:asciiTheme="minorEastAsia" w:hAnsiTheme="minorEastAsia" w:eastAsiaTheme="minorEastAsia"/>
          <w:b/>
          <w:sz w:val="24"/>
          <w:szCs w:val="24"/>
          <w:highlight w:val="none"/>
        </w:rPr>
        <w:t>投标截止时间前尽早的</w:t>
      </w:r>
      <w:r>
        <w:rPr>
          <w:rFonts w:hint="eastAsia" w:asciiTheme="minorEastAsia" w:hAnsiTheme="minorEastAsia" w:eastAsiaTheme="minorEastAsia"/>
          <w:sz w:val="24"/>
          <w:szCs w:val="24"/>
          <w:highlight w:val="none"/>
        </w:rPr>
        <w:t>联系中心技术人员，以便有充分的时间进行处理。</w:t>
      </w:r>
      <w:r>
        <w:rPr>
          <w:rFonts w:hint="eastAsia" w:asciiTheme="minorEastAsia" w:hAnsiTheme="minorEastAsia"/>
          <w:b/>
          <w:sz w:val="24"/>
          <w:szCs w:val="24"/>
          <w:highlight w:val="none"/>
          <w:lang w:eastAsia="zh-CN"/>
        </w:rPr>
        <w:t>投标人</w:t>
      </w:r>
      <w:r>
        <w:rPr>
          <w:rFonts w:hint="eastAsia" w:asciiTheme="minorEastAsia" w:hAnsiTheme="minorEastAsia" w:eastAsiaTheme="minorEastAsia"/>
          <w:b/>
          <w:sz w:val="24"/>
          <w:szCs w:val="24"/>
          <w:highlight w:val="none"/>
        </w:rPr>
        <w:t>应充分考虑到处理技术问题和上传数据等工作所需的时间问题，电子化磋商响应文件未在投标截止时间前成功上传的，其磋商响应文件不予接收。</w:t>
      </w:r>
    </w:p>
    <w:p w14:paraId="5185ACF1">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33" w:name="_Toc77586845"/>
      <w:bookmarkStart w:id="234" w:name="_Toc77586938"/>
      <w:r>
        <w:rPr>
          <w:rFonts w:hint="eastAsia" w:cs="宋体" w:asciiTheme="minorEastAsia" w:hAnsiTheme="minorEastAsia" w:eastAsiaTheme="minorEastAsia"/>
          <w:sz w:val="24"/>
          <w:szCs w:val="24"/>
          <w:highlight w:val="none"/>
        </w:rPr>
        <w:t>4.3 磋商响应文件的修改与撤回</w:t>
      </w:r>
      <w:bookmarkEnd w:id="233"/>
      <w:bookmarkEnd w:id="234"/>
    </w:p>
    <w:p w14:paraId="536EBD6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4.3.1在投标截止时间之后，</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不得补充、修改电子化磋商响应文件。</w:t>
      </w:r>
    </w:p>
    <w:p w14:paraId="7FE77335">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35" w:name="_Toc296602447"/>
      <w:bookmarkStart w:id="236" w:name="_Toc246996203"/>
      <w:bookmarkStart w:id="237" w:name="_Toc152045559"/>
      <w:bookmarkStart w:id="238" w:name="_Toc247085717"/>
      <w:bookmarkStart w:id="239" w:name="_Toc179632577"/>
      <w:bookmarkStart w:id="240" w:name="_Toc152042335"/>
      <w:bookmarkStart w:id="241" w:name="_Toc144974527"/>
      <w:bookmarkStart w:id="242" w:name="_Toc246996946"/>
      <w:bookmarkStart w:id="243" w:name="_Toc77586846"/>
      <w:bookmarkStart w:id="244" w:name="_Toc77586939"/>
      <w:r>
        <w:rPr>
          <w:rFonts w:hint="eastAsia" w:cs="宋体" w:asciiTheme="minorEastAsia" w:hAnsiTheme="minorEastAsia" w:eastAsiaTheme="minorEastAsia"/>
          <w:sz w:val="24"/>
          <w:szCs w:val="24"/>
          <w:highlight w:val="none"/>
        </w:rPr>
        <w:t xml:space="preserve">5. </w:t>
      </w:r>
      <w:bookmarkEnd w:id="235"/>
      <w:bookmarkEnd w:id="236"/>
      <w:bookmarkEnd w:id="237"/>
      <w:bookmarkEnd w:id="238"/>
      <w:bookmarkEnd w:id="239"/>
      <w:bookmarkEnd w:id="240"/>
      <w:bookmarkEnd w:id="241"/>
      <w:bookmarkEnd w:id="242"/>
      <w:r>
        <w:rPr>
          <w:rFonts w:hint="eastAsia" w:cs="宋体" w:asciiTheme="minorEastAsia" w:hAnsiTheme="minorEastAsia" w:eastAsiaTheme="minorEastAsia"/>
          <w:sz w:val="24"/>
          <w:szCs w:val="24"/>
          <w:highlight w:val="none"/>
        </w:rPr>
        <w:t>磋商</w:t>
      </w:r>
      <w:bookmarkEnd w:id="243"/>
      <w:bookmarkEnd w:id="244"/>
    </w:p>
    <w:p w14:paraId="67DD0D0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Theme="minorEastAsia" w:hAnsiTheme="minorEastAsia" w:eastAsiaTheme="minorEastAsia"/>
          <w:b/>
          <w:bCs/>
          <w:sz w:val="24"/>
          <w:szCs w:val="24"/>
          <w:highlight w:val="none"/>
        </w:rPr>
      </w:pPr>
      <w:bookmarkStart w:id="245" w:name="_Toc246996206"/>
      <w:bookmarkStart w:id="246" w:name="_Toc144974529"/>
      <w:bookmarkStart w:id="247" w:name="_Toc152045561"/>
      <w:bookmarkStart w:id="248" w:name="_Toc179632579"/>
      <w:bookmarkStart w:id="249" w:name="_Toc296602451"/>
      <w:bookmarkStart w:id="250" w:name="_Toc152045562"/>
      <w:bookmarkStart w:id="251" w:name="_Toc152042337"/>
      <w:bookmarkStart w:id="252" w:name="_Toc152042338"/>
      <w:bookmarkStart w:id="253" w:name="_Toc247085720"/>
      <w:bookmarkStart w:id="254" w:name="_Toc179632580"/>
      <w:bookmarkStart w:id="255" w:name="_Toc246996949"/>
      <w:bookmarkStart w:id="256" w:name="_Toc144974530"/>
      <w:r>
        <w:rPr>
          <w:rFonts w:hint="eastAsia" w:asciiTheme="minorEastAsia" w:hAnsiTheme="minorEastAsia" w:eastAsiaTheme="minorEastAsia"/>
          <w:b/>
          <w:bCs/>
          <w:sz w:val="24"/>
          <w:szCs w:val="24"/>
          <w:highlight w:val="none"/>
        </w:rPr>
        <w:t>5.1 磋商时间和地点</w:t>
      </w:r>
    </w:p>
    <w:p w14:paraId="2B031F9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Theme="minorEastAsia" w:hAnsiTheme="minorEastAsia" w:eastAsiaTheme="minorEastAsia"/>
          <w:sz w:val="24"/>
          <w:szCs w:val="24"/>
          <w:highlight w:val="none"/>
        </w:rPr>
      </w:pPr>
      <w:r>
        <w:rPr>
          <w:rFonts w:hint="eastAsia" w:asciiTheme="minorEastAsia" w:hAnsiTheme="minorEastAsia"/>
          <w:sz w:val="24"/>
          <w:szCs w:val="24"/>
          <w:highlight w:val="none"/>
          <w:lang w:val="en-US" w:eastAsia="zh-CN"/>
        </w:rPr>
        <w:t>招标人</w:t>
      </w:r>
      <w:r>
        <w:rPr>
          <w:rFonts w:hint="eastAsia" w:asciiTheme="minorEastAsia" w:hAnsiTheme="minorEastAsia" w:eastAsiaTheme="minorEastAsia"/>
          <w:sz w:val="24"/>
          <w:szCs w:val="24"/>
          <w:highlight w:val="none"/>
        </w:rPr>
        <w:t>在本磋商文件规定的响应文件递交截止时间（磋商时间）和地点进行竞争性磋商。</w:t>
      </w:r>
    </w:p>
    <w:p w14:paraId="75C8146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本项目采用电子化、无纸化进行招标，开标当日，</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无需到开标现场参加开标会议，</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应当在投标截止时间前，登陆不见面开标大厅选择登陆三门峡市公共资源电子招投标系统进行登陆（网址为http://120.194.249.36:10094/BidOpening/bidopeninghallaction/hall/login）,在线准时参加开标活动并进行磋商响应文件解密等。</w:t>
      </w:r>
    </w:p>
    <w:p w14:paraId="3D109D5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Theme="minorEastAsia" w:hAnsiTheme="minorEastAsia" w:eastAsiaTheme="minorEastAsia"/>
          <w:b/>
          <w:bCs/>
          <w:sz w:val="24"/>
          <w:szCs w:val="24"/>
          <w:highlight w:val="none"/>
        </w:rPr>
      </w:pPr>
      <w:r>
        <w:rPr>
          <w:rFonts w:hint="eastAsia" w:asciiTheme="minorEastAsia" w:hAnsiTheme="minorEastAsia" w:eastAsiaTheme="minorEastAsia"/>
          <w:b/>
          <w:bCs/>
          <w:sz w:val="24"/>
          <w:szCs w:val="24"/>
          <w:highlight w:val="none"/>
        </w:rPr>
        <w:t>5.2 电子化磋商响应文件采用一次加密方式。</w:t>
      </w:r>
    </w:p>
    <w:p w14:paraId="0CA42AC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开标时，由</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使用CA 证书，在规定时间内对其电子化</w:t>
      </w:r>
      <w:r>
        <w:rPr>
          <w:rFonts w:hint="eastAsia" w:cs="宋体" w:asciiTheme="minorEastAsia" w:hAnsiTheme="minorEastAsia" w:eastAsiaTheme="minorEastAsia"/>
          <w:sz w:val="24"/>
          <w:szCs w:val="24"/>
          <w:highlight w:val="none"/>
        </w:rPr>
        <w:t>磋商响应</w:t>
      </w:r>
      <w:r>
        <w:rPr>
          <w:rFonts w:hint="eastAsia" w:asciiTheme="minorEastAsia" w:hAnsiTheme="minorEastAsia" w:eastAsiaTheme="minorEastAsia"/>
          <w:sz w:val="24"/>
          <w:szCs w:val="24"/>
          <w:highlight w:val="none"/>
        </w:rPr>
        <w:t>文件进行解密。每位</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的解密时间为开标时间起30 分钟内，如在规定时间内未完成解密的，其</w:t>
      </w:r>
      <w:r>
        <w:rPr>
          <w:rFonts w:hint="eastAsia" w:cs="宋体" w:asciiTheme="minorEastAsia" w:hAnsiTheme="minorEastAsia" w:eastAsiaTheme="minorEastAsia"/>
          <w:sz w:val="24"/>
          <w:szCs w:val="24"/>
          <w:highlight w:val="none"/>
        </w:rPr>
        <w:t>磋商响应</w:t>
      </w:r>
      <w:r>
        <w:rPr>
          <w:rFonts w:hint="eastAsia" w:asciiTheme="minorEastAsia" w:hAnsiTheme="minorEastAsia" w:eastAsiaTheme="minorEastAsia"/>
          <w:sz w:val="24"/>
          <w:szCs w:val="24"/>
          <w:highlight w:val="none"/>
        </w:rPr>
        <w:t>文件不予开标、唱标。每位</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的解密时间为开标时间起30分钟内完成。</w:t>
      </w:r>
    </w:p>
    <w:p w14:paraId="0E6245C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asciiTheme="minorEastAsia" w:hAnsiTheme="minorEastAsia" w:eastAsiaTheme="minorEastAsia"/>
          <w:b/>
          <w:sz w:val="24"/>
          <w:szCs w:val="24"/>
          <w:highlight w:val="none"/>
        </w:rPr>
      </w:pPr>
      <w:r>
        <w:rPr>
          <w:rFonts w:hint="eastAsia" w:asciiTheme="minorEastAsia" w:hAnsiTheme="minorEastAsia" w:eastAsiaTheme="minorEastAsia"/>
          <w:b/>
          <w:sz w:val="24"/>
          <w:szCs w:val="24"/>
          <w:highlight w:val="none"/>
        </w:rPr>
        <w:t>5.3 电子化磋商响应文件解密异常的处理</w:t>
      </w:r>
    </w:p>
    <w:p w14:paraId="482E37A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如出现</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的电子磋商响应文件无法解密等异常情况，</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应及时致电中介服务机构说明。磋商响应文件异常，按以下步骤进行处理：</w:t>
      </w:r>
    </w:p>
    <w:p w14:paraId="488B88F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（1）首先由技术人员进行问题排查。</w:t>
      </w:r>
    </w:p>
    <w:p w14:paraId="529B03D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（2）经技术人员排查后，是</w:t>
      </w:r>
      <w:r>
        <w:rPr>
          <w:rFonts w:hint="eastAsia" w:asciiTheme="minorEastAsia" w:hAnsiTheme="minorEastAsia"/>
          <w:sz w:val="24"/>
          <w:szCs w:val="24"/>
          <w:highlight w:val="none"/>
          <w:lang w:eastAsia="zh-CN"/>
        </w:rPr>
        <w:t>投标人</w:t>
      </w:r>
      <w:r>
        <w:rPr>
          <w:rFonts w:hint="eastAsia" w:asciiTheme="minorEastAsia" w:hAnsiTheme="minorEastAsia" w:eastAsiaTheme="minorEastAsia"/>
          <w:sz w:val="24"/>
          <w:szCs w:val="24"/>
          <w:highlight w:val="none"/>
        </w:rPr>
        <w:t>文件自身问题导致磋商响应文件无法解密的，该磋商响应文件将不予接收、解密和唱标。开标会议继续进行。</w:t>
      </w:r>
    </w:p>
    <w:p w14:paraId="43F2899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3）经技术人员排查后，如果是电子化交易系统问题造成磋商响应文件无法解密的，将由技术人员对问题进行处理。如短时间内问题无法解决的，将由中介服务机构向监督部门申请，经监督部门同意后，暂停开标会议，待问题解决后继续开标。</w:t>
      </w:r>
    </w:p>
    <w:bookmarkEnd w:id="245"/>
    <w:bookmarkEnd w:id="246"/>
    <w:bookmarkEnd w:id="247"/>
    <w:bookmarkEnd w:id="248"/>
    <w:bookmarkEnd w:id="249"/>
    <w:bookmarkEnd w:id="250"/>
    <w:bookmarkEnd w:id="251"/>
    <w:bookmarkEnd w:id="252"/>
    <w:bookmarkEnd w:id="253"/>
    <w:bookmarkEnd w:id="254"/>
    <w:bookmarkEnd w:id="255"/>
    <w:bookmarkEnd w:id="256"/>
    <w:p w14:paraId="52D2F5E0">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57" w:name="_Toc246996950"/>
      <w:bookmarkStart w:id="258" w:name="_Toc296602452"/>
      <w:bookmarkStart w:id="259" w:name="_Toc247085721"/>
      <w:bookmarkStart w:id="260" w:name="_Toc179632581"/>
      <w:bookmarkStart w:id="261" w:name="_Toc77586847"/>
      <w:bookmarkStart w:id="262" w:name="_Toc152045563"/>
      <w:bookmarkStart w:id="263" w:name="_Toc246996207"/>
      <w:bookmarkStart w:id="264" w:name="_Toc144974531"/>
      <w:bookmarkStart w:id="265" w:name="_Toc152042339"/>
      <w:bookmarkStart w:id="266" w:name="_Toc77586940"/>
      <w:r>
        <w:rPr>
          <w:rFonts w:hint="eastAsia" w:cs="宋体" w:asciiTheme="minorEastAsia" w:hAnsiTheme="minorEastAsia" w:eastAsiaTheme="minorEastAsia"/>
          <w:sz w:val="24"/>
          <w:szCs w:val="24"/>
          <w:highlight w:val="none"/>
        </w:rPr>
        <w:t>5.4 磋商小组</w:t>
      </w:r>
      <w:bookmarkEnd w:id="257"/>
      <w:bookmarkEnd w:id="258"/>
      <w:bookmarkEnd w:id="259"/>
      <w:bookmarkEnd w:id="260"/>
      <w:bookmarkEnd w:id="261"/>
      <w:bookmarkEnd w:id="262"/>
      <w:bookmarkEnd w:id="263"/>
      <w:bookmarkEnd w:id="264"/>
      <w:bookmarkEnd w:id="265"/>
      <w:bookmarkEnd w:id="266"/>
    </w:p>
    <w:p w14:paraId="3E7D093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kern w:val="44"/>
          <w:sz w:val="24"/>
          <w:szCs w:val="24"/>
          <w:highlight w:val="none"/>
        </w:rPr>
      </w:pPr>
      <w:r>
        <w:rPr>
          <w:rFonts w:hint="eastAsia" w:cs="宋体" w:asciiTheme="minorEastAsia" w:hAnsiTheme="minorEastAsia" w:eastAsiaTheme="minorEastAsia"/>
          <w:sz w:val="24"/>
          <w:szCs w:val="24"/>
          <w:highlight w:val="none"/>
        </w:rPr>
        <w:t xml:space="preserve">5.4.1 </w:t>
      </w:r>
      <w:r>
        <w:rPr>
          <w:rFonts w:hint="eastAsia" w:cs="宋体" w:asciiTheme="minorEastAsia" w:hAnsiTheme="minorEastAsia" w:eastAsiaTheme="minorEastAsia"/>
          <w:kern w:val="44"/>
          <w:sz w:val="24"/>
          <w:szCs w:val="24"/>
          <w:highlight w:val="none"/>
        </w:rPr>
        <w:t>磋商小组：</w:t>
      </w:r>
      <w:r>
        <w:rPr>
          <w:rFonts w:hint="eastAsia" w:cs="Calibri" w:asciiTheme="minorEastAsia" w:hAnsiTheme="minorEastAsia"/>
          <w:sz w:val="24"/>
          <w:szCs w:val="24"/>
          <w:highlight w:val="none"/>
          <w:lang w:eastAsia="zh-CN"/>
        </w:rPr>
        <w:t>招标人</w:t>
      </w:r>
      <w:r>
        <w:rPr>
          <w:rFonts w:hint="eastAsia" w:cs="Calibri" w:asciiTheme="minorEastAsia" w:hAnsiTheme="minorEastAsia" w:eastAsiaTheme="minorEastAsia"/>
          <w:sz w:val="24"/>
          <w:szCs w:val="24"/>
          <w:highlight w:val="none"/>
        </w:rPr>
        <w:t>代表及有关经济、技术等方面的专家共3人组成，</w:t>
      </w:r>
      <w:r>
        <w:rPr>
          <w:rFonts w:hint="eastAsia" w:cs="Calibri" w:asciiTheme="minorEastAsia" w:hAnsiTheme="minorEastAsia"/>
          <w:sz w:val="24"/>
          <w:szCs w:val="24"/>
          <w:highlight w:val="none"/>
          <w:lang w:eastAsia="zh-CN"/>
        </w:rPr>
        <w:t>招标人</w:t>
      </w:r>
      <w:r>
        <w:rPr>
          <w:rFonts w:hint="eastAsia" w:cs="Calibri" w:asciiTheme="minorEastAsia" w:hAnsiTheme="minorEastAsia" w:eastAsiaTheme="minorEastAsia"/>
          <w:sz w:val="24"/>
          <w:szCs w:val="24"/>
          <w:highlight w:val="none"/>
        </w:rPr>
        <w:t>代表1人，经济、技术等方面的专家各1人。</w:t>
      </w:r>
    </w:p>
    <w:p w14:paraId="6960DFE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kern w:val="44"/>
          <w:sz w:val="24"/>
          <w:szCs w:val="24"/>
          <w:highlight w:val="none"/>
        </w:rPr>
        <w:t>专家确定方式：</w:t>
      </w:r>
      <w:r>
        <w:rPr>
          <w:rFonts w:hint="eastAsia" w:cs="Calibri" w:asciiTheme="minorEastAsia" w:hAnsiTheme="minorEastAsia" w:eastAsiaTheme="minorEastAsia"/>
          <w:sz w:val="24"/>
          <w:szCs w:val="24"/>
          <w:highlight w:val="none"/>
        </w:rPr>
        <w:t>开标后从相关评标专家库中随机抽取。</w:t>
      </w:r>
    </w:p>
    <w:p w14:paraId="0F9D8A6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5.4.2磋商小组对所有</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的磋商响应文件进行评审，按评审后得分由高到低顺序排列，递交给</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w:t>
      </w:r>
    </w:p>
    <w:p w14:paraId="7E40216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5.4.3磋商小组成员要遵纪守法，客观、公正、廉洁地履行职责</w:t>
      </w:r>
      <w:r>
        <w:rPr>
          <w:rFonts w:hint="eastAsia" w:cs="宋体" w:asciiTheme="minorEastAsia" w:hAnsiTheme="minorEastAsia" w:eastAsiaTheme="minorEastAsia"/>
          <w:sz w:val="24"/>
          <w:szCs w:val="24"/>
          <w:highlight w:val="none"/>
          <w:lang w:eastAsia="zh-CN"/>
        </w:rPr>
        <w:t>，</w:t>
      </w:r>
      <w:r>
        <w:rPr>
          <w:rFonts w:hint="eastAsia" w:cs="宋体" w:asciiTheme="minorEastAsia" w:hAnsiTheme="minorEastAsia" w:eastAsiaTheme="minorEastAsia"/>
          <w:sz w:val="24"/>
          <w:szCs w:val="24"/>
          <w:highlight w:val="none"/>
        </w:rPr>
        <w:t>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0A7BE07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5.4.3磋商小组成员和评审工作有关人员不得干预或者影响正常评审工作，不得明示或者暗示其倾向性、引导性意见，不得修改磋商文件确定的评审程序、评审方法，不得征询</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代表的倾向性意见，不得记录、复制或带走任何评审资料。成交候选人确定后，磋商小组不得修改评审结果或者要求重新评审，但因初步审查认定错误或价格计算错误需依法重新评审的除外。应在评审报告中明确记载。</w:t>
      </w:r>
    </w:p>
    <w:p w14:paraId="597C2822">
      <w:pPr>
        <w:pStyle w:val="37"/>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eastAsiaTheme="minorEastAsia"/>
          <w:highlight w:val="none"/>
          <w:lang w:val="en-US" w:eastAsia="zh-CN"/>
        </w:rPr>
      </w:pPr>
      <w:r>
        <w:rPr>
          <w:rFonts w:hint="eastAsia" w:cs="宋体" w:asciiTheme="minorEastAsia" w:hAnsiTheme="minorEastAsia" w:eastAsiaTheme="minorEastAsia"/>
          <w:sz w:val="24"/>
          <w:szCs w:val="24"/>
          <w:highlight w:val="none"/>
          <w:lang w:val="en-US" w:eastAsia="zh-CN"/>
        </w:rPr>
        <w:t>5.4.4磋商小组成员要参与磋商报告的起草，要配合招标人、采购代理机构答复响应标人提出的质疑，配合财政部门的投诉处理和监督检查工作。</w:t>
      </w:r>
    </w:p>
    <w:p w14:paraId="7B09B6D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5.4.</w:t>
      </w:r>
      <w:r>
        <w:rPr>
          <w:rFonts w:hint="eastAsia" w:cs="宋体" w:asciiTheme="minorEastAsia" w:hAnsiTheme="minorEastAsia" w:eastAsiaTheme="minorEastAsia"/>
          <w:sz w:val="24"/>
          <w:szCs w:val="24"/>
          <w:highlight w:val="none"/>
          <w:lang w:val="en-US" w:eastAsia="zh-CN"/>
        </w:rPr>
        <w:t>5</w:t>
      </w:r>
      <w:r>
        <w:rPr>
          <w:rFonts w:hint="eastAsia" w:cs="宋体" w:asciiTheme="minorEastAsia" w:hAnsiTheme="minorEastAsia" w:eastAsiaTheme="minorEastAsia"/>
          <w:sz w:val="24"/>
          <w:szCs w:val="24"/>
          <w:highlight w:val="none"/>
        </w:rPr>
        <w:t>磋商小组成员有下列情形之一的，应当回避：</w:t>
      </w:r>
    </w:p>
    <w:p w14:paraId="51BDD04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或</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主要负责人的近亲属；</w:t>
      </w:r>
    </w:p>
    <w:p w14:paraId="42EBC6F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（2）项目主管部门或者行政监督部门的人员；</w:t>
      </w:r>
    </w:p>
    <w:p w14:paraId="135B3AC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（3）与</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有经济利益关系；</w:t>
      </w:r>
    </w:p>
    <w:p w14:paraId="15B3094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（4）曾因在招标、评标以及其他与招标投标有关活动中从事违法行为而受过行政处罚或刑事处罚的；</w:t>
      </w:r>
    </w:p>
    <w:p w14:paraId="5D0A868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（5）与</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有其他利害关系。</w:t>
      </w:r>
    </w:p>
    <w:p w14:paraId="3810204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cs="宋体" w:asciiTheme="minorEastAsia" w:hAnsiTheme="minorEastAsia" w:eastAsiaTheme="minorEastAsia"/>
          <w:b/>
          <w:bCs/>
          <w:sz w:val="24"/>
          <w:szCs w:val="24"/>
          <w:highlight w:val="none"/>
        </w:rPr>
      </w:pPr>
      <w:r>
        <w:rPr>
          <w:rFonts w:hint="eastAsia" w:cs="宋体" w:asciiTheme="minorEastAsia" w:hAnsiTheme="minorEastAsia" w:eastAsiaTheme="minorEastAsia"/>
          <w:b/>
          <w:bCs/>
          <w:sz w:val="24"/>
          <w:szCs w:val="24"/>
          <w:highlight w:val="none"/>
        </w:rPr>
        <w:t>5.5磋商原则和方法</w:t>
      </w:r>
    </w:p>
    <w:p w14:paraId="0A71782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5.5.1坚持公开、公平、公正的原则。</w:t>
      </w:r>
    </w:p>
    <w:p w14:paraId="273D4B8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5.5.2磋商在磋商小组应当集中与单一</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分别进行磋商，磋商小组将遵照磋商原则，公正、平等地对待所有</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。反对不正当竞争。</w:t>
      </w:r>
    </w:p>
    <w:p w14:paraId="7E882B4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5.5.3评审方法</w:t>
      </w:r>
    </w:p>
    <w:p w14:paraId="28E0EA7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（1）初步评审（是否响应竞争性磋商文件的要求），确定合格的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w:t>
      </w:r>
    </w:p>
    <w:p w14:paraId="58CE468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w:t>
      </w:r>
      <w:r>
        <w:rPr>
          <w:rFonts w:cs="宋体" w:asciiTheme="minorEastAsia" w:hAnsiTheme="minorEastAsia" w:eastAsiaTheme="minorEastAsia"/>
          <w:sz w:val="24"/>
          <w:szCs w:val="24"/>
          <w:highlight w:val="none"/>
        </w:rPr>
        <w:t>2</w:t>
      </w:r>
      <w:r>
        <w:rPr>
          <w:rFonts w:hint="eastAsia" w:cs="宋体" w:asciiTheme="minorEastAsia" w:hAnsiTheme="minorEastAsia" w:eastAsiaTheme="minorEastAsia"/>
          <w:sz w:val="24"/>
          <w:szCs w:val="24"/>
          <w:highlight w:val="none"/>
        </w:rPr>
        <w:t>）各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在磋商小组规定的时间内依据各自情况进行第二次报价，通过交易中心系统以电子形式递交，第二次报价为最终报价。</w:t>
      </w:r>
    </w:p>
    <w:p w14:paraId="13BB6FD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lang w:eastAsia="zh-CN"/>
        </w:rPr>
        <w:t>（</w:t>
      </w:r>
      <w:r>
        <w:rPr>
          <w:rFonts w:hint="eastAsia" w:cs="宋体" w:asciiTheme="minorEastAsia" w:hAnsiTheme="minorEastAsia" w:eastAsiaTheme="minorEastAsia"/>
          <w:sz w:val="24"/>
          <w:szCs w:val="24"/>
          <w:highlight w:val="none"/>
          <w:lang w:val="en-US" w:eastAsia="zh-CN"/>
        </w:rPr>
        <w:t>3</w:t>
      </w:r>
      <w:r>
        <w:rPr>
          <w:rFonts w:hint="eastAsia" w:cs="宋体" w:asciiTheme="minorEastAsia" w:hAnsiTheme="minorEastAsia" w:eastAsiaTheme="minorEastAsia"/>
          <w:sz w:val="24"/>
          <w:szCs w:val="24"/>
          <w:highlight w:val="none"/>
          <w:lang w:eastAsia="zh-CN"/>
        </w:rPr>
        <w:t>）</w:t>
      </w:r>
      <w:r>
        <w:rPr>
          <w:rFonts w:hint="eastAsia" w:cs="宋体" w:asciiTheme="minorEastAsia" w:hAnsiTheme="minorEastAsia" w:eastAsiaTheme="minorEastAsia"/>
          <w:sz w:val="24"/>
          <w:szCs w:val="24"/>
          <w:highlight w:val="none"/>
        </w:rPr>
        <w:t>本项目采用综合评分法，磋商小组成员综合评审各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提交的响应文件，采用综合评分法对提交最后报价的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的响应文件和最后报价进行综合评分</w:t>
      </w:r>
      <w:r>
        <w:rPr>
          <w:rFonts w:hint="eastAsia" w:cs="宋体" w:asciiTheme="minorEastAsia" w:hAnsiTheme="minorEastAsia" w:eastAsiaTheme="minorEastAsia"/>
          <w:sz w:val="24"/>
          <w:szCs w:val="24"/>
          <w:highlight w:val="none"/>
          <w:lang w:eastAsia="zh-CN"/>
        </w:rPr>
        <w:t>，</w:t>
      </w:r>
      <w:r>
        <w:rPr>
          <w:rFonts w:hint="eastAsia" w:cs="宋体" w:asciiTheme="minorEastAsia" w:hAnsiTheme="minorEastAsia" w:eastAsiaTheme="minorEastAsia"/>
          <w:sz w:val="24"/>
          <w:szCs w:val="24"/>
          <w:highlight w:val="none"/>
        </w:rPr>
        <w:t>按总得分由高到低的顺序推荐3名成交候选人，并编写评审报告。</w:t>
      </w:r>
    </w:p>
    <w:p w14:paraId="5339229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cs="宋体" w:asciiTheme="minorEastAsia" w:hAnsiTheme="minorEastAsia" w:eastAsiaTheme="minorEastAsia"/>
          <w:b/>
          <w:bCs/>
          <w:kern w:val="28"/>
          <w:sz w:val="24"/>
          <w:szCs w:val="24"/>
          <w:highlight w:val="none"/>
          <w:lang w:eastAsia="zh-CN"/>
        </w:rPr>
      </w:pPr>
      <w:r>
        <w:rPr>
          <w:rFonts w:hint="eastAsia" w:cs="宋体" w:asciiTheme="minorEastAsia" w:hAnsiTheme="minorEastAsia" w:eastAsiaTheme="minorEastAsia"/>
          <w:b/>
          <w:bCs/>
          <w:kern w:val="28"/>
          <w:sz w:val="24"/>
          <w:szCs w:val="24"/>
          <w:highlight w:val="none"/>
        </w:rPr>
        <w:t>5.6对</w:t>
      </w:r>
      <w:r>
        <w:rPr>
          <w:rFonts w:hint="eastAsia" w:cs="宋体" w:asciiTheme="minorEastAsia" w:hAnsiTheme="minorEastAsia"/>
          <w:b/>
          <w:bCs/>
          <w:kern w:val="28"/>
          <w:sz w:val="24"/>
          <w:szCs w:val="24"/>
          <w:highlight w:val="none"/>
          <w:lang w:eastAsia="zh-CN"/>
        </w:rPr>
        <w:t>投标人</w:t>
      </w:r>
      <w:r>
        <w:rPr>
          <w:rFonts w:hint="eastAsia" w:cs="宋体" w:asciiTheme="minorEastAsia" w:hAnsiTheme="minorEastAsia" w:eastAsiaTheme="minorEastAsia"/>
          <w:b/>
          <w:bCs/>
          <w:kern w:val="28"/>
          <w:sz w:val="24"/>
          <w:szCs w:val="24"/>
          <w:highlight w:val="none"/>
        </w:rPr>
        <w:t>的</w:t>
      </w:r>
      <w:r>
        <w:rPr>
          <w:rFonts w:hint="eastAsia" w:cs="宋体" w:asciiTheme="minorEastAsia" w:hAnsiTheme="minorEastAsia" w:eastAsiaTheme="minorEastAsia"/>
          <w:b/>
          <w:bCs/>
          <w:kern w:val="28"/>
          <w:sz w:val="24"/>
          <w:szCs w:val="24"/>
          <w:highlight w:val="none"/>
          <w:lang w:val="en-US" w:eastAsia="zh-CN"/>
        </w:rPr>
        <w:t>评审</w:t>
      </w:r>
    </w:p>
    <w:p w14:paraId="22264D5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5.6.1磋商小组只对已判定为实质性响应且通过初步审查的磋商响应文件进行详细评价和比较。</w:t>
      </w:r>
    </w:p>
    <w:p w14:paraId="76AB929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5.6.2磋商小组所有成员应当集中与单一</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分别进行磋商，并给予所有参加磋商的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平等的磋商机会。磋商完成后，要求其在规定时间内提交最后报价，提交最后报价的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可以为两家。</w:t>
      </w:r>
    </w:p>
    <w:p w14:paraId="60ED7C8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5.6.3经磋商确定最终工程需求和提交最后报价的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后，磋商小组采用综合评分法对提交最后报价的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的磋商响应文件和最后报价进行综合评分。</w:t>
      </w:r>
    </w:p>
    <w:p w14:paraId="57FDA28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5.6.4磋商小组根据综合评分情况，按评审得分由高到低的顺序确定成交候选人，并编写评审报告。评审得分相同的，按照最后报价由低到高的顺序确定，评审得分且最后报价相同的，按照技术指标优劣顺序确定成交候选人。评审报告由磋商小组全体人员签字。磋商小组成员对评审报告有异议的，磋商小组按照少数服从多数的原则推荐成交候选人，磋商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52811E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rPr>
        <w:t>5.6.5如果第一名</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放弃成交资格或因不可抗力提出不能履行合同、竞争性磋商文件规定应当提交履约担保而在规定的期限内未能提交的，</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可以按照评审报告推荐的成交候选人</w:t>
      </w:r>
      <w:r>
        <w:rPr>
          <w:rFonts w:hint="eastAsia" w:cs="宋体" w:asciiTheme="minorEastAsia" w:hAnsiTheme="minorEastAsia" w:eastAsiaTheme="minorEastAsia"/>
          <w:sz w:val="24"/>
          <w:szCs w:val="24"/>
          <w:highlight w:val="none"/>
          <w:lang w:eastAsia="zh-CN"/>
        </w:rPr>
        <w:t>名单，确定下一成交候选人为成交人，也可以重新开展采购活动。</w:t>
      </w:r>
    </w:p>
    <w:p w14:paraId="5E5A191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5.7</w:t>
      </w:r>
      <w:r>
        <w:rPr>
          <w:rFonts w:hint="eastAsia" w:cs="宋体" w:asciiTheme="minorEastAsia" w:hAnsiTheme="minorEastAsia" w:eastAsiaTheme="minorEastAsia"/>
          <w:sz w:val="24"/>
          <w:szCs w:val="24"/>
          <w:highlight w:val="none"/>
          <w:lang w:eastAsia="zh-CN"/>
        </w:rPr>
        <w:t>磋商过程的保密</w:t>
      </w:r>
    </w:p>
    <w:p w14:paraId="0B96264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5.7</w:t>
      </w:r>
      <w:r>
        <w:rPr>
          <w:rFonts w:hint="eastAsia" w:cs="宋体" w:asciiTheme="minorEastAsia" w:hAnsiTheme="minorEastAsia" w:eastAsiaTheme="minorEastAsia"/>
          <w:sz w:val="24"/>
          <w:szCs w:val="24"/>
          <w:highlight w:val="none"/>
          <w:lang w:eastAsia="zh-CN"/>
        </w:rPr>
        <w:t>.1响应文件的审查、澄清、评价和比较的有关资料以及成交候选人的推荐情况，与磋商有关的其他任何情况均应严格保密。</w:t>
      </w:r>
    </w:p>
    <w:p w14:paraId="56DFA2F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5.7</w:t>
      </w:r>
      <w:r>
        <w:rPr>
          <w:rFonts w:hint="eastAsia" w:cs="宋体" w:asciiTheme="minorEastAsia" w:hAnsiTheme="minorEastAsia" w:eastAsiaTheme="minorEastAsia"/>
          <w:sz w:val="24"/>
          <w:szCs w:val="24"/>
          <w:highlight w:val="none"/>
          <w:lang w:eastAsia="zh-CN"/>
        </w:rPr>
        <w:t>.2在响应文件的评审和比较、成交候选人推荐以及授予合同的过程中，</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lang w:eastAsia="zh-CN"/>
        </w:rPr>
        <w:t>向</w:t>
      </w:r>
      <w:r>
        <w:rPr>
          <w:rFonts w:hint="eastAsia" w:cs="宋体" w:asciiTheme="minorEastAsia" w:hAnsiTheme="minorEastAsia"/>
          <w:sz w:val="24"/>
          <w:szCs w:val="24"/>
          <w:highlight w:val="none"/>
          <w:lang w:val="en-US" w:eastAsia="zh-CN"/>
        </w:rPr>
        <w:t>招标人</w:t>
      </w:r>
      <w:r>
        <w:rPr>
          <w:rFonts w:hint="eastAsia" w:cs="宋体" w:asciiTheme="minorEastAsia" w:hAnsiTheme="minorEastAsia" w:eastAsiaTheme="minorEastAsia"/>
          <w:sz w:val="24"/>
          <w:szCs w:val="24"/>
          <w:highlight w:val="none"/>
          <w:lang w:eastAsia="zh-CN"/>
        </w:rPr>
        <w:t>和磋商小组施加影响的任何行为，都将会导致其磋商被拒绝。</w:t>
      </w:r>
    </w:p>
    <w:p w14:paraId="787EB1B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5.7</w:t>
      </w:r>
      <w:r>
        <w:rPr>
          <w:rFonts w:hint="eastAsia" w:cs="宋体" w:asciiTheme="minorEastAsia" w:hAnsiTheme="minorEastAsia" w:eastAsiaTheme="minorEastAsia"/>
          <w:sz w:val="24"/>
          <w:szCs w:val="24"/>
          <w:highlight w:val="none"/>
          <w:lang w:eastAsia="zh-CN"/>
        </w:rPr>
        <w:t>.3</w:t>
      </w:r>
      <w:r>
        <w:rPr>
          <w:rFonts w:hint="eastAsia" w:cs="宋体" w:asciiTheme="minorEastAsia" w:hAnsiTheme="minorEastAsia"/>
          <w:sz w:val="24"/>
          <w:szCs w:val="24"/>
          <w:highlight w:val="none"/>
          <w:lang w:val="en-US" w:eastAsia="zh-CN"/>
        </w:rPr>
        <w:t>招标人</w:t>
      </w:r>
      <w:r>
        <w:rPr>
          <w:rFonts w:hint="eastAsia" w:cs="宋体" w:asciiTheme="minorEastAsia" w:hAnsiTheme="minorEastAsia" w:eastAsiaTheme="minorEastAsia"/>
          <w:sz w:val="24"/>
          <w:szCs w:val="24"/>
          <w:highlight w:val="none"/>
          <w:lang w:eastAsia="zh-CN"/>
        </w:rPr>
        <w:t>不对未成交人就磋商过程以及未能成交原因作出任何解释。未成交人不得向磋商小组成员和其他有关人员索问磋商过程的情况和资料。</w:t>
      </w:r>
    </w:p>
    <w:p w14:paraId="217DEEB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val="en-US" w:eastAsia="zh-CN"/>
        </w:rPr>
      </w:pPr>
      <w:r>
        <w:rPr>
          <w:rFonts w:hint="eastAsia" w:cs="宋体" w:asciiTheme="minorEastAsia" w:hAnsiTheme="minorEastAsia" w:eastAsiaTheme="minorEastAsia"/>
          <w:sz w:val="24"/>
          <w:szCs w:val="24"/>
          <w:highlight w:val="none"/>
          <w:lang w:val="en-US" w:eastAsia="zh-CN"/>
        </w:rPr>
        <w:t>5.8 响应文件的澄清</w:t>
      </w:r>
    </w:p>
    <w:p w14:paraId="55B9240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eastAsia="zh-CN"/>
        </w:rPr>
        <w:t>磋商小组可以以书面形式要求</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lang w:eastAsia="zh-CN"/>
        </w:rPr>
        <w:t>对其响应文件中含义不明确的内容作必要的澄清或说明。</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lang w:eastAsia="zh-CN"/>
        </w:rPr>
        <w:t>应采用书面形式进行澄清和说明，但不得超出响应文件的范围或者改变响应文件实质性内容。凡属于磋商小组在磋商发现的计算错误并进行核实的修改不在此列。</w:t>
      </w:r>
    </w:p>
    <w:p w14:paraId="5501840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val="en-US" w:eastAsia="zh-CN"/>
        </w:rPr>
      </w:pPr>
      <w:r>
        <w:rPr>
          <w:rFonts w:hint="eastAsia" w:cs="宋体" w:asciiTheme="minorEastAsia" w:hAnsiTheme="minorEastAsia" w:eastAsiaTheme="minorEastAsia"/>
          <w:sz w:val="24"/>
          <w:szCs w:val="24"/>
          <w:highlight w:val="none"/>
          <w:lang w:val="en-US" w:eastAsia="zh-CN"/>
        </w:rPr>
        <w:t>5.9 响应文件的初步评审</w:t>
      </w:r>
    </w:p>
    <w:p w14:paraId="398428C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5.9</w:t>
      </w:r>
      <w:r>
        <w:rPr>
          <w:rFonts w:hint="eastAsia" w:cs="宋体" w:asciiTheme="minorEastAsia" w:hAnsiTheme="minorEastAsia" w:eastAsiaTheme="minorEastAsia"/>
          <w:sz w:val="24"/>
          <w:szCs w:val="24"/>
          <w:highlight w:val="none"/>
          <w:lang w:eastAsia="zh-CN"/>
        </w:rPr>
        <w:t>.1根据初步评审要求经审查有效的响应文件，才能提交磋商小组进行评审。</w:t>
      </w:r>
    </w:p>
    <w:p w14:paraId="6205A66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5.9</w:t>
      </w:r>
      <w:r>
        <w:rPr>
          <w:rFonts w:hint="eastAsia" w:cs="宋体" w:asciiTheme="minorEastAsia" w:hAnsiTheme="minorEastAsia" w:eastAsiaTheme="minorEastAsia"/>
          <w:sz w:val="24"/>
          <w:szCs w:val="24"/>
          <w:highlight w:val="none"/>
          <w:lang w:eastAsia="zh-CN"/>
        </w:rPr>
        <w:t>.2磋商小组首先评定每份响应文件是否实质上响应了竞争性磋商文件的要求。所谓实质上响应，是指响应文件与竞争性磋商文件的所有实质性条款、条件和要求相符，无显著差异或保留，或者对合同中约定的</w:t>
      </w:r>
      <w:r>
        <w:rPr>
          <w:rFonts w:hint="eastAsia" w:cs="宋体" w:asciiTheme="minorEastAsia" w:hAnsiTheme="minorEastAsia"/>
          <w:sz w:val="24"/>
          <w:szCs w:val="24"/>
          <w:highlight w:val="none"/>
          <w:lang w:val="en-US" w:eastAsia="zh-CN"/>
        </w:rPr>
        <w:t>招标人</w:t>
      </w:r>
      <w:r>
        <w:rPr>
          <w:rFonts w:hint="eastAsia" w:cs="宋体" w:asciiTheme="minorEastAsia" w:hAnsiTheme="minorEastAsia" w:eastAsiaTheme="minorEastAsia"/>
          <w:sz w:val="24"/>
          <w:szCs w:val="24"/>
          <w:highlight w:val="none"/>
          <w:lang w:eastAsia="zh-CN"/>
        </w:rPr>
        <w:t>的权利和</w:t>
      </w:r>
      <w:r>
        <w:rPr>
          <w:rFonts w:hint="eastAsia" w:cs="宋体" w:asciiTheme="minorEastAsia" w:hAnsiTheme="minorEastAsia"/>
          <w:sz w:val="24"/>
          <w:szCs w:val="24"/>
          <w:highlight w:val="none"/>
          <w:lang w:val="en-US" w:eastAsia="zh-CN"/>
        </w:rPr>
        <w:t>投标人</w:t>
      </w:r>
      <w:r>
        <w:rPr>
          <w:rFonts w:hint="eastAsia" w:cs="宋体" w:asciiTheme="minorEastAsia" w:hAnsiTheme="minorEastAsia" w:eastAsiaTheme="minorEastAsia"/>
          <w:sz w:val="24"/>
          <w:szCs w:val="24"/>
          <w:highlight w:val="none"/>
          <w:lang w:eastAsia="zh-CN"/>
        </w:rPr>
        <w:t>的义务方面造成重大的限制，纠正这些差异或保留，将会对其他实质上响应竞争性磋商文件要求的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lang w:eastAsia="zh-CN"/>
        </w:rPr>
        <w:t>的竞争地位产生不公正的影响。</w:t>
      </w:r>
    </w:p>
    <w:p w14:paraId="29B0D5A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5.9</w:t>
      </w:r>
      <w:r>
        <w:rPr>
          <w:rFonts w:hint="eastAsia" w:cs="宋体" w:asciiTheme="minorEastAsia" w:hAnsiTheme="minorEastAsia" w:eastAsiaTheme="minorEastAsia"/>
          <w:sz w:val="24"/>
          <w:szCs w:val="24"/>
          <w:highlight w:val="none"/>
          <w:lang w:eastAsia="zh-CN"/>
        </w:rPr>
        <w:t>.3如果响应文件实质上不响应竞争性磋商文件的要求，招标人将予以拒绝，并且不允许</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lang w:eastAsia="zh-CN"/>
        </w:rPr>
        <w:t>通过修改或撤消其不符合要求的差异或保留，使之成为具有响应性的磋商。</w:t>
      </w:r>
    </w:p>
    <w:p w14:paraId="01C8A2C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cs="宋体" w:asciiTheme="minorEastAsia" w:hAnsiTheme="minorEastAsia" w:eastAsiaTheme="minorEastAsia"/>
          <w:b/>
          <w:bCs/>
          <w:sz w:val="24"/>
          <w:szCs w:val="24"/>
          <w:highlight w:val="none"/>
          <w:lang w:val="en-US" w:eastAsia="zh-CN"/>
        </w:rPr>
      </w:pPr>
      <w:r>
        <w:rPr>
          <w:rFonts w:hint="eastAsia" w:cs="宋体" w:asciiTheme="minorEastAsia" w:hAnsiTheme="minorEastAsia" w:eastAsiaTheme="minorEastAsia"/>
          <w:b/>
          <w:bCs/>
          <w:sz w:val="24"/>
          <w:szCs w:val="24"/>
          <w:highlight w:val="none"/>
          <w:lang w:val="en-US" w:eastAsia="zh-CN"/>
        </w:rPr>
        <w:t>5.10 响应文件计算错误的修正</w:t>
      </w:r>
    </w:p>
    <w:p w14:paraId="21BC43C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 xml:space="preserve">  </w:t>
      </w:r>
      <w:r>
        <w:rPr>
          <w:rFonts w:hint="eastAsia" w:cs="宋体" w:asciiTheme="minorEastAsia" w:hAnsiTheme="minorEastAsia" w:eastAsiaTheme="minorEastAsia"/>
          <w:sz w:val="24"/>
          <w:szCs w:val="24"/>
          <w:highlight w:val="none"/>
          <w:lang w:eastAsia="zh-CN"/>
        </w:rPr>
        <w:t>磋商小组将对确定为实质上响应竞争性磋商文件要求的响应文件进行校核，看其是否有计算或表达上的错误，修正错误的原则如下：</w:t>
      </w:r>
    </w:p>
    <w:p w14:paraId="66B45ED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5.10</w:t>
      </w:r>
      <w:r>
        <w:rPr>
          <w:rFonts w:hint="eastAsia" w:cs="宋体" w:asciiTheme="minorEastAsia" w:hAnsiTheme="minorEastAsia" w:eastAsiaTheme="minorEastAsia"/>
          <w:sz w:val="24"/>
          <w:szCs w:val="24"/>
          <w:highlight w:val="none"/>
          <w:lang w:eastAsia="zh-CN"/>
        </w:rPr>
        <w:t>.1如果数字表示的金额和用文字表示的金额不一致时，应以文字表示的金额为准；</w:t>
      </w:r>
    </w:p>
    <w:p w14:paraId="49AB82B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5.10</w:t>
      </w:r>
      <w:r>
        <w:rPr>
          <w:rFonts w:hint="eastAsia" w:cs="宋体" w:asciiTheme="minorEastAsia" w:hAnsiTheme="minorEastAsia" w:eastAsiaTheme="minorEastAsia"/>
          <w:sz w:val="24"/>
          <w:szCs w:val="24"/>
          <w:highlight w:val="none"/>
          <w:lang w:eastAsia="zh-CN"/>
        </w:rPr>
        <w:t>.2当单价与数量的乘积与合价不一致时，以单价为准，除非磋商小组认为单价有明显的小数点错误，此时应以标出的合价为准，并修改单价。</w:t>
      </w:r>
    </w:p>
    <w:p w14:paraId="5A1BC3C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5.10.3</w:t>
      </w:r>
      <w:r>
        <w:rPr>
          <w:rFonts w:hint="eastAsia" w:cs="宋体" w:asciiTheme="minorEastAsia" w:hAnsiTheme="minorEastAsia" w:eastAsiaTheme="minorEastAsia"/>
          <w:sz w:val="24"/>
          <w:szCs w:val="24"/>
          <w:highlight w:val="none"/>
          <w:lang w:eastAsia="zh-CN"/>
        </w:rPr>
        <w:t>按上述修正错误的原则及方法调整或修正响应文件的磋商报价，</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lang w:eastAsia="zh-CN"/>
        </w:rPr>
        <w:t>同意后，调整后的磋商报价对</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lang w:eastAsia="zh-CN"/>
        </w:rPr>
        <w:t>起约束作用。如果</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lang w:eastAsia="zh-CN"/>
        </w:rPr>
        <w:t>不接受修正后的报价，则磋商小组对其不再进行评审。</w:t>
      </w:r>
    </w:p>
    <w:p w14:paraId="6A1924F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5.11</w:t>
      </w:r>
      <w:r>
        <w:rPr>
          <w:rFonts w:hint="eastAsia" w:cs="宋体" w:asciiTheme="minorEastAsia" w:hAnsiTheme="minorEastAsia" w:eastAsiaTheme="minorEastAsia"/>
          <w:sz w:val="24"/>
          <w:szCs w:val="24"/>
          <w:highlight w:val="none"/>
          <w:lang w:eastAsia="zh-CN"/>
        </w:rPr>
        <w:t>. 响应文件的评审、比较和否决</w:t>
      </w:r>
    </w:p>
    <w:p w14:paraId="256AA1F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5.11</w:t>
      </w:r>
      <w:r>
        <w:rPr>
          <w:rFonts w:hint="eastAsia" w:cs="宋体" w:asciiTheme="minorEastAsia" w:hAnsiTheme="minorEastAsia" w:eastAsiaTheme="minorEastAsia"/>
          <w:sz w:val="24"/>
          <w:szCs w:val="24"/>
          <w:highlight w:val="none"/>
          <w:lang w:eastAsia="zh-CN"/>
        </w:rPr>
        <w:t>.1磋商小组仅对在实质上响应竞争性磋商文件要求的响应文件进行评估和比较。</w:t>
      </w:r>
    </w:p>
    <w:p w14:paraId="56158B3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5.11</w:t>
      </w:r>
      <w:r>
        <w:rPr>
          <w:rFonts w:hint="eastAsia" w:cs="宋体" w:asciiTheme="minorEastAsia" w:hAnsiTheme="minorEastAsia" w:eastAsiaTheme="minorEastAsia"/>
          <w:sz w:val="24"/>
          <w:szCs w:val="24"/>
          <w:highlight w:val="none"/>
          <w:lang w:eastAsia="zh-CN"/>
        </w:rPr>
        <w:t>.2在磋商过程中，磋商小组发现</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lang w:eastAsia="zh-CN"/>
        </w:rPr>
        <w:t>的磋商报价明显低于其他</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lang w:eastAsia="zh-CN"/>
        </w:rPr>
        <w:t>的报价，并有可能低于其企业成本的，则磋商小组可以以书面形式要求该</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lang w:eastAsia="zh-CN"/>
        </w:rPr>
        <w:t>作出书面说明并提供相关证明材料。</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lang w:eastAsia="zh-CN"/>
        </w:rPr>
        <w:t>不能合理说明或不能提供相关证明材料的，磋商小组对其响应文件不再进行评审。</w:t>
      </w:r>
    </w:p>
    <w:p w14:paraId="3BC12FD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5.11</w:t>
      </w:r>
      <w:r>
        <w:rPr>
          <w:rFonts w:hint="eastAsia" w:cs="宋体" w:asciiTheme="minorEastAsia" w:hAnsiTheme="minorEastAsia" w:eastAsiaTheme="minorEastAsia"/>
          <w:sz w:val="24"/>
          <w:szCs w:val="24"/>
          <w:highlight w:val="none"/>
          <w:lang w:eastAsia="zh-CN"/>
        </w:rPr>
        <w:t xml:space="preserve">.3在首轮磋商的基础上，磋商小组讨论、分析、综合各种因素后，决定是否与各方再次进行磋商。 </w:t>
      </w:r>
    </w:p>
    <w:p w14:paraId="089C4155">
      <w:pPr>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val="en-US" w:eastAsia="zh-CN"/>
        </w:rPr>
        <w:t>5.11</w:t>
      </w:r>
      <w:r>
        <w:rPr>
          <w:rFonts w:hint="eastAsia" w:cs="宋体" w:asciiTheme="minorEastAsia" w:hAnsiTheme="minorEastAsia" w:eastAsiaTheme="minorEastAsia"/>
          <w:sz w:val="24"/>
          <w:szCs w:val="24"/>
          <w:highlight w:val="none"/>
          <w:lang w:eastAsia="zh-CN"/>
        </w:rPr>
        <w:t xml:space="preserve">.3在首轮磋商的基础上，磋商小组讨论、分析、综合各种因素后，决定是否与各方再次进行磋商。 </w:t>
      </w:r>
    </w:p>
    <w:p w14:paraId="7145223C">
      <w:pPr>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466" w:firstLineChars="200"/>
        <w:jc w:val="both"/>
        <w:textAlignment w:val="auto"/>
        <w:rPr>
          <w:rFonts w:hint="eastAsia" w:cs="宋体" w:asciiTheme="minorEastAsia" w:hAnsiTheme="minorEastAsia" w:eastAsiaTheme="minorEastAsia"/>
          <w:b/>
          <w:bCs/>
          <w:sz w:val="24"/>
          <w:szCs w:val="24"/>
          <w:highlight w:val="none"/>
          <w:lang w:eastAsia="zh-CN"/>
        </w:rPr>
      </w:pPr>
      <w:r>
        <w:rPr>
          <w:rFonts w:hint="eastAsia" w:ascii="宋体" w:hAnsi="宋体" w:eastAsia="宋体" w:cs="宋体"/>
          <w:b/>
          <w:bCs/>
          <w:snapToGrid w:val="0"/>
          <w:spacing w:val="-4"/>
          <w:sz w:val="24"/>
          <w:szCs w:val="24"/>
          <w:highlight w:val="none"/>
          <w:lang w:val="en-US" w:eastAsia="zh-CN"/>
        </w:rPr>
        <w:t>5.11.4</w:t>
      </w:r>
      <w:r>
        <w:rPr>
          <w:rFonts w:hint="eastAsia" w:ascii="宋体" w:hAnsi="宋体" w:eastAsia="宋体" w:cs="宋体"/>
          <w:b/>
          <w:bCs/>
          <w:snapToGrid w:val="0"/>
          <w:spacing w:val="-4"/>
          <w:sz w:val="24"/>
          <w:szCs w:val="24"/>
          <w:highlight w:val="none"/>
        </w:rPr>
        <w:t>磋商截止时间结束后参加供应商不足3家的，项目予以废标。在评审期间根据财库〔2015〕124号文件，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1D9507E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cs="宋体" w:asciiTheme="minorEastAsia" w:hAnsiTheme="minorEastAsia" w:eastAsiaTheme="minorEastAsia"/>
          <w:b/>
          <w:bCs/>
          <w:sz w:val="24"/>
          <w:szCs w:val="24"/>
          <w:highlight w:val="none"/>
          <w:lang w:eastAsia="zh-CN"/>
        </w:rPr>
      </w:pPr>
      <w:bookmarkStart w:id="267" w:name="_Toc246996953"/>
      <w:bookmarkStart w:id="268" w:name="_Toc247085724"/>
      <w:bookmarkStart w:id="269" w:name="_Toc152045566"/>
      <w:bookmarkStart w:id="270" w:name="_Toc144974534"/>
      <w:bookmarkStart w:id="271" w:name="_Toc246996210"/>
      <w:bookmarkStart w:id="272" w:name="_Toc179632584"/>
      <w:bookmarkStart w:id="273" w:name="_Toc152042342"/>
      <w:bookmarkStart w:id="274" w:name="_Toc296602455"/>
      <w:r>
        <w:rPr>
          <w:rFonts w:hint="eastAsia" w:cs="宋体" w:asciiTheme="minorEastAsia" w:hAnsiTheme="minorEastAsia" w:eastAsiaTheme="minorEastAsia"/>
          <w:b/>
          <w:bCs/>
          <w:sz w:val="24"/>
          <w:szCs w:val="24"/>
          <w:highlight w:val="none"/>
          <w:lang w:eastAsia="zh-CN"/>
        </w:rPr>
        <w:t>5.</w:t>
      </w:r>
      <w:r>
        <w:rPr>
          <w:rFonts w:hint="eastAsia" w:cs="宋体" w:asciiTheme="minorEastAsia" w:hAnsiTheme="minorEastAsia" w:eastAsiaTheme="minorEastAsia"/>
          <w:b/>
          <w:bCs/>
          <w:sz w:val="24"/>
          <w:szCs w:val="24"/>
          <w:highlight w:val="none"/>
          <w:lang w:val="en-US" w:eastAsia="zh-CN"/>
        </w:rPr>
        <w:t>12</w:t>
      </w:r>
      <w:r>
        <w:rPr>
          <w:rFonts w:hint="eastAsia" w:cs="宋体" w:asciiTheme="minorEastAsia" w:hAnsiTheme="minorEastAsia" w:eastAsiaTheme="minorEastAsia"/>
          <w:b/>
          <w:bCs/>
          <w:sz w:val="24"/>
          <w:szCs w:val="24"/>
          <w:highlight w:val="none"/>
          <w:lang w:eastAsia="zh-CN"/>
        </w:rPr>
        <w:t>确定成交人</w:t>
      </w:r>
    </w:p>
    <w:p w14:paraId="37A6844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cs="宋体" w:asciiTheme="minorEastAsia" w:hAnsiTheme="minorEastAsia" w:eastAsiaTheme="minorEastAsia"/>
          <w:sz w:val="24"/>
          <w:szCs w:val="24"/>
          <w:highlight w:val="none"/>
          <w:lang w:eastAsia="zh-CN"/>
        </w:rPr>
      </w:pPr>
      <w:r>
        <w:rPr>
          <w:rFonts w:hint="eastAsia" w:cs="宋体" w:asciiTheme="minorEastAsia" w:hAnsiTheme="minorEastAsia" w:eastAsiaTheme="minorEastAsia"/>
          <w:sz w:val="24"/>
          <w:szCs w:val="24"/>
          <w:highlight w:val="none"/>
          <w:lang w:eastAsia="zh-CN"/>
        </w:rPr>
        <w:t>磋商小组应当根据综合评分情况，按照评审有高到低的顺序推荐成交候选人，并编写评标报告。</w:t>
      </w:r>
    </w:p>
    <w:p w14:paraId="5F058616">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75" w:name="_Toc77586941"/>
      <w:bookmarkStart w:id="276" w:name="_Toc77586848"/>
      <w:r>
        <w:rPr>
          <w:rFonts w:hint="eastAsia" w:cs="宋体" w:asciiTheme="minorEastAsia" w:hAnsiTheme="minorEastAsia" w:eastAsiaTheme="minorEastAsia"/>
          <w:sz w:val="24"/>
          <w:szCs w:val="24"/>
          <w:highlight w:val="none"/>
        </w:rPr>
        <w:t>6. 合同授予</w:t>
      </w:r>
      <w:bookmarkEnd w:id="267"/>
      <w:bookmarkEnd w:id="268"/>
      <w:bookmarkEnd w:id="269"/>
      <w:bookmarkEnd w:id="270"/>
      <w:bookmarkEnd w:id="271"/>
      <w:bookmarkEnd w:id="272"/>
      <w:bookmarkEnd w:id="273"/>
      <w:bookmarkEnd w:id="274"/>
      <w:bookmarkEnd w:id="275"/>
      <w:bookmarkEnd w:id="276"/>
    </w:p>
    <w:p w14:paraId="2FCD95C7">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77" w:name="_Toc179632585"/>
      <w:bookmarkStart w:id="278" w:name="_Toc152042343"/>
      <w:bookmarkStart w:id="279" w:name="_Toc246996954"/>
      <w:bookmarkStart w:id="280" w:name="_Toc77586942"/>
      <w:bookmarkStart w:id="281" w:name="_Toc246996211"/>
      <w:bookmarkStart w:id="282" w:name="_Toc144974535"/>
      <w:bookmarkStart w:id="283" w:name="_Toc247085725"/>
      <w:bookmarkStart w:id="284" w:name="_Toc152045567"/>
      <w:bookmarkStart w:id="285" w:name="_Toc296602456"/>
      <w:bookmarkStart w:id="286" w:name="_Toc77586849"/>
      <w:r>
        <w:rPr>
          <w:rFonts w:hint="eastAsia" w:cs="宋体" w:asciiTheme="minorEastAsia" w:hAnsiTheme="minorEastAsia" w:eastAsiaTheme="minorEastAsia"/>
          <w:sz w:val="24"/>
          <w:szCs w:val="24"/>
          <w:highlight w:val="none"/>
        </w:rPr>
        <w:t>6.1 定标方式</w:t>
      </w:r>
      <w:bookmarkEnd w:id="277"/>
      <w:bookmarkEnd w:id="278"/>
      <w:bookmarkEnd w:id="279"/>
      <w:bookmarkEnd w:id="280"/>
      <w:bookmarkEnd w:id="281"/>
      <w:bookmarkEnd w:id="282"/>
      <w:bookmarkEnd w:id="283"/>
      <w:bookmarkEnd w:id="284"/>
      <w:bookmarkEnd w:id="285"/>
      <w:bookmarkEnd w:id="286"/>
    </w:p>
    <w:p w14:paraId="2A01185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依据磋商小组推荐的成交候选人确定成交人。</w:t>
      </w:r>
    </w:p>
    <w:p w14:paraId="0E72A98C">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87" w:name="_Toc296602457"/>
      <w:bookmarkStart w:id="288" w:name="_Toc77586850"/>
      <w:bookmarkStart w:id="289" w:name="_Toc77586943"/>
      <w:r>
        <w:rPr>
          <w:rFonts w:hint="eastAsia" w:cs="宋体" w:asciiTheme="minorEastAsia" w:hAnsiTheme="minorEastAsia" w:eastAsiaTheme="minorEastAsia"/>
          <w:sz w:val="24"/>
          <w:szCs w:val="24"/>
          <w:highlight w:val="none"/>
        </w:rPr>
        <w:t>6.2 成交候选人公示</w:t>
      </w:r>
      <w:bookmarkEnd w:id="287"/>
      <w:bookmarkEnd w:id="288"/>
      <w:bookmarkEnd w:id="289"/>
    </w:p>
    <w:p w14:paraId="627F7F2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在</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须知前附表规定的媒介公示成交候选人。</w:t>
      </w:r>
    </w:p>
    <w:p w14:paraId="4668FEDA">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290" w:name="_Toc144974536"/>
      <w:bookmarkStart w:id="291" w:name="_Toc179632586"/>
      <w:bookmarkStart w:id="292" w:name="_Toc77586944"/>
      <w:bookmarkStart w:id="293" w:name="_Toc247085726"/>
      <w:bookmarkStart w:id="294" w:name="_Toc152045568"/>
      <w:bookmarkStart w:id="295" w:name="_Toc77586851"/>
      <w:bookmarkStart w:id="296" w:name="_Toc246996212"/>
      <w:bookmarkStart w:id="297" w:name="_Toc152042344"/>
      <w:bookmarkStart w:id="298" w:name="_Toc296602458"/>
      <w:bookmarkStart w:id="299" w:name="_Toc246996955"/>
      <w:r>
        <w:rPr>
          <w:rFonts w:hint="eastAsia" w:cs="宋体" w:asciiTheme="minorEastAsia" w:hAnsiTheme="minorEastAsia" w:eastAsiaTheme="minorEastAsia"/>
          <w:sz w:val="24"/>
          <w:szCs w:val="24"/>
          <w:highlight w:val="none"/>
        </w:rPr>
        <w:t>6.3 成交通知</w:t>
      </w:r>
      <w:bookmarkEnd w:id="290"/>
      <w:bookmarkEnd w:id="291"/>
      <w:bookmarkEnd w:id="292"/>
      <w:bookmarkEnd w:id="293"/>
      <w:bookmarkEnd w:id="294"/>
      <w:bookmarkEnd w:id="295"/>
      <w:bookmarkEnd w:id="296"/>
      <w:bookmarkEnd w:id="297"/>
      <w:bookmarkEnd w:id="298"/>
      <w:bookmarkEnd w:id="299"/>
    </w:p>
    <w:p w14:paraId="01D3616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在本章第3.3款规定的投标有效期内，</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以书面形式向成交人发出成交通知书，同时将成交结果通知未成交的</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w:t>
      </w:r>
    </w:p>
    <w:p w14:paraId="26D6266C">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300" w:name="_Toc152045569"/>
      <w:bookmarkStart w:id="301" w:name="_Toc247085727"/>
      <w:bookmarkStart w:id="302" w:name="_Toc246996213"/>
      <w:bookmarkStart w:id="303" w:name="_Toc152042345"/>
      <w:bookmarkStart w:id="304" w:name="_Toc77586945"/>
      <w:bookmarkStart w:id="305" w:name="_Toc144974537"/>
      <w:bookmarkStart w:id="306" w:name="_Toc246996956"/>
      <w:bookmarkStart w:id="307" w:name="_Toc77586852"/>
      <w:bookmarkStart w:id="308" w:name="_Toc296602459"/>
      <w:bookmarkStart w:id="309" w:name="_Toc179632587"/>
      <w:r>
        <w:rPr>
          <w:rFonts w:hint="eastAsia" w:cs="宋体" w:asciiTheme="minorEastAsia" w:hAnsiTheme="minorEastAsia" w:eastAsiaTheme="minorEastAsia"/>
          <w:sz w:val="24"/>
          <w:szCs w:val="24"/>
          <w:highlight w:val="none"/>
        </w:rPr>
        <w:t xml:space="preserve">6.4 </w:t>
      </w:r>
      <w:bookmarkEnd w:id="300"/>
      <w:bookmarkEnd w:id="301"/>
      <w:bookmarkEnd w:id="302"/>
      <w:bookmarkEnd w:id="303"/>
      <w:bookmarkEnd w:id="304"/>
      <w:bookmarkEnd w:id="305"/>
      <w:bookmarkEnd w:id="306"/>
      <w:bookmarkEnd w:id="307"/>
      <w:bookmarkEnd w:id="308"/>
      <w:bookmarkEnd w:id="309"/>
      <w:bookmarkStart w:id="310" w:name="_Toc152042346"/>
      <w:bookmarkStart w:id="311" w:name="_Toc77586946"/>
      <w:bookmarkStart w:id="312" w:name="_Toc179632588"/>
      <w:bookmarkStart w:id="313" w:name="_Toc246996957"/>
      <w:bookmarkStart w:id="314" w:name="_Toc144974538"/>
      <w:bookmarkStart w:id="315" w:name="_Toc152045570"/>
      <w:bookmarkStart w:id="316" w:name="_Toc77586853"/>
      <w:bookmarkStart w:id="317" w:name="_Toc296602460"/>
      <w:bookmarkStart w:id="318" w:name="_Toc247085728"/>
      <w:bookmarkStart w:id="319" w:name="_Toc246996214"/>
      <w:r>
        <w:rPr>
          <w:rFonts w:hint="eastAsia" w:cs="宋体" w:asciiTheme="minorEastAsia" w:hAnsiTheme="minorEastAsia" w:eastAsiaTheme="minorEastAsia"/>
          <w:sz w:val="24"/>
          <w:szCs w:val="24"/>
          <w:highlight w:val="none"/>
        </w:rPr>
        <w:t>签订合同</w:t>
      </w:r>
      <w:bookmarkEnd w:id="310"/>
      <w:bookmarkEnd w:id="311"/>
      <w:bookmarkEnd w:id="312"/>
      <w:bookmarkEnd w:id="313"/>
      <w:bookmarkEnd w:id="314"/>
      <w:bookmarkEnd w:id="315"/>
      <w:bookmarkEnd w:id="316"/>
      <w:bookmarkEnd w:id="317"/>
      <w:bookmarkEnd w:id="318"/>
      <w:bookmarkEnd w:id="319"/>
    </w:p>
    <w:p w14:paraId="0AA1BBC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6.4.1</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和成交人应当自成交通知书发出之日起2个工作日内，根据竞争性磋商文件和成交人的磋商响应文件订立书面合同。成交人无正当理由拒签合同的，</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取消其成交资格，给</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造成的损失应当予以赔偿。</w:t>
      </w:r>
    </w:p>
    <w:p w14:paraId="447A428F">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320" w:name="_Toc296602461"/>
      <w:bookmarkStart w:id="321" w:name="_Toc77586854"/>
      <w:bookmarkStart w:id="322" w:name="_Toc77586947"/>
      <w:r>
        <w:rPr>
          <w:rFonts w:hint="eastAsia" w:cs="宋体" w:asciiTheme="minorEastAsia" w:hAnsiTheme="minorEastAsia" w:eastAsiaTheme="minorEastAsia"/>
          <w:sz w:val="24"/>
          <w:szCs w:val="24"/>
          <w:highlight w:val="none"/>
        </w:rPr>
        <w:t>7. 纪律和监督</w:t>
      </w:r>
      <w:bookmarkEnd w:id="320"/>
      <w:bookmarkEnd w:id="321"/>
      <w:bookmarkEnd w:id="322"/>
    </w:p>
    <w:p w14:paraId="2CB2BE06">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323" w:name="_Toc246996219"/>
      <w:bookmarkStart w:id="324" w:name="_Toc77586948"/>
      <w:bookmarkStart w:id="325" w:name="_Toc179632593"/>
      <w:bookmarkStart w:id="326" w:name="_Toc152042351"/>
      <w:bookmarkStart w:id="327" w:name="_Toc152045575"/>
      <w:bookmarkStart w:id="328" w:name="_Toc246996962"/>
      <w:bookmarkStart w:id="329" w:name="_Toc144974543"/>
      <w:bookmarkStart w:id="330" w:name="_Toc296590983"/>
      <w:bookmarkStart w:id="331" w:name="_Toc247085733"/>
      <w:bookmarkStart w:id="332" w:name="_Toc77586855"/>
      <w:bookmarkStart w:id="333" w:name="_Toc296602462"/>
      <w:r>
        <w:rPr>
          <w:rFonts w:hint="eastAsia" w:cs="宋体" w:asciiTheme="minorEastAsia" w:hAnsiTheme="minorEastAsia" w:eastAsiaTheme="minorEastAsia"/>
          <w:sz w:val="24"/>
          <w:szCs w:val="24"/>
          <w:highlight w:val="none"/>
        </w:rPr>
        <w:t>7.1 对</w:t>
      </w:r>
      <w:r>
        <w:rPr>
          <w:rFonts w:hint="eastAsia" w:cs="宋体" w:asciiTheme="minorEastAsia" w:hAnsiTheme="minorEastAsia" w:eastAsiaTheme="minorEastAsia"/>
          <w:sz w:val="24"/>
          <w:szCs w:val="24"/>
          <w:highlight w:val="none"/>
          <w:lang w:eastAsia="zh-CN"/>
        </w:rPr>
        <w:t>招标人</w:t>
      </w:r>
      <w:r>
        <w:rPr>
          <w:rFonts w:hint="eastAsia" w:cs="宋体" w:asciiTheme="minorEastAsia" w:hAnsiTheme="minorEastAsia" w:eastAsiaTheme="minorEastAsia"/>
          <w:sz w:val="24"/>
          <w:szCs w:val="24"/>
          <w:highlight w:val="none"/>
        </w:rPr>
        <w:t>的纪律要求</w:t>
      </w:r>
      <w:bookmarkEnd w:id="323"/>
      <w:bookmarkEnd w:id="324"/>
      <w:bookmarkEnd w:id="325"/>
      <w:bookmarkEnd w:id="326"/>
      <w:bookmarkEnd w:id="327"/>
      <w:bookmarkEnd w:id="328"/>
      <w:bookmarkEnd w:id="329"/>
      <w:bookmarkEnd w:id="330"/>
      <w:bookmarkEnd w:id="331"/>
      <w:bookmarkEnd w:id="332"/>
      <w:bookmarkEnd w:id="333"/>
    </w:p>
    <w:p w14:paraId="518F51E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不得泄漏招标投标活动中应当保密的情况和资料，不得与</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串通损害国家利益、社会公共利益或者他人合法权益。</w:t>
      </w:r>
    </w:p>
    <w:p w14:paraId="30E627BB">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334" w:name="_Toc246996220"/>
      <w:bookmarkStart w:id="335" w:name="_Toc77586856"/>
      <w:bookmarkStart w:id="336" w:name="_Toc152042352"/>
      <w:bookmarkStart w:id="337" w:name="_Toc296602463"/>
      <w:bookmarkStart w:id="338" w:name="_Toc77586949"/>
      <w:bookmarkStart w:id="339" w:name="_Toc246996963"/>
      <w:bookmarkStart w:id="340" w:name="_Toc179632594"/>
      <w:bookmarkStart w:id="341" w:name="_Toc144974544"/>
      <w:bookmarkStart w:id="342" w:name="_Toc152045576"/>
      <w:bookmarkStart w:id="343" w:name="_Toc247085734"/>
      <w:r>
        <w:rPr>
          <w:rFonts w:hint="eastAsia" w:cs="宋体" w:asciiTheme="minorEastAsia" w:hAnsiTheme="minorEastAsia" w:eastAsiaTheme="minorEastAsia"/>
          <w:sz w:val="24"/>
          <w:szCs w:val="24"/>
          <w:highlight w:val="none"/>
        </w:rPr>
        <w:t>7.2 对</w:t>
      </w:r>
      <w:r>
        <w:rPr>
          <w:rFonts w:hint="eastAsia" w:cs="宋体" w:asciiTheme="minorEastAsia" w:hAnsiTheme="minorEastAsia" w:eastAsiaTheme="minorEastAsia"/>
          <w:sz w:val="24"/>
          <w:szCs w:val="24"/>
          <w:highlight w:val="none"/>
          <w:lang w:eastAsia="zh-CN"/>
        </w:rPr>
        <w:t>投标人</w:t>
      </w:r>
      <w:r>
        <w:rPr>
          <w:rFonts w:hint="eastAsia" w:cs="宋体" w:asciiTheme="minorEastAsia" w:hAnsiTheme="minorEastAsia" w:eastAsiaTheme="minorEastAsia"/>
          <w:sz w:val="24"/>
          <w:szCs w:val="24"/>
          <w:highlight w:val="none"/>
        </w:rPr>
        <w:t>的纪律要求</w:t>
      </w:r>
      <w:bookmarkEnd w:id="334"/>
      <w:bookmarkEnd w:id="335"/>
      <w:bookmarkEnd w:id="336"/>
      <w:bookmarkEnd w:id="337"/>
      <w:bookmarkEnd w:id="338"/>
      <w:bookmarkEnd w:id="339"/>
      <w:bookmarkEnd w:id="340"/>
      <w:bookmarkEnd w:id="341"/>
      <w:bookmarkEnd w:id="342"/>
      <w:bookmarkEnd w:id="343"/>
    </w:p>
    <w:p w14:paraId="15DE9B2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不得相互串通投标或者与</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串通投标，不得向</w:t>
      </w:r>
      <w:r>
        <w:rPr>
          <w:rFonts w:hint="eastAsia" w:cs="宋体" w:asciiTheme="minorEastAsia" w:hAnsiTheme="minorEastAsia"/>
          <w:sz w:val="24"/>
          <w:szCs w:val="24"/>
          <w:highlight w:val="none"/>
          <w:lang w:eastAsia="zh-CN"/>
        </w:rPr>
        <w:t>招标人</w:t>
      </w:r>
      <w:r>
        <w:rPr>
          <w:rFonts w:hint="eastAsia" w:cs="宋体" w:asciiTheme="minorEastAsia" w:hAnsiTheme="minorEastAsia" w:eastAsiaTheme="minorEastAsia"/>
          <w:sz w:val="24"/>
          <w:szCs w:val="24"/>
          <w:highlight w:val="none"/>
        </w:rPr>
        <w:t>或者磋商小组成员行贿谋取成交，不得以他人名义投标或者以其他方式弄虚作假骗取成交；</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不得以任何方式干扰、影响评标工作。</w:t>
      </w:r>
    </w:p>
    <w:p w14:paraId="3B87597D">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344" w:name="_Toc179632595"/>
      <w:bookmarkStart w:id="345" w:name="_Toc77586950"/>
      <w:bookmarkStart w:id="346" w:name="_Toc152042353"/>
      <w:bookmarkStart w:id="347" w:name="_Toc296602464"/>
      <w:bookmarkStart w:id="348" w:name="_Toc247085735"/>
      <w:bookmarkStart w:id="349" w:name="_Toc77586857"/>
      <w:bookmarkStart w:id="350" w:name="_Toc246996221"/>
      <w:bookmarkStart w:id="351" w:name="_Toc144974545"/>
      <w:bookmarkStart w:id="352" w:name="_Toc246996964"/>
      <w:bookmarkStart w:id="353" w:name="_Toc152045577"/>
      <w:r>
        <w:rPr>
          <w:rFonts w:hint="eastAsia" w:cs="宋体" w:asciiTheme="minorEastAsia" w:hAnsiTheme="minorEastAsia" w:eastAsiaTheme="minorEastAsia"/>
          <w:sz w:val="24"/>
          <w:szCs w:val="24"/>
          <w:highlight w:val="none"/>
        </w:rPr>
        <w:t>7.3 对磋商小组成员的纪律要求</w:t>
      </w:r>
      <w:bookmarkEnd w:id="344"/>
      <w:bookmarkEnd w:id="345"/>
      <w:bookmarkEnd w:id="346"/>
      <w:bookmarkEnd w:id="347"/>
      <w:bookmarkEnd w:id="348"/>
      <w:bookmarkEnd w:id="349"/>
      <w:bookmarkEnd w:id="350"/>
      <w:bookmarkEnd w:id="351"/>
      <w:bookmarkEnd w:id="352"/>
      <w:bookmarkEnd w:id="353"/>
    </w:p>
    <w:p w14:paraId="02A661A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磋商小组成员不得收受他人的财物或者其他好处，不得向他人透漏对磋商响应文件的评审和比较、成交候选人的推荐情况以及评标有关的其他情况。在评标活动中，磋商小组成员应当客观、公正地履行职责，遵守职业道德，不得擅离职守，影响评标程序正常进行，不得使用第三章“评标办法”没有规定的评审因素和标准进行评标。</w:t>
      </w:r>
    </w:p>
    <w:p w14:paraId="53400E4E">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354" w:name="_Toc246996965"/>
      <w:bookmarkStart w:id="355" w:name="_Toc152045578"/>
      <w:bookmarkStart w:id="356" w:name="_Toc152042354"/>
      <w:bookmarkStart w:id="357" w:name="_Toc77586951"/>
      <w:bookmarkStart w:id="358" w:name="_Toc77586858"/>
      <w:bookmarkStart w:id="359" w:name="_Toc246996222"/>
      <w:bookmarkStart w:id="360" w:name="_Toc247085736"/>
      <w:bookmarkStart w:id="361" w:name="_Toc296602465"/>
      <w:bookmarkStart w:id="362" w:name="_Toc179632596"/>
      <w:bookmarkStart w:id="363" w:name="_Toc144974546"/>
      <w:r>
        <w:rPr>
          <w:rFonts w:hint="eastAsia" w:cs="宋体" w:asciiTheme="minorEastAsia" w:hAnsiTheme="minorEastAsia" w:eastAsiaTheme="minorEastAsia"/>
          <w:sz w:val="24"/>
          <w:szCs w:val="24"/>
          <w:highlight w:val="none"/>
        </w:rPr>
        <w:t>7.4 对与评标活动有关的工作人员的纪律要求</w:t>
      </w:r>
      <w:bookmarkEnd w:id="354"/>
      <w:bookmarkEnd w:id="355"/>
      <w:bookmarkEnd w:id="356"/>
      <w:bookmarkEnd w:id="357"/>
      <w:bookmarkEnd w:id="358"/>
      <w:bookmarkEnd w:id="359"/>
      <w:bookmarkEnd w:id="360"/>
      <w:bookmarkEnd w:id="361"/>
      <w:bookmarkEnd w:id="362"/>
    </w:p>
    <w:p w14:paraId="4CDF071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bookmarkStart w:id="364" w:name="_Toc152042355"/>
      <w:r>
        <w:rPr>
          <w:rFonts w:hint="eastAsia" w:cs="宋体" w:asciiTheme="minorEastAsia" w:hAnsiTheme="minorEastAsia" w:eastAsiaTheme="minorEastAsia"/>
          <w:sz w:val="24"/>
          <w:szCs w:val="24"/>
          <w:highlight w:val="none"/>
        </w:rPr>
        <w:t>与评标活动有关的工作人员不得收受他人的财物或者其他好处，不得向他人透漏对磋商响应文件的评审和比较、成交候选人的推荐情况以及评标有关的其他情况。在评标活动中，与评标活动有关的工作人员不得擅离职守，影响评标程序正常进行。</w:t>
      </w:r>
      <w:bookmarkEnd w:id="364"/>
    </w:p>
    <w:p w14:paraId="75B2126A">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cs="宋体" w:asciiTheme="minorEastAsia" w:hAnsiTheme="minorEastAsia" w:eastAsiaTheme="minorEastAsia"/>
          <w:sz w:val="24"/>
          <w:szCs w:val="24"/>
          <w:highlight w:val="none"/>
        </w:rPr>
      </w:pPr>
      <w:bookmarkStart w:id="365" w:name="_Toc246996223"/>
      <w:bookmarkStart w:id="366" w:name="_Toc247085737"/>
      <w:bookmarkStart w:id="367" w:name="_Toc179632597"/>
      <w:bookmarkStart w:id="368" w:name="_Toc296602466"/>
      <w:bookmarkStart w:id="369" w:name="_Toc246996966"/>
      <w:bookmarkStart w:id="370" w:name="_Toc152045579"/>
      <w:bookmarkStart w:id="371" w:name="_Toc77586859"/>
      <w:bookmarkStart w:id="372" w:name="_Toc77586952"/>
      <w:bookmarkStart w:id="373" w:name="_Toc152042356"/>
      <w:r>
        <w:rPr>
          <w:rFonts w:hint="eastAsia" w:cs="宋体" w:asciiTheme="minorEastAsia" w:hAnsiTheme="minorEastAsia" w:eastAsiaTheme="minorEastAsia"/>
          <w:sz w:val="24"/>
          <w:szCs w:val="24"/>
          <w:highlight w:val="none"/>
        </w:rPr>
        <w:t>7.5 投诉</w:t>
      </w:r>
      <w:bookmarkEnd w:id="363"/>
      <w:bookmarkEnd w:id="365"/>
      <w:bookmarkEnd w:id="366"/>
      <w:bookmarkEnd w:id="367"/>
      <w:bookmarkEnd w:id="368"/>
      <w:bookmarkEnd w:id="369"/>
      <w:bookmarkEnd w:id="370"/>
      <w:bookmarkEnd w:id="371"/>
      <w:bookmarkEnd w:id="372"/>
      <w:bookmarkEnd w:id="373"/>
    </w:p>
    <w:p w14:paraId="7B54D42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和其他利害关系人认为本次招标活动违反法律、法规和规章规定的，有权向有关行政监督部门投诉。</w:t>
      </w:r>
    </w:p>
    <w:p w14:paraId="05C64240">
      <w:pPr>
        <w:pageBreakBefore w:val="0"/>
        <w:widowControl w:val="0"/>
        <w:tabs>
          <w:tab w:val="left" w:pos="3520"/>
        </w:tabs>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cs="宋体" w:asciiTheme="minorEastAsia" w:hAnsiTheme="minorEastAsia" w:eastAsiaTheme="minorEastAsia"/>
          <w:b/>
          <w:sz w:val="24"/>
          <w:szCs w:val="24"/>
          <w:highlight w:val="none"/>
        </w:rPr>
      </w:pPr>
      <w:bookmarkStart w:id="374" w:name="_Toc246996967"/>
      <w:bookmarkStart w:id="375" w:name="_Toc296602467"/>
      <w:bookmarkStart w:id="376" w:name="_Toc247085738"/>
      <w:bookmarkStart w:id="377" w:name="_Toc144974547"/>
      <w:bookmarkStart w:id="378" w:name="_Toc77586953"/>
      <w:bookmarkStart w:id="379" w:name="_Toc77586860"/>
      <w:bookmarkStart w:id="380" w:name="_Toc152045580"/>
      <w:bookmarkStart w:id="381" w:name="_Toc179632598"/>
      <w:bookmarkStart w:id="382" w:name="_Toc246996224"/>
      <w:bookmarkStart w:id="383" w:name="_Toc152042357"/>
      <w:r>
        <w:rPr>
          <w:rFonts w:hint="eastAsia" w:cs="宋体" w:asciiTheme="minorEastAsia" w:hAnsiTheme="minorEastAsia" w:eastAsiaTheme="minorEastAsia"/>
          <w:b/>
          <w:sz w:val="24"/>
          <w:szCs w:val="24"/>
          <w:highlight w:val="none"/>
        </w:rPr>
        <w:t>8.需要补充的其他内容</w:t>
      </w:r>
      <w:bookmarkEnd w:id="374"/>
      <w:bookmarkEnd w:id="375"/>
      <w:bookmarkEnd w:id="376"/>
      <w:bookmarkEnd w:id="377"/>
      <w:bookmarkEnd w:id="378"/>
      <w:bookmarkEnd w:id="379"/>
      <w:bookmarkEnd w:id="380"/>
      <w:bookmarkEnd w:id="381"/>
      <w:bookmarkEnd w:id="382"/>
      <w:bookmarkEnd w:id="383"/>
      <w:r>
        <w:rPr>
          <w:rFonts w:cs="宋体" w:asciiTheme="minorEastAsia" w:hAnsiTheme="minorEastAsia" w:eastAsiaTheme="minorEastAsia"/>
          <w:b/>
          <w:sz w:val="24"/>
          <w:szCs w:val="24"/>
          <w:highlight w:val="none"/>
        </w:rPr>
        <w:tab/>
      </w:r>
    </w:p>
    <w:p w14:paraId="4DA373E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需要补充的其他内容：见</w:t>
      </w:r>
      <w:r>
        <w:rPr>
          <w:rFonts w:hint="eastAsia" w:cs="宋体" w:asciiTheme="minorEastAsia" w:hAnsiTheme="minorEastAsia"/>
          <w:sz w:val="24"/>
          <w:szCs w:val="24"/>
          <w:highlight w:val="none"/>
          <w:lang w:eastAsia="zh-CN"/>
        </w:rPr>
        <w:t>投标人</w:t>
      </w:r>
      <w:r>
        <w:rPr>
          <w:rFonts w:hint="eastAsia" w:cs="宋体" w:asciiTheme="minorEastAsia" w:hAnsiTheme="minorEastAsia" w:eastAsiaTheme="minorEastAsia"/>
          <w:sz w:val="24"/>
          <w:szCs w:val="24"/>
          <w:highlight w:val="none"/>
        </w:rPr>
        <w:t>须知前附表。</w:t>
      </w:r>
    </w:p>
    <w:p w14:paraId="5891766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asciiTheme="minorEastAsia" w:hAnsiTheme="minorEastAsia" w:eastAsiaTheme="minorEastAsia"/>
          <w:highlight w:val="none"/>
        </w:rPr>
      </w:pPr>
    </w:p>
    <w:p w14:paraId="4E95DC38">
      <w:pPr>
        <w:pStyle w:val="21"/>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highlight w:val="none"/>
        </w:rPr>
      </w:pPr>
    </w:p>
    <w:bookmarkEnd w:id="10"/>
    <w:p w14:paraId="7787D8F2">
      <w:pPr>
        <w:pageBreakBefore w:val="0"/>
        <w:kinsoku/>
        <w:overflowPunct/>
        <w:topLinePunct w:val="0"/>
        <w:bidi w:val="0"/>
        <w:adjustRightInd w:val="0"/>
        <w:snapToGrid w:val="0"/>
        <w:spacing w:beforeAutospacing="0" w:afterAutospacing="0" w:line="360" w:lineRule="auto"/>
        <w:ind w:left="0" w:leftChars="0" w:right="0" w:rightChars="0" w:firstLine="0" w:firstLineChars="0"/>
        <w:contextualSpacing/>
        <w:outlineLvl w:val="9"/>
        <w:rPr>
          <w:rFonts w:hint="eastAsia" w:ascii="宋体" w:hAnsi="宋体" w:eastAsia="宋体" w:cs="宋体"/>
          <w:sz w:val="24"/>
          <w:szCs w:val="24"/>
          <w:highlight w:val="none"/>
          <w:lang w:val="en-US" w:eastAsia="zh-CN"/>
        </w:rPr>
      </w:pPr>
      <w:bookmarkStart w:id="384" w:name="_Toc16964"/>
      <w:r>
        <w:rPr>
          <w:rFonts w:hint="eastAsia" w:ascii="宋体" w:hAnsi="宋体" w:eastAsia="宋体" w:cs="宋体"/>
          <w:sz w:val="24"/>
          <w:szCs w:val="24"/>
          <w:highlight w:val="none"/>
          <w:lang w:val="en-US" w:eastAsia="zh-CN"/>
        </w:rPr>
        <w:br w:type="page"/>
      </w:r>
    </w:p>
    <w:p w14:paraId="34F416AA">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36"/>
          <w:highlight w:val="none"/>
        </w:rPr>
      </w:pPr>
      <w:bookmarkStart w:id="385" w:name="_Toc18532"/>
      <w:r>
        <w:rPr>
          <w:rFonts w:hint="eastAsia" w:ascii="宋体" w:hAnsi="宋体" w:eastAsia="宋体" w:cs="宋体"/>
          <w:b/>
          <w:bCs/>
          <w:sz w:val="36"/>
          <w:szCs w:val="36"/>
          <w:highlight w:val="none"/>
        </w:rPr>
        <w:t>第</w:t>
      </w:r>
      <w:r>
        <w:rPr>
          <w:rFonts w:hint="eastAsia" w:ascii="宋体" w:hAnsi="宋体" w:eastAsia="宋体" w:cs="宋体"/>
          <w:b/>
          <w:bCs/>
          <w:sz w:val="36"/>
          <w:szCs w:val="36"/>
          <w:highlight w:val="none"/>
          <w:lang w:val="en-US" w:eastAsia="zh-CN"/>
        </w:rPr>
        <w:t>三</w:t>
      </w:r>
      <w:r>
        <w:rPr>
          <w:rFonts w:hint="eastAsia" w:ascii="宋体" w:hAnsi="宋体" w:eastAsia="宋体" w:cs="宋体"/>
          <w:b/>
          <w:bCs/>
          <w:sz w:val="36"/>
          <w:szCs w:val="36"/>
          <w:highlight w:val="none"/>
        </w:rPr>
        <w:t>章</w:t>
      </w:r>
      <w:r>
        <w:rPr>
          <w:rFonts w:hint="eastAsia" w:ascii="宋体" w:hAnsi="宋体" w:eastAsia="宋体" w:cs="宋体"/>
          <w:b/>
          <w:bCs/>
          <w:sz w:val="36"/>
          <w:szCs w:val="36"/>
          <w:highlight w:val="none"/>
          <w:lang w:val="en-US" w:eastAsia="zh-CN"/>
        </w:rPr>
        <w:t xml:space="preserve"> </w:t>
      </w:r>
      <w:r>
        <w:rPr>
          <w:rFonts w:hint="eastAsia" w:ascii="宋体" w:hAnsi="宋体" w:eastAsia="宋体" w:cs="宋体"/>
          <w:b/>
          <w:bCs/>
          <w:sz w:val="36"/>
          <w:szCs w:val="36"/>
          <w:highlight w:val="none"/>
        </w:rPr>
        <w:t>评标办法（综合评</w:t>
      </w:r>
      <w:r>
        <w:rPr>
          <w:rFonts w:hint="eastAsia" w:ascii="宋体" w:hAnsi="宋体" w:eastAsia="宋体" w:cs="宋体"/>
          <w:b/>
          <w:bCs/>
          <w:sz w:val="36"/>
          <w:szCs w:val="36"/>
          <w:highlight w:val="none"/>
          <w:lang w:val="en-US" w:eastAsia="zh-CN"/>
        </w:rPr>
        <w:t>分</w:t>
      </w:r>
      <w:r>
        <w:rPr>
          <w:rFonts w:hint="eastAsia" w:ascii="宋体" w:hAnsi="宋体" w:eastAsia="宋体" w:cs="宋体"/>
          <w:b/>
          <w:bCs/>
          <w:sz w:val="36"/>
          <w:szCs w:val="36"/>
          <w:highlight w:val="none"/>
        </w:rPr>
        <w:t>法）</w:t>
      </w:r>
      <w:bookmarkEnd w:id="385"/>
    </w:p>
    <w:p w14:paraId="38AF18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color w:val="000000"/>
          <w:kern w:val="0"/>
          <w:sz w:val="28"/>
          <w:szCs w:val="32"/>
          <w:highlight w:val="none"/>
          <w:lang w:val="zh-CN"/>
        </w:rPr>
      </w:pPr>
      <w:bookmarkStart w:id="386" w:name="_Toc179632617"/>
      <w:bookmarkEnd w:id="386"/>
      <w:bookmarkStart w:id="387" w:name="_Toc247085757"/>
      <w:bookmarkEnd w:id="387"/>
      <w:bookmarkStart w:id="388" w:name="_Toc7518073"/>
      <w:bookmarkEnd w:id="388"/>
      <w:bookmarkStart w:id="389" w:name="_Toc358707205"/>
      <w:bookmarkEnd w:id="389"/>
      <w:bookmarkStart w:id="390" w:name="_Toc144974567"/>
      <w:bookmarkEnd w:id="390"/>
      <w:bookmarkStart w:id="391" w:name="_Toc246996242"/>
      <w:bookmarkEnd w:id="391"/>
      <w:bookmarkStart w:id="392" w:name="_Toc152042376"/>
      <w:bookmarkEnd w:id="392"/>
      <w:bookmarkStart w:id="393" w:name="_Toc246996986"/>
      <w:bookmarkEnd w:id="393"/>
      <w:bookmarkStart w:id="394" w:name="_Toc152042377"/>
      <w:bookmarkEnd w:id="394"/>
      <w:bookmarkStart w:id="395" w:name="_Toc246996985"/>
      <w:bookmarkEnd w:id="395"/>
      <w:bookmarkStart w:id="396" w:name="_Toc358707206"/>
      <w:bookmarkEnd w:id="396"/>
      <w:bookmarkStart w:id="397" w:name="_Toc7518074"/>
      <w:bookmarkEnd w:id="397"/>
      <w:bookmarkStart w:id="398" w:name="_Toc387669600"/>
      <w:bookmarkEnd w:id="398"/>
      <w:bookmarkStart w:id="399" w:name="_Toc1005"/>
      <w:bookmarkEnd w:id="399"/>
      <w:bookmarkStart w:id="400" w:name="_Toc4293"/>
      <w:bookmarkEnd w:id="400"/>
      <w:bookmarkStart w:id="401" w:name="_Toc144974566"/>
      <w:bookmarkEnd w:id="401"/>
      <w:bookmarkStart w:id="402" w:name="_Toc246996243"/>
      <w:bookmarkEnd w:id="402"/>
      <w:bookmarkStart w:id="403" w:name="_Toc179632618"/>
      <w:bookmarkEnd w:id="403"/>
      <w:bookmarkStart w:id="404" w:name="_Toc247085758"/>
      <w:bookmarkEnd w:id="404"/>
      <w:bookmarkStart w:id="405" w:name="_Toc57105664"/>
      <w:bookmarkStart w:id="406" w:name="_Toc152045600"/>
      <w:r>
        <w:rPr>
          <w:rFonts w:hint="eastAsia" w:ascii="宋体" w:hAnsi="宋体" w:eastAsia="宋体" w:cs="宋体"/>
          <w:b/>
          <w:bCs/>
          <w:color w:val="000000"/>
          <w:kern w:val="0"/>
          <w:sz w:val="28"/>
          <w:szCs w:val="32"/>
          <w:highlight w:val="none"/>
          <w:lang w:val="zh-CN"/>
        </w:rPr>
        <w:t>评标</w:t>
      </w:r>
      <w:r>
        <w:rPr>
          <w:rFonts w:hint="eastAsia" w:ascii="宋体" w:hAnsi="宋体" w:eastAsia="宋体" w:cs="宋体"/>
          <w:b/>
          <w:color w:val="000000"/>
          <w:kern w:val="0"/>
          <w:sz w:val="28"/>
          <w:szCs w:val="32"/>
          <w:highlight w:val="none"/>
          <w:lang w:val="zh-CN"/>
        </w:rPr>
        <w:t>办法前</w:t>
      </w:r>
      <w:r>
        <w:rPr>
          <w:rFonts w:hint="eastAsia" w:ascii="宋体" w:hAnsi="宋体" w:eastAsia="宋体" w:cs="宋体"/>
          <w:b/>
          <w:bCs/>
          <w:color w:val="000000"/>
          <w:kern w:val="0"/>
          <w:sz w:val="28"/>
          <w:szCs w:val="32"/>
          <w:highlight w:val="none"/>
          <w:lang w:val="zh-CN"/>
        </w:rPr>
        <w:t>附表</w:t>
      </w:r>
      <w:bookmarkEnd w:id="405"/>
    </w:p>
    <w:p w14:paraId="227CFF4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Calibri" w:asciiTheme="minorEastAsia" w:hAnsiTheme="minorEastAsia" w:eastAsiaTheme="minorEastAsia"/>
          <w:sz w:val="24"/>
          <w:highlight w:val="none"/>
        </w:rPr>
      </w:pPr>
      <w:bookmarkStart w:id="407" w:name="OLE_LINK1"/>
      <w:r>
        <w:rPr>
          <w:rFonts w:hint="eastAsia" w:cs="Calibri" w:asciiTheme="minorEastAsia" w:hAnsiTheme="minorEastAsia" w:eastAsiaTheme="minorEastAsia"/>
          <w:sz w:val="24"/>
          <w:highlight w:val="none"/>
        </w:rPr>
        <w:t>本次竞争性磋商的评审分为初步审查和详细审查。详细审查采用综合评分法，总分为100分。</w:t>
      </w:r>
      <w:bookmarkEnd w:id="407"/>
    </w:p>
    <w:p w14:paraId="1FAA1FB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Calibri" w:asciiTheme="minorEastAsia" w:hAnsiTheme="minorEastAsia" w:eastAsiaTheme="minorEastAsia"/>
          <w:b/>
          <w:bCs/>
          <w:sz w:val="24"/>
          <w:highlight w:val="none"/>
        </w:rPr>
      </w:pPr>
      <w:r>
        <w:rPr>
          <w:rFonts w:hint="eastAsia" w:cs="Calibri" w:asciiTheme="minorEastAsia" w:hAnsiTheme="minorEastAsia" w:eastAsiaTheme="minorEastAsia"/>
          <w:b/>
          <w:bCs/>
          <w:sz w:val="24"/>
          <w:highlight w:val="none"/>
        </w:rPr>
        <w:t>1、评标办法前附表</w:t>
      </w:r>
    </w:p>
    <w:p w14:paraId="619C79EF">
      <w:pPr>
        <w:pStyle w:val="37"/>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highlight w:val="none"/>
          <w:lang w:val="zh-CN"/>
        </w:rPr>
      </w:pPr>
    </w:p>
    <w:tbl>
      <w:tblPr>
        <w:tblStyle w:val="23"/>
        <w:tblW w:w="8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766"/>
        <w:gridCol w:w="2076"/>
        <w:gridCol w:w="4883"/>
      </w:tblGrid>
      <w:tr w14:paraId="3187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gridSpan w:val="2"/>
            <w:tcMar>
              <w:left w:w="57" w:type="dxa"/>
              <w:right w:w="57" w:type="dxa"/>
            </w:tcMar>
            <w:vAlign w:val="center"/>
          </w:tcPr>
          <w:p w14:paraId="7C3FFC98">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条款号</w:t>
            </w:r>
          </w:p>
        </w:tc>
        <w:tc>
          <w:tcPr>
            <w:tcW w:w="2076" w:type="dxa"/>
            <w:tcMar>
              <w:left w:w="57" w:type="dxa"/>
              <w:right w:w="57" w:type="dxa"/>
            </w:tcMar>
            <w:vAlign w:val="center"/>
          </w:tcPr>
          <w:p w14:paraId="67BC570A">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评审因素</w:t>
            </w:r>
          </w:p>
        </w:tc>
        <w:tc>
          <w:tcPr>
            <w:tcW w:w="4883" w:type="dxa"/>
            <w:tcMar>
              <w:left w:w="57" w:type="dxa"/>
              <w:right w:w="57" w:type="dxa"/>
            </w:tcMar>
            <w:vAlign w:val="center"/>
          </w:tcPr>
          <w:p w14:paraId="176F5083">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评审标准</w:t>
            </w:r>
          </w:p>
        </w:tc>
      </w:tr>
      <w:tr w14:paraId="44ED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350356D4">
            <w:pPr>
              <w:pStyle w:val="20"/>
              <w:pageBreakBefore w:val="0"/>
              <w:kinsoku/>
              <w:overflowPunct/>
              <w:topLinePunct w:val="0"/>
              <w:bidi w:val="0"/>
              <w:adjustRightInd w:val="0"/>
              <w:snapToGri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highlight w:val="none"/>
              </w:rPr>
            </w:pPr>
            <w:r>
              <w:rPr>
                <w:rFonts w:hint="eastAsia" w:ascii="宋体" w:hAnsi="宋体" w:eastAsia="宋体" w:cs="宋体"/>
                <w:highlight w:val="none"/>
              </w:rPr>
              <w:t>2.1.1</w:t>
            </w:r>
          </w:p>
        </w:tc>
        <w:tc>
          <w:tcPr>
            <w:tcW w:w="0" w:type="auto"/>
            <w:vMerge w:val="restart"/>
            <w:tcMar>
              <w:left w:w="57" w:type="dxa"/>
              <w:right w:w="57" w:type="dxa"/>
            </w:tcMar>
            <w:vAlign w:val="center"/>
          </w:tcPr>
          <w:p w14:paraId="7E4EB02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形式</w:t>
            </w:r>
            <w:r>
              <w:rPr>
                <w:rFonts w:hint="eastAsia" w:ascii="宋体" w:hAnsi="宋体" w:eastAsia="宋体" w:cs="宋体"/>
                <w:sz w:val="24"/>
                <w:szCs w:val="24"/>
                <w:highlight w:val="none"/>
              </w:rPr>
              <w:t>评审标准</w:t>
            </w:r>
          </w:p>
        </w:tc>
        <w:tc>
          <w:tcPr>
            <w:tcW w:w="2076" w:type="dxa"/>
            <w:tcMar>
              <w:left w:w="57" w:type="dxa"/>
              <w:right w:w="57" w:type="dxa"/>
            </w:tcMar>
            <w:vAlign w:val="center"/>
          </w:tcPr>
          <w:p w14:paraId="63F421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名称</w:t>
            </w:r>
          </w:p>
        </w:tc>
        <w:tc>
          <w:tcPr>
            <w:tcW w:w="4883" w:type="dxa"/>
            <w:tcMar>
              <w:left w:w="57" w:type="dxa"/>
              <w:right w:w="57" w:type="dxa"/>
            </w:tcMar>
            <w:vAlign w:val="center"/>
          </w:tcPr>
          <w:p w14:paraId="162F89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与营业执照一致。</w:t>
            </w:r>
          </w:p>
        </w:tc>
      </w:tr>
      <w:tr w14:paraId="1C85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7CABDF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1A3179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98575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签字盖章</w:t>
            </w:r>
          </w:p>
        </w:tc>
        <w:tc>
          <w:tcPr>
            <w:tcW w:w="4883" w:type="dxa"/>
            <w:tcMar>
              <w:left w:w="57" w:type="dxa"/>
              <w:right w:w="57" w:type="dxa"/>
            </w:tcMar>
            <w:vAlign w:val="center"/>
          </w:tcPr>
          <w:p w14:paraId="29F324B7">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符合第二章“</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须知”规定。</w:t>
            </w:r>
          </w:p>
        </w:tc>
      </w:tr>
      <w:tr w14:paraId="1C46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C30BA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BF479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6C6E0D8">
            <w:pPr>
              <w:pStyle w:val="38"/>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olor w:val="000000"/>
                <w:sz w:val="24"/>
                <w:szCs w:val="24"/>
                <w:highlight w:val="none"/>
              </w:rPr>
            </w:pPr>
            <w:r>
              <w:rPr>
                <w:rFonts w:asciiTheme="minorEastAsia" w:hAnsiTheme="minorEastAsia" w:eastAsiaTheme="minorEastAsia"/>
                <w:color w:val="auto"/>
                <w:highlight w:val="none"/>
              </w:rPr>
              <w:t>响应文件格式</w:t>
            </w:r>
          </w:p>
        </w:tc>
        <w:tc>
          <w:tcPr>
            <w:tcW w:w="4883" w:type="dxa"/>
            <w:tcMar>
              <w:left w:w="57" w:type="dxa"/>
              <w:right w:w="57" w:type="dxa"/>
            </w:tcMar>
            <w:vAlign w:val="center"/>
          </w:tcPr>
          <w:p w14:paraId="6BF92A19">
            <w:pPr>
              <w:pStyle w:val="38"/>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olor w:val="000000"/>
                <w:sz w:val="24"/>
                <w:szCs w:val="24"/>
                <w:highlight w:val="none"/>
              </w:rPr>
            </w:pPr>
            <w:r>
              <w:rPr>
                <w:rFonts w:asciiTheme="minorEastAsia" w:hAnsiTheme="minorEastAsia" w:eastAsiaTheme="minorEastAsia"/>
                <w:color w:val="auto"/>
                <w:highlight w:val="none"/>
              </w:rPr>
              <w:t>符合第七章“响应文件格式”的要求。</w:t>
            </w:r>
          </w:p>
        </w:tc>
      </w:tr>
      <w:tr w14:paraId="2823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086827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4A76F5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2538D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报价唯一</w:t>
            </w:r>
          </w:p>
        </w:tc>
        <w:tc>
          <w:tcPr>
            <w:tcW w:w="4883" w:type="dxa"/>
            <w:tcMar>
              <w:left w:w="57" w:type="dxa"/>
              <w:right w:w="57" w:type="dxa"/>
            </w:tcMar>
            <w:vAlign w:val="center"/>
          </w:tcPr>
          <w:p w14:paraId="79DC7E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只能有一个有效报价。</w:t>
            </w:r>
          </w:p>
        </w:tc>
      </w:tr>
      <w:tr w14:paraId="4F9D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6899B3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2.1.2</w:t>
            </w:r>
          </w:p>
        </w:tc>
        <w:tc>
          <w:tcPr>
            <w:tcW w:w="0" w:type="auto"/>
            <w:vMerge w:val="restart"/>
            <w:tcMar>
              <w:left w:w="57" w:type="dxa"/>
              <w:right w:w="57" w:type="dxa"/>
            </w:tcMar>
            <w:vAlign w:val="center"/>
          </w:tcPr>
          <w:p w14:paraId="550FE4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资格评审标准</w:t>
            </w:r>
          </w:p>
        </w:tc>
        <w:tc>
          <w:tcPr>
            <w:tcW w:w="2076" w:type="dxa"/>
            <w:tcMar>
              <w:left w:w="57" w:type="dxa"/>
              <w:right w:w="57" w:type="dxa"/>
            </w:tcMar>
            <w:vAlign w:val="center"/>
          </w:tcPr>
          <w:p w14:paraId="5AB7132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营业执照</w:t>
            </w:r>
          </w:p>
        </w:tc>
        <w:tc>
          <w:tcPr>
            <w:tcW w:w="4883" w:type="dxa"/>
            <w:vAlign w:val="center"/>
          </w:tcPr>
          <w:p w14:paraId="1A780E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具有有效的营业执照。</w:t>
            </w:r>
          </w:p>
        </w:tc>
      </w:tr>
      <w:tr w14:paraId="34F2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2DDEAA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95F3B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14AF1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资质证书</w:t>
            </w:r>
          </w:p>
        </w:tc>
        <w:tc>
          <w:tcPr>
            <w:tcW w:w="4883" w:type="dxa"/>
            <w:vAlign w:val="center"/>
          </w:tcPr>
          <w:p w14:paraId="32FA2C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default"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符合第一章竞争性磋商公告要求</w:t>
            </w:r>
          </w:p>
        </w:tc>
      </w:tr>
      <w:tr w14:paraId="7549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72E8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74F12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C6F4B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项目经理</w:t>
            </w:r>
          </w:p>
        </w:tc>
        <w:tc>
          <w:tcPr>
            <w:tcW w:w="4883" w:type="dxa"/>
            <w:vAlign w:val="center"/>
          </w:tcPr>
          <w:p w14:paraId="78B91D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符合第一章竞争性磋商公告要求</w:t>
            </w:r>
          </w:p>
        </w:tc>
      </w:tr>
      <w:tr w14:paraId="1350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0" w:type="auto"/>
            <w:vMerge w:val="continue"/>
            <w:tcMar>
              <w:left w:w="57" w:type="dxa"/>
              <w:right w:w="57" w:type="dxa"/>
            </w:tcMar>
            <w:vAlign w:val="center"/>
          </w:tcPr>
          <w:p w14:paraId="627CC98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528B4A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5ADFE4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无商业贿赂及无不正当竞争承诺</w:t>
            </w:r>
          </w:p>
        </w:tc>
        <w:tc>
          <w:tcPr>
            <w:tcW w:w="4883" w:type="dxa"/>
            <w:vAlign w:val="center"/>
          </w:tcPr>
          <w:p w14:paraId="47F953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2"/>
                <w:highlight w:val="none"/>
                <w:lang w:eastAsia="zh-CN"/>
              </w:rPr>
            </w:pPr>
            <w:r>
              <w:rPr>
                <w:rFonts w:hint="eastAsia" w:ascii="宋体" w:hAnsi="宋体" w:eastAsia="宋体" w:cs="宋体"/>
                <w:sz w:val="24"/>
                <w:szCs w:val="24"/>
                <w:highlight w:val="none"/>
                <w:lang w:val="en-US" w:eastAsia="zh-CN"/>
              </w:rPr>
              <w:t>符合第一章竞争性磋商公告要求</w:t>
            </w:r>
          </w:p>
        </w:tc>
      </w:tr>
      <w:tr w14:paraId="27AD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43B2A9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62D222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FFDB0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信用查询</w:t>
            </w:r>
          </w:p>
        </w:tc>
        <w:tc>
          <w:tcPr>
            <w:tcW w:w="4883" w:type="dxa"/>
            <w:vAlign w:val="center"/>
          </w:tcPr>
          <w:p w14:paraId="388BCE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29EE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28C146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531D50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565970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无拖欠农民工(员工)工资证明 (函)</w:t>
            </w:r>
          </w:p>
        </w:tc>
        <w:tc>
          <w:tcPr>
            <w:tcW w:w="4883" w:type="dxa"/>
            <w:vAlign w:val="center"/>
          </w:tcPr>
          <w:p w14:paraId="0C30D0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1A1C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0E7B82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3A1948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2E123BF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val="en-US" w:eastAsia="zh-CN"/>
              </w:rPr>
              <w:t>非联合体投标</w:t>
            </w:r>
          </w:p>
        </w:tc>
        <w:tc>
          <w:tcPr>
            <w:tcW w:w="4883" w:type="dxa"/>
            <w:vAlign w:val="center"/>
          </w:tcPr>
          <w:p w14:paraId="54A3DB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10CB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7DE9FB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2.1.3</w:t>
            </w:r>
          </w:p>
        </w:tc>
        <w:tc>
          <w:tcPr>
            <w:tcW w:w="0" w:type="auto"/>
            <w:vMerge w:val="restart"/>
            <w:tcMar>
              <w:left w:w="57" w:type="dxa"/>
              <w:right w:w="57" w:type="dxa"/>
            </w:tcMar>
            <w:vAlign w:val="center"/>
          </w:tcPr>
          <w:p w14:paraId="0EDFB8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响应性评审标准</w:t>
            </w:r>
          </w:p>
        </w:tc>
        <w:tc>
          <w:tcPr>
            <w:tcW w:w="2076" w:type="dxa"/>
            <w:tcMar>
              <w:left w:w="57" w:type="dxa"/>
              <w:right w:w="57" w:type="dxa"/>
            </w:tcMar>
            <w:vAlign w:val="center"/>
          </w:tcPr>
          <w:p w14:paraId="59F8DC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CN"/>
              </w:rPr>
              <w:t>磋商范围</w:t>
            </w:r>
          </w:p>
        </w:tc>
        <w:tc>
          <w:tcPr>
            <w:tcW w:w="4883" w:type="dxa"/>
            <w:vAlign w:val="center"/>
          </w:tcPr>
          <w:p w14:paraId="1C8E933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施工图纸和工程量清单所包含的全部内容</w:t>
            </w:r>
          </w:p>
        </w:tc>
      </w:tr>
      <w:tr w14:paraId="1B75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C0C89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8088D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69E272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计划工期</w:t>
            </w:r>
          </w:p>
        </w:tc>
        <w:tc>
          <w:tcPr>
            <w:tcW w:w="4883" w:type="dxa"/>
            <w:vAlign w:val="center"/>
          </w:tcPr>
          <w:p w14:paraId="6437260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default"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符合第一章竞争性磋商公告要求</w:t>
            </w:r>
          </w:p>
        </w:tc>
      </w:tr>
      <w:tr w14:paraId="3051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1C7FD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77BD89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24E49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质量要求</w:t>
            </w:r>
          </w:p>
        </w:tc>
        <w:tc>
          <w:tcPr>
            <w:tcW w:w="4883" w:type="dxa"/>
            <w:vAlign w:val="center"/>
          </w:tcPr>
          <w:p w14:paraId="31D7AA1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符合第一章竞争性磋商公告要求</w:t>
            </w:r>
          </w:p>
        </w:tc>
      </w:tr>
      <w:tr w14:paraId="4280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7918AD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04FD0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7276B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磋商有效期</w:t>
            </w:r>
          </w:p>
        </w:tc>
        <w:tc>
          <w:tcPr>
            <w:tcW w:w="4883" w:type="dxa"/>
            <w:vAlign w:val="center"/>
          </w:tcPr>
          <w:p w14:paraId="50557CF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cs="宋体"/>
                <w:sz w:val="24"/>
                <w:szCs w:val="24"/>
                <w:highlight w:val="none"/>
              </w:rPr>
              <w:t>响应文件递交截止之日起60日历天</w:t>
            </w:r>
          </w:p>
        </w:tc>
      </w:tr>
      <w:tr w14:paraId="4BE5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0" w:type="auto"/>
            <w:vMerge w:val="continue"/>
            <w:tcMar>
              <w:left w:w="57" w:type="dxa"/>
              <w:right w:w="57" w:type="dxa"/>
            </w:tcMar>
            <w:vAlign w:val="center"/>
          </w:tcPr>
          <w:p w14:paraId="0C95BF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E7A03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A1FA8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磋商价格</w:t>
            </w:r>
          </w:p>
        </w:tc>
        <w:tc>
          <w:tcPr>
            <w:tcW w:w="4883" w:type="dxa"/>
            <w:vAlign w:val="center"/>
          </w:tcPr>
          <w:p w14:paraId="77448AE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bCs/>
                <w:sz w:val="24"/>
                <w:szCs w:val="24"/>
                <w:highlight w:val="none"/>
              </w:rPr>
              <w:t>本次磋商采用二轮（最终）报价法，</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递交的响应文件中的报价为第一轮报价，</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的两轮磋商报价都不得高于</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公布的控制价，否则其投标将被否决。</w:t>
            </w:r>
          </w:p>
        </w:tc>
      </w:tr>
    </w:tbl>
    <w:p w14:paraId="65E01D3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仿宋_GB2312" w:asciiTheme="minorEastAsia" w:hAnsiTheme="minorEastAsia" w:eastAsiaTheme="minorEastAsia"/>
          <w:b/>
          <w:kern w:val="1"/>
          <w:sz w:val="24"/>
          <w:highlight w:val="none"/>
          <w:lang w:val="zh-CN"/>
        </w:rPr>
      </w:pPr>
      <w:r>
        <w:rPr>
          <w:rFonts w:hint="eastAsia" w:cs="仿宋_GB2312" w:asciiTheme="minorEastAsia" w:hAnsiTheme="minorEastAsia" w:eastAsiaTheme="minorEastAsia"/>
          <w:b/>
          <w:kern w:val="1"/>
          <w:sz w:val="24"/>
          <w:highlight w:val="none"/>
          <w:lang w:val="zh-CN"/>
        </w:rPr>
        <w:t>二、详细评审</w:t>
      </w:r>
    </w:p>
    <w:p w14:paraId="3E67E96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仿宋_GB2312" w:asciiTheme="minorEastAsia" w:hAnsiTheme="minorEastAsia" w:eastAsiaTheme="minorEastAsia"/>
          <w:b/>
          <w:kern w:val="1"/>
          <w:sz w:val="24"/>
          <w:highlight w:val="none"/>
          <w:lang w:val="zh-CN"/>
        </w:rPr>
      </w:pPr>
    </w:p>
    <w:tbl>
      <w:tblPr>
        <w:tblStyle w:val="23"/>
        <w:tblW w:w="87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9"/>
        <w:gridCol w:w="871"/>
        <w:gridCol w:w="610"/>
        <w:gridCol w:w="921"/>
        <w:gridCol w:w="4515"/>
        <w:gridCol w:w="1134"/>
      </w:tblGrid>
      <w:tr w14:paraId="6CF07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1" w:hRule="atLeast"/>
          <w:jc w:val="center"/>
        </w:trPr>
        <w:tc>
          <w:tcPr>
            <w:tcW w:w="8780" w:type="dxa"/>
            <w:gridSpan w:val="6"/>
            <w:tcBorders>
              <w:tl2br w:val="nil"/>
              <w:tr2bl w:val="nil"/>
            </w:tcBorders>
            <w:vAlign w:val="center"/>
          </w:tcPr>
          <w:p w14:paraId="2FB20C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eastAsia="en-US" w:bidi="en-US"/>
              </w:rPr>
            </w:pPr>
            <w:r>
              <w:rPr>
                <w:rFonts w:hint="eastAsia" w:cs="宋体" w:asciiTheme="minorEastAsia" w:hAnsiTheme="minorEastAsia" w:eastAsiaTheme="minorEastAsia"/>
                <w:b/>
                <w:kern w:val="1"/>
                <w:sz w:val="24"/>
                <w:szCs w:val="24"/>
                <w:highlight w:val="none"/>
                <w:lang w:eastAsia="en-US" w:bidi="en-US"/>
              </w:rPr>
              <w:t>评分部分（满分100分）</w:t>
            </w:r>
          </w:p>
        </w:tc>
      </w:tr>
      <w:tr w14:paraId="25D31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1600" w:type="dxa"/>
            <w:gridSpan w:val="2"/>
            <w:tcBorders>
              <w:tl2br w:val="nil"/>
              <w:tr2bl w:val="nil"/>
            </w:tcBorders>
            <w:vAlign w:val="center"/>
          </w:tcPr>
          <w:p w14:paraId="466621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eastAsia="en-US" w:bidi="en-US"/>
              </w:rPr>
            </w:pPr>
            <w:r>
              <w:rPr>
                <w:rFonts w:hint="eastAsia" w:cs="宋体" w:asciiTheme="minorEastAsia" w:hAnsiTheme="minorEastAsia" w:eastAsiaTheme="minorEastAsia"/>
                <w:kern w:val="1"/>
                <w:sz w:val="24"/>
                <w:szCs w:val="24"/>
                <w:highlight w:val="none"/>
                <w:lang w:eastAsia="en-US" w:bidi="en-US"/>
              </w:rPr>
              <w:t>分值构成</w:t>
            </w:r>
          </w:p>
          <w:p w14:paraId="504825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eastAsia="en-US" w:bidi="en-US"/>
              </w:rPr>
            </w:pPr>
            <w:r>
              <w:rPr>
                <w:rFonts w:hint="eastAsia" w:cs="宋体" w:asciiTheme="minorEastAsia" w:hAnsiTheme="minorEastAsia" w:eastAsiaTheme="minorEastAsia"/>
                <w:kern w:val="1"/>
                <w:sz w:val="24"/>
                <w:szCs w:val="24"/>
                <w:highlight w:val="none"/>
                <w:lang w:eastAsia="en-US" w:bidi="en-US"/>
              </w:rPr>
              <w:t>(总分100分)</w:t>
            </w:r>
          </w:p>
        </w:tc>
        <w:tc>
          <w:tcPr>
            <w:tcW w:w="7180" w:type="dxa"/>
            <w:gridSpan w:val="4"/>
            <w:tcBorders>
              <w:tl2br w:val="nil"/>
              <w:tr2bl w:val="nil"/>
            </w:tcBorders>
            <w:vAlign w:val="center"/>
          </w:tcPr>
          <w:p w14:paraId="1E5E439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r>
              <w:rPr>
                <w:rFonts w:hint="eastAsia" w:cs="宋体" w:asciiTheme="minorEastAsia" w:hAnsiTheme="minorEastAsia" w:eastAsiaTheme="minorEastAsia"/>
                <w:kern w:val="1"/>
                <w:sz w:val="24"/>
                <w:szCs w:val="24"/>
                <w:highlight w:val="none"/>
                <w:lang w:bidi="en-US"/>
              </w:rPr>
              <w:t>商务标：</w:t>
            </w:r>
            <w:r>
              <w:rPr>
                <w:rFonts w:hint="eastAsia" w:cs="宋体" w:asciiTheme="minorEastAsia" w:hAnsiTheme="minorEastAsia" w:eastAsiaTheme="minorEastAsia"/>
                <w:kern w:val="1"/>
                <w:sz w:val="24"/>
                <w:szCs w:val="24"/>
                <w:highlight w:val="none"/>
                <w:u w:val="single"/>
                <w:lang w:bidi="en-US"/>
              </w:rPr>
              <w:t>30</w:t>
            </w:r>
            <w:r>
              <w:rPr>
                <w:rFonts w:hint="eastAsia" w:cs="宋体" w:asciiTheme="minorEastAsia" w:hAnsiTheme="minorEastAsia" w:eastAsiaTheme="minorEastAsia"/>
                <w:kern w:val="1"/>
                <w:sz w:val="24"/>
                <w:szCs w:val="24"/>
                <w:highlight w:val="none"/>
                <w:lang w:bidi="en-US"/>
              </w:rPr>
              <w:t>分</w:t>
            </w:r>
          </w:p>
          <w:p w14:paraId="01D878A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r>
              <w:rPr>
                <w:rFonts w:hint="eastAsia" w:cs="宋体" w:asciiTheme="minorEastAsia" w:hAnsiTheme="minorEastAsia" w:eastAsiaTheme="minorEastAsia"/>
                <w:kern w:val="1"/>
                <w:sz w:val="24"/>
                <w:szCs w:val="24"/>
                <w:highlight w:val="none"/>
                <w:lang w:bidi="en-US"/>
              </w:rPr>
              <w:t>技术标：</w:t>
            </w:r>
            <w:r>
              <w:rPr>
                <w:rFonts w:hint="eastAsia" w:cs="宋体" w:asciiTheme="minorEastAsia" w:hAnsiTheme="minorEastAsia" w:eastAsiaTheme="minorEastAsia"/>
                <w:kern w:val="1"/>
                <w:sz w:val="24"/>
                <w:szCs w:val="24"/>
                <w:highlight w:val="none"/>
                <w:u w:val="single"/>
                <w:lang w:bidi="en-US"/>
              </w:rPr>
              <w:t>50</w:t>
            </w:r>
            <w:r>
              <w:rPr>
                <w:rFonts w:hint="eastAsia" w:cs="宋体" w:asciiTheme="minorEastAsia" w:hAnsiTheme="minorEastAsia" w:eastAsiaTheme="minorEastAsia"/>
                <w:kern w:val="1"/>
                <w:sz w:val="24"/>
                <w:szCs w:val="24"/>
                <w:highlight w:val="none"/>
                <w:lang w:bidi="en-US"/>
              </w:rPr>
              <w:t>分</w:t>
            </w:r>
          </w:p>
          <w:p w14:paraId="63E78C2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r>
              <w:rPr>
                <w:rFonts w:hint="eastAsia" w:cs="宋体" w:asciiTheme="minorEastAsia" w:hAnsiTheme="minorEastAsia" w:eastAsiaTheme="minorEastAsia"/>
                <w:kern w:val="1"/>
                <w:sz w:val="24"/>
                <w:szCs w:val="24"/>
                <w:highlight w:val="none"/>
                <w:lang w:bidi="en-US"/>
              </w:rPr>
              <w:t>综合标：</w:t>
            </w:r>
            <w:r>
              <w:rPr>
                <w:rFonts w:hint="eastAsia" w:cs="宋体" w:asciiTheme="minorEastAsia" w:hAnsiTheme="minorEastAsia" w:eastAsiaTheme="minorEastAsia"/>
                <w:kern w:val="1"/>
                <w:sz w:val="24"/>
                <w:szCs w:val="24"/>
                <w:highlight w:val="none"/>
                <w:u w:val="single"/>
                <w:lang w:bidi="en-US"/>
              </w:rPr>
              <w:t>20</w:t>
            </w:r>
            <w:r>
              <w:rPr>
                <w:rFonts w:hint="eastAsia" w:cs="宋体" w:asciiTheme="minorEastAsia" w:hAnsiTheme="minorEastAsia" w:eastAsiaTheme="minorEastAsia"/>
                <w:kern w:val="1"/>
                <w:sz w:val="24"/>
                <w:szCs w:val="24"/>
                <w:highlight w:val="none"/>
                <w:lang w:bidi="en-US"/>
              </w:rPr>
              <w:t>分</w:t>
            </w:r>
          </w:p>
        </w:tc>
      </w:tr>
      <w:tr w14:paraId="35FF0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9" w:hRule="atLeast"/>
          <w:jc w:val="center"/>
        </w:trPr>
        <w:tc>
          <w:tcPr>
            <w:tcW w:w="1600" w:type="dxa"/>
            <w:gridSpan w:val="2"/>
            <w:tcBorders>
              <w:tl2br w:val="nil"/>
              <w:tr2bl w:val="nil"/>
            </w:tcBorders>
            <w:vAlign w:val="center"/>
          </w:tcPr>
          <w:p w14:paraId="4A9E15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b/>
                <w:kern w:val="1"/>
                <w:sz w:val="24"/>
                <w:szCs w:val="24"/>
                <w:highlight w:val="none"/>
                <w:lang w:eastAsia="en-US" w:bidi="en-US"/>
              </w:rPr>
            </w:pPr>
            <w:r>
              <w:rPr>
                <w:rFonts w:hint="eastAsia" w:cs="宋体" w:asciiTheme="minorEastAsia" w:hAnsiTheme="minorEastAsia" w:eastAsiaTheme="minorEastAsia"/>
                <w:b/>
                <w:kern w:val="1"/>
                <w:sz w:val="24"/>
                <w:szCs w:val="24"/>
                <w:highlight w:val="none"/>
                <w:lang w:eastAsia="en-US" w:bidi="en-US"/>
              </w:rPr>
              <w:t>评分因素</w:t>
            </w:r>
          </w:p>
        </w:tc>
        <w:tc>
          <w:tcPr>
            <w:tcW w:w="7180" w:type="dxa"/>
            <w:gridSpan w:val="4"/>
            <w:tcBorders>
              <w:tl2br w:val="nil"/>
              <w:tr2bl w:val="nil"/>
            </w:tcBorders>
            <w:vAlign w:val="center"/>
          </w:tcPr>
          <w:p w14:paraId="684039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b/>
                <w:kern w:val="1"/>
                <w:sz w:val="24"/>
                <w:szCs w:val="24"/>
                <w:highlight w:val="none"/>
                <w:lang w:eastAsia="en-US" w:bidi="en-US"/>
              </w:rPr>
            </w:pPr>
            <w:r>
              <w:rPr>
                <w:rFonts w:hint="eastAsia" w:cs="宋体" w:asciiTheme="minorEastAsia" w:hAnsiTheme="minorEastAsia" w:eastAsiaTheme="minorEastAsia"/>
                <w:b/>
                <w:kern w:val="1"/>
                <w:sz w:val="24"/>
                <w:szCs w:val="24"/>
                <w:highlight w:val="none"/>
                <w:lang w:eastAsia="en-US" w:bidi="en-US"/>
              </w:rPr>
              <w:t>评分标准</w:t>
            </w:r>
          </w:p>
        </w:tc>
      </w:tr>
      <w:tr w14:paraId="1D164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29" w:type="dxa"/>
            <w:tcBorders>
              <w:tl2br w:val="nil"/>
              <w:tr2bl w:val="nil"/>
            </w:tcBorders>
            <w:vAlign w:val="center"/>
          </w:tcPr>
          <w:p w14:paraId="40A2F2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eastAsia="en-US" w:bidi="en-US"/>
              </w:rPr>
            </w:pPr>
            <w:r>
              <w:rPr>
                <w:rFonts w:hint="eastAsia" w:cs="宋体" w:asciiTheme="minorEastAsia" w:hAnsiTheme="minorEastAsia" w:eastAsiaTheme="minorEastAsia"/>
                <w:kern w:val="1"/>
                <w:sz w:val="24"/>
                <w:szCs w:val="24"/>
                <w:highlight w:val="none"/>
                <w:lang w:eastAsia="en-US" w:bidi="en-US"/>
              </w:rPr>
              <w:t>商务标（</w:t>
            </w:r>
            <w:r>
              <w:rPr>
                <w:rFonts w:hint="eastAsia" w:cs="宋体" w:asciiTheme="minorEastAsia" w:hAnsiTheme="minorEastAsia" w:eastAsiaTheme="minorEastAsia"/>
                <w:kern w:val="1"/>
                <w:sz w:val="24"/>
                <w:szCs w:val="24"/>
                <w:highlight w:val="none"/>
                <w:lang w:bidi="en-US"/>
              </w:rPr>
              <w:t>3</w:t>
            </w:r>
            <w:r>
              <w:rPr>
                <w:rFonts w:hint="eastAsia" w:cs="宋体" w:asciiTheme="minorEastAsia" w:hAnsiTheme="minorEastAsia" w:eastAsiaTheme="minorEastAsia"/>
                <w:kern w:val="1"/>
                <w:sz w:val="24"/>
                <w:szCs w:val="24"/>
                <w:highlight w:val="none"/>
                <w:lang w:eastAsia="en-US" w:bidi="en-US"/>
              </w:rPr>
              <w:t>0分）</w:t>
            </w:r>
          </w:p>
        </w:tc>
        <w:tc>
          <w:tcPr>
            <w:tcW w:w="871" w:type="dxa"/>
            <w:tcBorders>
              <w:tl2br w:val="nil"/>
              <w:tr2bl w:val="nil"/>
            </w:tcBorders>
            <w:vAlign w:val="center"/>
          </w:tcPr>
          <w:p w14:paraId="419FDC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eastAsia="en-US" w:bidi="en-US"/>
              </w:rPr>
            </w:pPr>
            <w:r>
              <w:rPr>
                <w:rFonts w:hint="eastAsia" w:cs="宋体" w:asciiTheme="minorEastAsia" w:hAnsiTheme="minorEastAsia"/>
                <w:kern w:val="1"/>
                <w:sz w:val="24"/>
                <w:szCs w:val="24"/>
                <w:highlight w:val="none"/>
                <w:lang w:val="en-US" w:eastAsia="zh-CN" w:bidi="en-US"/>
              </w:rPr>
              <w:t>2.2.1磋商</w:t>
            </w:r>
            <w:r>
              <w:rPr>
                <w:rFonts w:hint="eastAsia" w:cs="宋体" w:asciiTheme="minorEastAsia" w:hAnsiTheme="minorEastAsia" w:eastAsiaTheme="minorEastAsia"/>
                <w:kern w:val="1"/>
                <w:sz w:val="24"/>
                <w:szCs w:val="24"/>
                <w:highlight w:val="none"/>
                <w:lang w:eastAsia="en-US" w:bidi="en-US"/>
              </w:rPr>
              <w:t>报价</w:t>
            </w:r>
          </w:p>
        </w:tc>
        <w:tc>
          <w:tcPr>
            <w:tcW w:w="7180" w:type="dxa"/>
            <w:gridSpan w:val="4"/>
            <w:tcBorders>
              <w:tl2br w:val="nil"/>
              <w:tr2bl w:val="nil"/>
            </w:tcBorders>
            <w:vAlign w:val="center"/>
          </w:tcPr>
          <w:p w14:paraId="2343A64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lang w:bidi="en-US"/>
              </w:rPr>
            </w:pPr>
            <w:r>
              <w:rPr>
                <w:rFonts w:hint="eastAsia" w:cs="宋体" w:asciiTheme="minorEastAsia" w:hAnsiTheme="minorEastAsia" w:eastAsiaTheme="minorEastAsia"/>
                <w:sz w:val="24"/>
                <w:szCs w:val="24"/>
                <w:highlight w:val="none"/>
                <w:lang w:bidi="en-US"/>
              </w:rPr>
              <w:t xml:space="preserve">按照《财政部关于加强政府采购货物和服务项目价格评审管理的通知》（财库【2007】2 号）规定，综合评分法中的价格分用低价优先法计算，即满足竞争性磋商文件要求且投标价格最低的投标报价为评标基准价，其价格分为满分30 分。 </w:t>
            </w:r>
          </w:p>
          <w:p w14:paraId="60E4E3B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lang w:bidi="en-US"/>
              </w:rPr>
            </w:pPr>
            <w:r>
              <w:rPr>
                <w:rFonts w:hint="eastAsia" w:cs="宋体" w:asciiTheme="minorEastAsia" w:hAnsiTheme="minorEastAsia" w:eastAsiaTheme="minorEastAsia"/>
                <w:sz w:val="24"/>
                <w:szCs w:val="24"/>
                <w:highlight w:val="none"/>
                <w:lang w:bidi="en-US"/>
              </w:rPr>
              <w:t>其他</w:t>
            </w:r>
            <w:r>
              <w:rPr>
                <w:rFonts w:hint="eastAsia" w:cs="宋体" w:asciiTheme="minorEastAsia" w:hAnsiTheme="minorEastAsia"/>
                <w:sz w:val="24"/>
                <w:szCs w:val="24"/>
                <w:highlight w:val="none"/>
                <w:lang w:eastAsia="zh-CN" w:bidi="en-US"/>
              </w:rPr>
              <w:t>投标人</w:t>
            </w:r>
            <w:r>
              <w:rPr>
                <w:rFonts w:hint="eastAsia" w:cs="宋体" w:asciiTheme="minorEastAsia" w:hAnsiTheme="minorEastAsia" w:eastAsiaTheme="minorEastAsia"/>
                <w:sz w:val="24"/>
                <w:szCs w:val="24"/>
                <w:highlight w:val="none"/>
                <w:lang w:bidi="en-US"/>
              </w:rPr>
              <w:t xml:space="preserve">的价格分统一按照下列公式计算： </w:t>
            </w:r>
          </w:p>
          <w:p w14:paraId="70B39E8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lang w:bidi="en-US"/>
              </w:rPr>
            </w:pPr>
            <w:r>
              <w:rPr>
                <w:rFonts w:hint="eastAsia" w:cs="宋体" w:asciiTheme="minorEastAsia" w:hAnsiTheme="minorEastAsia" w:eastAsiaTheme="minorEastAsia"/>
                <w:sz w:val="24"/>
                <w:szCs w:val="24"/>
                <w:highlight w:val="none"/>
                <w:lang w:bidi="en-US"/>
              </w:rPr>
              <w:t>最终磋商报价得分=(磋商基准价／最后磋商报价)×30</w:t>
            </w:r>
          </w:p>
          <w:p w14:paraId="4043963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lang w:bidi="en-US"/>
              </w:rPr>
            </w:pPr>
            <w:r>
              <w:rPr>
                <w:rFonts w:hint="eastAsia" w:cs="宋体" w:asciiTheme="minorEastAsia" w:hAnsiTheme="minorEastAsia" w:eastAsiaTheme="minorEastAsia"/>
                <w:sz w:val="24"/>
                <w:szCs w:val="24"/>
                <w:highlight w:val="none"/>
                <w:lang w:bidi="en-US"/>
              </w:rPr>
              <w:t>注：1、</w:t>
            </w:r>
            <w:r>
              <w:rPr>
                <w:rFonts w:hint="eastAsia" w:ascii="宋体" w:hAnsi="宋体" w:eastAsia="宋体" w:cs="宋体"/>
                <w:snapToGrid w:val="0"/>
                <w:spacing w:val="11"/>
                <w:kern w:val="2"/>
                <w:sz w:val="24"/>
                <w:szCs w:val="24"/>
                <w:highlight w:val="none"/>
                <w:lang w:val="en-US" w:eastAsia="zh-CN" w:bidi="ar-SA"/>
              </w:rPr>
              <w:t>促进中小型企业发展，执行财政部、工信部印发的《政府采购促进中小型企业发展暂行办法》，</w:t>
            </w:r>
            <w:r>
              <w:rPr>
                <w:rFonts w:hint="eastAsia" w:ascii="宋体" w:hAnsi="宋体" w:eastAsia="宋体" w:cs="宋体"/>
                <w:b/>
                <w:bCs/>
                <w:snapToGrid w:val="0"/>
                <w:spacing w:val="11"/>
                <w:kern w:val="2"/>
                <w:sz w:val="24"/>
                <w:szCs w:val="24"/>
                <w:highlight w:val="none"/>
                <w:lang w:val="en-US" w:eastAsia="zh-CN" w:bidi="ar-SA"/>
              </w:rPr>
              <w:t>对小型和微型企业的报价给予20%的扣除（监狱企业、残疾人福利性企业视同小型、微型企业），</w:t>
            </w:r>
            <w:r>
              <w:rPr>
                <w:rFonts w:hint="eastAsia" w:ascii="宋体" w:hAnsi="宋体" w:eastAsia="宋体" w:cs="宋体"/>
                <w:snapToGrid w:val="0"/>
                <w:spacing w:val="11"/>
                <w:kern w:val="2"/>
                <w:sz w:val="24"/>
                <w:szCs w:val="24"/>
                <w:highlight w:val="none"/>
                <w:lang w:val="en-US" w:eastAsia="zh-CN" w:bidi="ar-SA"/>
              </w:rPr>
              <w:t>用扣除后的价格参与评审，参加政府采购活动的中小企业应当提供《中小企业声明函》并提供证明材料，未填写中小企业声明函的在评标过程中不予认可；参加政府采购活动的残疾人福利性企业应当提供《残疾人福利性单位声明函》并提供证明材料，未填写残疾人福利性单位声明函的在评标过程中不予认可。中标人如为小型和微型企业的，并在投标时填写了中小企业声明函，若不能提供或提供的材料与磋商时做出的声明不符，招标人有权取消该成交人的成交资格，并对因其造成的损失进行追责。</w:t>
            </w:r>
          </w:p>
          <w:p w14:paraId="2368C08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lang w:bidi="en-US"/>
              </w:rPr>
            </w:pPr>
            <w:r>
              <w:rPr>
                <w:rFonts w:hint="eastAsia" w:cs="宋体" w:asciiTheme="minorEastAsia" w:hAnsiTheme="minorEastAsia"/>
                <w:sz w:val="24"/>
                <w:szCs w:val="24"/>
                <w:highlight w:val="none"/>
                <w:lang w:val="en-US" w:eastAsia="zh-CN" w:bidi="en-US"/>
              </w:rPr>
              <w:t>2</w:t>
            </w:r>
            <w:r>
              <w:rPr>
                <w:rFonts w:hint="eastAsia" w:cs="宋体" w:asciiTheme="minorEastAsia" w:hAnsiTheme="minorEastAsia" w:eastAsiaTheme="minorEastAsia"/>
                <w:sz w:val="24"/>
                <w:szCs w:val="24"/>
                <w:highlight w:val="none"/>
                <w:lang w:bidi="en-US"/>
              </w:rPr>
              <w:t>、评标委员会认为</w:t>
            </w:r>
            <w:r>
              <w:rPr>
                <w:rFonts w:hint="eastAsia" w:cs="宋体" w:asciiTheme="minorEastAsia" w:hAnsiTheme="minorEastAsia"/>
                <w:sz w:val="24"/>
                <w:szCs w:val="24"/>
                <w:highlight w:val="none"/>
                <w:lang w:eastAsia="zh-CN" w:bidi="en-US"/>
              </w:rPr>
              <w:t>投标人</w:t>
            </w:r>
            <w:r>
              <w:rPr>
                <w:rFonts w:hint="eastAsia" w:cs="宋体" w:asciiTheme="minorEastAsia" w:hAnsiTheme="minorEastAsia" w:eastAsiaTheme="minorEastAsia"/>
                <w:sz w:val="24"/>
                <w:szCs w:val="24"/>
                <w:highlight w:val="none"/>
                <w:lang w:bidi="en-US"/>
              </w:rPr>
              <w:t>的报价明显低于其他通过符合性审查</w:t>
            </w:r>
            <w:r>
              <w:rPr>
                <w:rFonts w:hint="eastAsia" w:cs="宋体" w:asciiTheme="minorEastAsia" w:hAnsiTheme="minorEastAsia"/>
                <w:sz w:val="24"/>
                <w:szCs w:val="24"/>
                <w:highlight w:val="none"/>
                <w:lang w:eastAsia="zh-CN" w:bidi="en-US"/>
              </w:rPr>
              <w:t>投标人</w:t>
            </w:r>
            <w:r>
              <w:rPr>
                <w:rFonts w:hint="eastAsia" w:cs="宋体" w:asciiTheme="minorEastAsia" w:hAnsiTheme="minorEastAsia" w:eastAsiaTheme="minorEastAsia"/>
                <w:sz w:val="24"/>
                <w:szCs w:val="24"/>
                <w:highlight w:val="none"/>
                <w:lang w:bidi="en-US"/>
              </w:rPr>
              <w:t>的报价，有可能影响产品质量或者不能诚信履约的，应当要求其在评标现场合理的时间内提供书面说明，必要时提交相关证明材料；</w:t>
            </w:r>
            <w:r>
              <w:rPr>
                <w:rFonts w:hint="eastAsia" w:cs="宋体" w:asciiTheme="minorEastAsia" w:hAnsiTheme="minorEastAsia"/>
                <w:sz w:val="24"/>
                <w:szCs w:val="24"/>
                <w:highlight w:val="none"/>
                <w:lang w:eastAsia="zh-CN" w:bidi="en-US"/>
              </w:rPr>
              <w:t>投标人</w:t>
            </w:r>
            <w:r>
              <w:rPr>
                <w:rFonts w:hint="eastAsia" w:cs="宋体" w:asciiTheme="minorEastAsia" w:hAnsiTheme="minorEastAsia" w:eastAsiaTheme="minorEastAsia"/>
                <w:sz w:val="24"/>
                <w:szCs w:val="24"/>
                <w:highlight w:val="none"/>
                <w:lang w:bidi="en-US"/>
              </w:rPr>
              <w:t>不能证明其报价合理性的，评标委员会应当将其作为无效报价处理。</w:t>
            </w:r>
          </w:p>
          <w:p w14:paraId="24DF7FC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lang w:bidi="en-US"/>
              </w:rPr>
            </w:pPr>
            <w:r>
              <w:rPr>
                <w:rFonts w:hint="eastAsia" w:cs="宋体" w:asciiTheme="minorEastAsia" w:hAnsiTheme="minorEastAsia"/>
                <w:sz w:val="24"/>
                <w:szCs w:val="24"/>
                <w:highlight w:val="none"/>
                <w:lang w:val="en-US" w:eastAsia="zh-CN" w:bidi="en-US"/>
              </w:rPr>
              <w:t>3</w:t>
            </w:r>
            <w:r>
              <w:rPr>
                <w:rFonts w:hint="eastAsia" w:cs="宋体" w:asciiTheme="minorEastAsia" w:hAnsiTheme="minorEastAsia" w:eastAsiaTheme="minorEastAsia"/>
                <w:sz w:val="24"/>
                <w:szCs w:val="24"/>
                <w:highlight w:val="none"/>
                <w:lang w:val="en-US" w:eastAsia="zh-CN" w:bidi="en-US"/>
              </w:rPr>
              <w:t>、</w:t>
            </w:r>
            <w:r>
              <w:rPr>
                <w:rFonts w:hint="eastAsia" w:cs="宋体" w:asciiTheme="minorEastAsia" w:hAnsiTheme="minorEastAsia" w:eastAsiaTheme="minorEastAsia"/>
                <w:sz w:val="24"/>
                <w:szCs w:val="24"/>
                <w:highlight w:val="none"/>
                <w:lang w:eastAsia="zh-CN" w:bidi="en-US"/>
              </w:rPr>
              <w:t>超过最高限价的报价招标人不予接受，做无效标处理。</w:t>
            </w:r>
          </w:p>
        </w:tc>
      </w:tr>
      <w:tr w14:paraId="56D7B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restart"/>
            <w:tcBorders>
              <w:tl2br w:val="nil"/>
              <w:tr2bl w:val="nil"/>
            </w:tcBorders>
            <w:vAlign w:val="center"/>
          </w:tcPr>
          <w:p w14:paraId="2C1BCB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pacing w:val="6"/>
                <w:kern w:val="1"/>
                <w:sz w:val="24"/>
                <w:szCs w:val="24"/>
                <w:highlight w:val="none"/>
                <w:lang w:eastAsia="en-US" w:bidi="en-US"/>
              </w:rPr>
            </w:pPr>
            <w:r>
              <w:rPr>
                <w:rFonts w:hint="eastAsia" w:cs="宋体" w:asciiTheme="minorEastAsia" w:hAnsiTheme="minorEastAsia" w:eastAsiaTheme="minorEastAsia"/>
                <w:spacing w:val="6"/>
                <w:kern w:val="1"/>
                <w:sz w:val="24"/>
                <w:szCs w:val="24"/>
                <w:highlight w:val="none"/>
                <w:lang w:eastAsia="en-US" w:bidi="en-US"/>
              </w:rPr>
              <w:t>技术标</w:t>
            </w:r>
          </w:p>
          <w:p w14:paraId="444893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pacing w:val="6"/>
                <w:kern w:val="1"/>
                <w:sz w:val="24"/>
                <w:szCs w:val="24"/>
                <w:highlight w:val="none"/>
                <w:lang w:eastAsia="en-US" w:bidi="en-US"/>
              </w:rPr>
            </w:pPr>
            <w:r>
              <w:rPr>
                <w:rFonts w:hint="eastAsia" w:cs="宋体" w:asciiTheme="minorEastAsia" w:hAnsiTheme="minorEastAsia" w:eastAsiaTheme="minorEastAsia"/>
                <w:spacing w:val="6"/>
                <w:kern w:val="1"/>
                <w:sz w:val="24"/>
                <w:szCs w:val="24"/>
                <w:highlight w:val="none"/>
                <w:lang w:eastAsia="en-US" w:bidi="en-US"/>
              </w:rPr>
              <w:t>（</w:t>
            </w:r>
            <w:r>
              <w:rPr>
                <w:rFonts w:hint="eastAsia" w:cs="宋体" w:asciiTheme="minorEastAsia" w:hAnsiTheme="minorEastAsia" w:eastAsiaTheme="minorEastAsia"/>
                <w:spacing w:val="6"/>
                <w:kern w:val="1"/>
                <w:sz w:val="24"/>
                <w:szCs w:val="24"/>
                <w:highlight w:val="none"/>
                <w:lang w:bidi="en-US"/>
              </w:rPr>
              <w:t>50</w:t>
            </w:r>
            <w:r>
              <w:rPr>
                <w:rFonts w:hint="eastAsia" w:cs="宋体" w:asciiTheme="minorEastAsia" w:hAnsiTheme="minorEastAsia" w:eastAsiaTheme="minorEastAsia"/>
                <w:spacing w:val="6"/>
                <w:kern w:val="1"/>
                <w:sz w:val="24"/>
                <w:szCs w:val="24"/>
                <w:highlight w:val="none"/>
                <w:lang w:eastAsia="en-US" w:bidi="en-US"/>
              </w:rPr>
              <w:t>分）</w:t>
            </w:r>
          </w:p>
        </w:tc>
        <w:tc>
          <w:tcPr>
            <w:tcW w:w="871" w:type="dxa"/>
            <w:vMerge w:val="restart"/>
            <w:tcBorders>
              <w:tl2br w:val="nil"/>
              <w:tr2bl w:val="nil"/>
            </w:tcBorders>
            <w:vAlign w:val="center"/>
          </w:tcPr>
          <w:p w14:paraId="1F7B3F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pacing w:val="6"/>
                <w:kern w:val="1"/>
                <w:sz w:val="24"/>
                <w:szCs w:val="24"/>
                <w:highlight w:val="none"/>
                <w:lang w:bidi="en-US"/>
              </w:rPr>
            </w:pPr>
            <w:r>
              <w:rPr>
                <w:rFonts w:hint="eastAsia" w:cs="宋体" w:asciiTheme="minorEastAsia" w:hAnsiTheme="minorEastAsia"/>
                <w:spacing w:val="6"/>
                <w:kern w:val="1"/>
                <w:sz w:val="24"/>
                <w:szCs w:val="24"/>
                <w:highlight w:val="none"/>
                <w:lang w:val="en-US" w:eastAsia="zh-CN" w:bidi="en-US"/>
              </w:rPr>
              <w:t>2.2.2</w:t>
            </w:r>
            <w:r>
              <w:rPr>
                <w:rFonts w:hint="eastAsia" w:cs="宋体" w:asciiTheme="minorEastAsia" w:hAnsiTheme="minorEastAsia" w:eastAsiaTheme="minorEastAsia"/>
                <w:spacing w:val="6"/>
                <w:kern w:val="1"/>
                <w:sz w:val="24"/>
                <w:szCs w:val="24"/>
                <w:highlight w:val="none"/>
                <w:lang w:bidi="en-US"/>
              </w:rPr>
              <w:t>施工组织设计</w:t>
            </w:r>
          </w:p>
          <w:p w14:paraId="6CD71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pacing w:val="6"/>
                <w:kern w:val="1"/>
                <w:sz w:val="24"/>
                <w:szCs w:val="24"/>
                <w:highlight w:val="none"/>
                <w:lang w:bidi="en-US"/>
              </w:rPr>
            </w:pPr>
            <w:r>
              <w:rPr>
                <w:rFonts w:hint="eastAsia" w:cs="宋体" w:asciiTheme="minorEastAsia" w:hAnsiTheme="minorEastAsia" w:eastAsiaTheme="minorEastAsia"/>
                <w:spacing w:val="6"/>
                <w:kern w:val="1"/>
                <w:sz w:val="24"/>
                <w:szCs w:val="24"/>
                <w:highlight w:val="none"/>
                <w:lang w:bidi="en-US"/>
              </w:rPr>
              <w:t>评分标准</w:t>
            </w:r>
          </w:p>
        </w:tc>
        <w:tc>
          <w:tcPr>
            <w:tcW w:w="1531" w:type="dxa"/>
            <w:gridSpan w:val="2"/>
            <w:tcBorders>
              <w:tl2br w:val="nil"/>
              <w:tr2bl w:val="nil"/>
            </w:tcBorders>
            <w:vAlign w:val="center"/>
          </w:tcPr>
          <w:p w14:paraId="0A0081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内容完整性</w:t>
            </w:r>
          </w:p>
        </w:tc>
        <w:tc>
          <w:tcPr>
            <w:tcW w:w="4515" w:type="dxa"/>
            <w:tcBorders>
              <w:tl2br w:val="nil"/>
              <w:tr2bl w:val="nil"/>
            </w:tcBorders>
            <w:vAlign w:val="center"/>
          </w:tcPr>
          <w:p w14:paraId="22A387A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default" w:cs="宋体" w:asciiTheme="minorEastAsia" w:hAnsiTheme="minorEastAsia" w:eastAsiaTheme="minorEastAsia"/>
                <w:sz w:val="24"/>
                <w:szCs w:val="24"/>
                <w:highlight w:val="none"/>
                <w:lang w:val="en-US" w:eastAsia="zh-CN"/>
              </w:rPr>
            </w:pPr>
            <w:r>
              <w:rPr>
                <w:rFonts w:hint="eastAsia" w:cs="宋体" w:asciiTheme="minorEastAsia" w:hAnsiTheme="minorEastAsia" w:eastAsiaTheme="minorEastAsia"/>
                <w:sz w:val="24"/>
                <w:szCs w:val="24"/>
                <w:highlight w:val="none"/>
              </w:rPr>
              <w:t>技术标的主要内容具有完整性，符合招标文件的要求。</w:t>
            </w:r>
            <w:r>
              <w:rPr>
                <w:rFonts w:hint="eastAsia" w:ascii="宋体" w:hAnsi="宋体" w:eastAsia="宋体" w:cs="宋体"/>
                <w:sz w:val="24"/>
                <w:szCs w:val="24"/>
                <w:lang w:val="en-US" w:eastAsia="zh-CN"/>
              </w:rPr>
              <w:t>1</w:t>
            </w:r>
            <w:r>
              <w:rPr>
                <w:rFonts w:hint="eastAsia" w:ascii="宋体" w:hAnsi="宋体" w:eastAsia="宋体" w:cs="宋体"/>
                <w:sz w:val="24"/>
                <w:szCs w:val="24"/>
              </w:rPr>
              <w:t>＜得分≤2。</w:t>
            </w:r>
          </w:p>
          <w:p w14:paraId="6C71942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eastAsia="宋体" w:cs="宋体" w:asciiTheme="minorEastAsia" w:hAnsiTheme="minorEastAsia"/>
                <w:sz w:val="24"/>
                <w:szCs w:val="24"/>
                <w:highlight w:val="none"/>
                <w:lang w:val="en-US" w:eastAsia="zh-CN"/>
              </w:rPr>
            </w:pPr>
            <w:r>
              <w:rPr>
                <w:rFonts w:hint="eastAsia" w:ascii="宋体" w:hAnsi="宋体" w:eastAsia="宋体" w:cs="宋体"/>
                <w:sz w:val="24"/>
                <w:szCs w:val="24"/>
              </w:rPr>
              <w:t>技术标不符合招标文件要求。</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w:t>
            </w:r>
          </w:p>
        </w:tc>
        <w:tc>
          <w:tcPr>
            <w:tcW w:w="1134" w:type="dxa"/>
            <w:tcBorders>
              <w:tl2br w:val="nil"/>
              <w:tr2bl w:val="nil"/>
            </w:tcBorders>
            <w:vAlign w:val="center"/>
          </w:tcPr>
          <w:p w14:paraId="3A0712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ascii="宋体" w:hAnsi="宋体" w:eastAsia="宋体" w:cs="宋体"/>
                <w:sz w:val="24"/>
                <w:szCs w:val="24"/>
                <w:lang w:val="en-US" w:eastAsia="zh-CN"/>
              </w:rPr>
              <w:t>0</w:t>
            </w:r>
            <w:r>
              <w:rPr>
                <w:rFonts w:hint="eastAsia" w:ascii="宋体" w:hAnsi="宋体" w:eastAsia="宋体" w:cs="宋体"/>
                <w:sz w:val="24"/>
                <w:szCs w:val="24"/>
              </w:rPr>
              <w:t>＜得分≤2</w:t>
            </w:r>
          </w:p>
        </w:tc>
      </w:tr>
      <w:tr w14:paraId="37DA8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494E5E0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1" w:type="dxa"/>
            <w:vMerge w:val="continue"/>
            <w:tcBorders>
              <w:tl2br w:val="nil"/>
              <w:tr2bl w:val="nil"/>
            </w:tcBorders>
          </w:tcPr>
          <w:p w14:paraId="5253F0C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31" w:type="dxa"/>
            <w:gridSpan w:val="2"/>
            <w:tcBorders>
              <w:tl2br w:val="nil"/>
              <w:tr2bl w:val="nil"/>
            </w:tcBorders>
            <w:vAlign w:val="center"/>
          </w:tcPr>
          <w:p w14:paraId="458238F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主要施工方案与技术措施</w:t>
            </w:r>
          </w:p>
        </w:tc>
        <w:tc>
          <w:tcPr>
            <w:tcW w:w="4515" w:type="dxa"/>
            <w:tcBorders>
              <w:tl2br w:val="nil"/>
              <w:tr2bl w:val="nil"/>
            </w:tcBorders>
            <w:vAlign w:val="center"/>
          </w:tcPr>
          <w:p w14:paraId="6EDEA06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eastAsia="宋体" w:cs="宋体" w:asciiTheme="minorEastAsia" w:hAnsiTheme="minorEastAsia"/>
                <w:sz w:val="24"/>
                <w:szCs w:val="24"/>
                <w:highlight w:val="none"/>
                <w:lang w:val="en-US" w:eastAsia="zh-CN"/>
              </w:rPr>
            </w:pPr>
            <w:r>
              <w:rPr>
                <w:rFonts w:hint="eastAsia" w:cs="宋体" w:asciiTheme="minorEastAsia" w:hAnsiTheme="minorEastAsia" w:eastAsiaTheme="minorEastAsia"/>
                <w:sz w:val="24"/>
                <w:szCs w:val="24"/>
                <w:highlight w:val="none"/>
              </w:rPr>
              <w:t>施工方案（含工程特点、施工重点与难点及绿色施工）总体安排合理，运用先进、合理的施工工艺、施工机械；对施工难点有先进和合理的建议。</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011425B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default" w:eastAsia="宋体" w:cs="宋体" w:asciiTheme="minorEastAsia" w:hAnsiTheme="minorEastAsia"/>
                <w:sz w:val="24"/>
                <w:szCs w:val="24"/>
                <w:highlight w:val="none"/>
                <w:lang w:val="en-US" w:eastAsia="zh-CN"/>
              </w:rPr>
            </w:pPr>
            <w:r>
              <w:rPr>
                <w:rFonts w:hint="eastAsia" w:ascii="宋体" w:hAnsi="宋体" w:eastAsia="宋体" w:cs="宋体"/>
                <w:sz w:val="24"/>
                <w:szCs w:val="24"/>
              </w:rPr>
              <w:t>施工方案（含工程特点、施工重点与难点及绿色施工）总体安排合理，施工工艺、施工机械合理、可行；对施工难点有合理的建议。</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019A69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 </w:t>
            </w: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sz w:val="24"/>
                <w:szCs w:val="24"/>
                <w:highlight w:val="none"/>
                <w:lang w:val="en-US" w:eastAsia="zh-CN"/>
              </w:rPr>
              <w:t>5</w:t>
            </w:r>
            <w:r>
              <w:rPr>
                <w:rFonts w:hint="eastAsia" w:cs="宋体" w:asciiTheme="minorEastAsia" w:hAnsiTheme="minorEastAsia" w:eastAsiaTheme="minorEastAsia"/>
                <w:sz w:val="24"/>
                <w:szCs w:val="24"/>
                <w:highlight w:val="none"/>
              </w:rPr>
              <w:t>分</w:t>
            </w:r>
          </w:p>
        </w:tc>
      </w:tr>
      <w:tr w14:paraId="21ED7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29" w:type="dxa"/>
            <w:vMerge w:val="continue"/>
            <w:tcBorders>
              <w:tl2br w:val="nil"/>
              <w:tr2bl w:val="nil"/>
            </w:tcBorders>
          </w:tcPr>
          <w:p w14:paraId="47D1C63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1" w:type="dxa"/>
            <w:vMerge w:val="continue"/>
            <w:tcBorders>
              <w:tl2br w:val="nil"/>
              <w:tr2bl w:val="nil"/>
            </w:tcBorders>
          </w:tcPr>
          <w:p w14:paraId="1830E8D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31" w:type="dxa"/>
            <w:gridSpan w:val="2"/>
            <w:tcBorders>
              <w:tl2br w:val="nil"/>
              <w:tr2bl w:val="nil"/>
            </w:tcBorders>
            <w:vAlign w:val="center"/>
          </w:tcPr>
          <w:p w14:paraId="7044478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质量管理体系与措施</w:t>
            </w:r>
          </w:p>
        </w:tc>
        <w:tc>
          <w:tcPr>
            <w:tcW w:w="4515" w:type="dxa"/>
            <w:tcBorders>
              <w:tl2br w:val="nil"/>
              <w:tr2bl w:val="nil"/>
            </w:tcBorders>
            <w:vAlign w:val="center"/>
          </w:tcPr>
          <w:p w14:paraId="2714CF4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组织机构形式合理，有完善的指挥系统、质量监控系统、联络协调系统，对项目提出先进、可行、具体的保证措施。主体结构质量保证措施完整得力、经济、安全、切实可行。主体结构、装饰装修按照工程建设强制性标准和其他技术标准施工，不得偷工减料。</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3229B9A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ascii="宋体" w:hAnsi="宋体" w:eastAsia="宋体" w:cs="宋体"/>
                <w:sz w:val="24"/>
                <w:szCs w:val="24"/>
              </w:rPr>
              <w:t>组织机构形式基本合理，指挥系统、质量监控系统、联络协调系统，具体措施可行。主体结构质量保证措施经济、安全、基本可行。主体结构、装饰装修符合工程建设强制性标准，不得偷工减料。</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295270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eastAsiaTheme="minorEastAsia"/>
                <w:sz w:val="24"/>
                <w:szCs w:val="24"/>
                <w:highlight w:val="none"/>
                <w:lang w:val="en-US" w:eastAsia="zh-CN"/>
              </w:rPr>
              <w:t>5</w:t>
            </w:r>
            <w:r>
              <w:rPr>
                <w:rFonts w:hint="eastAsia" w:cs="宋体" w:asciiTheme="minorEastAsia" w:hAnsiTheme="minorEastAsia" w:eastAsiaTheme="minorEastAsia"/>
                <w:sz w:val="24"/>
                <w:szCs w:val="24"/>
                <w:highlight w:val="none"/>
              </w:rPr>
              <w:t>分</w:t>
            </w:r>
          </w:p>
        </w:tc>
      </w:tr>
      <w:tr w14:paraId="66BFD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6" w:hRule="atLeast"/>
          <w:jc w:val="center"/>
        </w:trPr>
        <w:tc>
          <w:tcPr>
            <w:tcW w:w="729" w:type="dxa"/>
            <w:vMerge w:val="continue"/>
            <w:tcBorders>
              <w:tl2br w:val="nil"/>
              <w:tr2bl w:val="nil"/>
            </w:tcBorders>
          </w:tcPr>
          <w:p w14:paraId="60645DD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1" w:type="dxa"/>
            <w:vMerge w:val="continue"/>
            <w:tcBorders>
              <w:tl2br w:val="nil"/>
              <w:tr2bl w:val="nil"/>
            </w:tcBorders>
          </w:tcPr>
          <w:p w14:paraId="164ED0A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31" w:type="dxa"/>
            <w:gridSpan w:val="2"/>
            <w:tcBorders>
              <w:tl2br w:val="nil"/>
              <w:tr2bl w:val="nil"/>
            </w:tcBorders>
            <w:vAlign w:val="center"/>
          </w:tcPr>
          <w:p w14:paraId="144F3D2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安全管理体系与措施</w:t>
            </w:r>
          </w:p>
        </w:tc>
        <w:tc>
          <w:tcPr>
            <w:tcW w:w="4515" w:type="dxa"/>
            <w:tcBorders>
              <w:tl2br w:val="nil"/>
              <w:tr2bl w:val="nil"/>
            </w:tcBorders>
            <w:vAlign w:val="center"/>
          </w:tcPr>
          <w:p w14:paraId="3DE2C2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施工安全生产保障体系健全，安全管理制度完善，安全管理目标具体，全员安全责任制明确，现场安全管理组织机构、人员配备满足国家规定要求。根据工程特点、周边环境和施工工艺，现场重大危险源辨识全面，制定有项目危险性较大的分部分项工程清单并明确有相应的安全管理措施。安全技术方案措施科学合理、先进可行。</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6265220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ascii="宋体" w:hAnsi="宋体" w:eastAsia="宋体" w:cs="宋体"/>
                <w:sz w:val="24"/>
                <w:szCs w:val="24"/>
              </w:rPr>
              <w:t>有施工安全生产保障体系、安全责任制和安全管理制度，现场安全管理机构、人员配备满足国家规定。根据工程特点、周边环境和施工工艺，正确识别现场重大危险源并有相应的安全防护管理措施。制定有本项目危险性较大的分部分项工程清单和相关专项施工方案（或方案计划），安全技术方案、措施基本可行。</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467BF9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 xml:space="preserve"> </w:t>
            </w: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sz w:val="24"/>
                <w:szCs w:val="24"/>
                <w:highlight w:val="none"/>
                <w:lang w:val="en-US" w:eastAsia="zh-CN"/>
              </w:rPr>
              <w:t>5</w:t>
            </w:r>
            <w:r>
              <w:rPr>
                <w:rFonts w:hint="eastAsia" w:cs="宋体" w:asciiTheme="minorEastAsia" w:hAnsiTheme="minorEastAsia" w:eastAsiaTheme="minorEastAsia"/>
                <w:sz w:val="24"/>
                <w:szCs w:val="24"/>
                <w:highlight w:val="none"/>
              </w:rPr>
              <w:t>分</w:t>
            </w:r>
          </w:p>
        </w:tc>
      </w:tr>
      <w:tr w14:paraId="67922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97" w:hRule="atLeast"/>
          <w:jc w:val="center"/>
        </w:trPr>
        <w:tc>
          <w:tcPr>
            <w:tcW w:w="729" w:type="dxa"/>
            <w:vMerge w:val="continue"/>
            <w:tcBorders>
              <w:tl2br w:val="nil"/>
              <w:tr2bl w:val="nil"/>
            </w:tcBorders>
          </w:tcPr>
          <w:p w14:paraId="4AA9514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eastAsia="en-US" w:bidi="en-US"/>
              </w:rPr>
            </w:pPr>
          </w:p>
        </w:tc>
        <w:tc>
          <w:tcPr>
            <w:tcW w:w="871" w:type="dxa"/>
            <w:vMerge w:val="continue"/>
            <w:tcBorders>
              <w:tl2br w:val="nil"/>
              <w:tr2bl w:val="nil"/>
            </w:tcBorders>
          </w:tcPr>
          <w:p w14:paraId="498414B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eastAsia="en-US" w:bidi="en-US"/>
              </w:rPr>
            </w:pPr>
          </w:p>
        </w:tc>
        <w:tc>
          <w:tcPr>
            <w:tcW w:w="1531" w:type="dxa"/>
            <w:gridSpan w:val="2"/>
            <w:tcBorders>
              <w:tl2br w:val="nil"/>
              <w:tr2bl w:val="nil"/>
            </w:tcBorders>
            <w:vAlign w:val="center"/>
          </w:tcPr>
          <w:p w14:paraId="7315B8F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文明施工、环境保护管理体系及施工现场扬尘治理措施</w:t>
            </w:r>
          </w:p>
        </w:tc>
        <w:tc>
          <w:tcPr>
            <w:tcW w:w="4515" w:type="dxa"/>
            <w:tcBorders>
              <w:tl2br w:val="nil"/>
              <w:tr2bl w:val="nil"/>
            </w:tcBorders>
            <w:vAlign w:val="center"/>
          </w:tcPr>
          <w:p w14:paraId="1417373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创安全文明标准化工地目标明确，有针对项目实际情况，科学可行的创建计划和符合相关标准、规范、规程的创建保证措施和安全文明措施费用投入使用计划，现场施工区、生活区、办公区等设置科学规范，符合有关文明施工、健康卫生的规定。施工现场扬尘治理措施符合河南省《城市房屋建筑和市政基础设施工程及道路扬尘污染防治标准》（DBJ41/174）的规定，防治方案科学、先进。</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753D43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ascii="宋体" w:hAnsi="宋体" w:eastAsia="宋体" w:cs="宋体"/>
                <w:sz w:val="24"/>
                <w:szCs w:val="24"/>
              </w:rPr>
              <w:t>有安全文明标准化工地创建目标计划和创建措施，有安全文明措施费用投入使用计划，现场施工区、生活区、办公区等设置符合有关文明施工、健康卫生的规定。施工现场扬尘治理措施基本达到河南省《城市房屋建筑和市政基础设施工程及道路扬尘污染防治标准》（DBJ41/174）的规定，有防治方案。</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7B0F72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sz w:val="24"/>
                <w:szCs w:val="24"/>
                <w:highlight w:val="none"/>
                <w:lang w:val="en-US" w:eastAsia="zh-CN"/>
              </w:rPr>
              <w:t>5</w:t>
            </w:r>
            <w:r>
              <w:rPr>
                <w:rFonts w:hint="eastAsia" w:cs="宋体" w:asciiTheme="minorEastAsia" w:hAnsiTheme="minorEastAsia" w:eastAsiaTheme="minorEastAsia"/>
                <w:sz w:val="24"/>
                <w:szCs w:val="24"/>
                <w:highlight w:val="none"/>
              </w:rPr>
              <w:t>分</w:t>
            </w:r>
          </w:p>
        </w:tc>
      </w:tr>
      <w:tr w14:paraId="10472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continue"/>
            <w:tcBorders>
              <w:tl2br w:val="nil"/>
              <w:tr2bl w:val="nil"/>
            </w:tcBorders>
          </w:tcPr>
          <w:p w14:paraId="3D2EC7F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1" w:type="dxa"/>
            <w:vMerge w:val="continue"/>
            <w:tcBorders>
              <w:tl2br w:val="nil"/>
              <w:tr2bl w:val="nil"/>
            </w:tcBorders>
          </w:tcPr>
          <w:p w14:paraId="4E1B4EE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31" w:type="dxa"/>
            <w:gridSpan w:val="2"/>
            <w:tcBorders>
              <w:tl2br w:val="nil"/>
              <w:tr2bl w:val="nil"/>
            </w:tcBorders>
            <w:vAlign w:val="center"/>
          </w:tcPr>
          <w:p w14:paraId="1F36FE4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工期保证措施</w:t>
            </w:r>
          </w:p>
        </w:tc>
        <w:tc>
          <w:tcPr>
            <w:tcW w:w="4515" w:type="dxa"/>
            <w:tcBorders>
              <w:tl2br w:val="nil"/>
              <w:tr2bl w:val="nil"/>
            </w:tcBorders>
            <w:vAlign w:val="center"/>
          </w:tcPr>
          <w:p w14:paraId="392DEBD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工期承诺满足招标文件要求，工期保证措施合理且有针对性，有具体的违约责任承诺。</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2939ED7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ascii="宋体" w:hAnsi="宋体" w:eastAsia="宋体" w:cs="宋体"/>
                <w:sz w:val="24"/>
                <w:szCs w:val="24"/>
              </w:rPr>
              <w:t>工期承诺满足招标文件要求，工期保证措施基本合理，有具体的违约责任承诺。</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34" w:type="dxa"/>
            <w:tcBorders>
              <w:tl2br w:val="nil"/>
              <w:tr2bl w:val="nil"/>
            </w:tcBorders>
            <w:vAlign w:val="center"/>
          </w:tcPr>
          <w:p w14:paraId="21F912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eastAsiaTheme="minorEastAsia"/>
                <w:sz w:val="24"/>
                <w:szCs w:val="24"/>
                <w:highlight w:val="none"/>
                <w:lang w:val="en-US" w:eastAsia="zh-CN"/>
              </w:rPr>
              <w:t>5</w:t>
            </w:r>
            <w:r>
              <w:rPr>
                <w:rFonts w:hint="eastAsia" w:cs="宋体" w:asciiTheme="minorEastAsia" w:hAnsiTheme="minorEastAsia" w:eastAsiaTheme="minorEastAsia"/>
                <w:sz w:val="24"/>
                <w:szCs w:val="24"/>
                <w:highlight w:val="none"/>
              </w:rPr>
              <w:t>分</w:t>
            </w:r>
          </w:p>
        </w:tc>
      </w:tr>
      <w:tr w14:paraId="22387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97" w:hRule="atLeast"/>
          <w:jc w:val="center"/>
        </w:trPr>
        <w:tc>
          <w:tcPr>
            <w:tcW w:w="729" w:type="dxa"/>
            <w:vMerge w:val="continue"/>
            <w:tcBorders>
              <w:tl2br w:val="nil"/>
              <w:tr2bl w:val="nil"/>
            </w:tcBorders>
          </w:tcPr>
          <w:p w14:paraId="266196F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1" w:type="dxa"/>
            <w:vMerge w:val="continue"/>
            <w:tcBorders>
              <w:tl2br w:val="nil"/>
              <w:tr2bl w:val="nil"/>
            </w:tcBorders>
          </w:tcPr>
          <w:p w14:paraId="09E6F31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31" w:type="dxa"/>
            <w:gridSpan w:val="2"/>
            <w:tcBorders>
              <w:tl2br w:val="nil"/>
              <w:tr2bl w:val="nil"/>
            </w:tcBorders>
            <w:vAlign w:val="center"/>
          </w:tcPr>
          <w:p w14:paraId="6045E6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拟投入资源配备计划</w:t>
            </w:r>
          </w:p>
        </w:tc>
        <w:tc>
          <w:tcPr>
            <w:tcW w:w="4515" w:type="dxa"/>
            <w:tcBorders>
              <w:tl2br w:val="nil"/>
              <w:tr2bl w:val="nil"/>
            </w:tcBorders>
            <w:vAlign w:val="center"/>
          </w:tcPr>
          <w:p w14:paraId="26A6C98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机械：投入计划与进度计划呼应，采用先进机械设备且配置合理、先进，满足安全技术规范和施工进度需要；PC构件运输、安装设备满足施工要求</w:t>
            </w:r>
            <w:r>
              <w:rPr>
                <w:rFonts w:hint="eastAsia" w:cs="宋体" w:asciiTheme="minorEastAsia" w:hAnsiTheme="minorEastAsia"/>
                <w:sz w:val="24"/>
                <w:szCs w:val="24"/>
                <w:highlight w:val="none"/>
                <w:lang w:eastAsia="zh-CN"/>
              </w:rPr>
              <w:t>。</w:t>
            </w:r>
            <w:r>
              <w:rPr>
                <w:rFonts w:hint="eastAsia" w:cs="宋体" w:asciiTheme="minorEastAsia" w:hAnsiTheme="minorEastAsia" w:eastAsiaTheme="minorEastAsia"/>
                <w:sz w:val="24"/>
                <w:szCs w:val="24"/>
                <w:highlight w:val="none"/>
              </w:rPr>
              <w:t>劳动力：投入计划与进度计划呼应，较好满足施工需要，调配投入计划合理、准确</w:t>
            </w:r>
            <w:r>
              <w:rPr>
                <w:rFonts w:hint="eastAsia" w:cs="宋体" w:asciiTheme="minorEastAsia" w:hAnsiTheme="minorEastAsia"/>
                <w:sz w:val="24"/>
                <w:szCs w:val="24"/>
                <w:highlight w:val="none"/>
                <w:lang w:eastAsia="zh-CN"/>
              </w:rPr>
              <w:t>。</w:t>
            </w:r>
            <w:r>
              <w:rPr>
                <w:rFonts w:hint="eastAsia" w:cs="宋体" w:asciiTheme="minorEastAsia" w:hAnsiTheme="minorEastAsia" w:eastAsiaTheme="minorEastAsia"/>
                <w:sz w:val="24"/>
                <w:szCs w:val="24"/>
                <w:highlight w:val="none"/>
              </w:rPr>
              <w:t>主要物资计划：主要物资投入计划与进度计划呼应，较好满足施工需要，调配投入计划合理、准确。</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p w14:paraId="6245A67D">
            <w:pPr>
              <w:widowControl/>
              <w:spacing w:line="360" w:lineRule="auto"/>
              <w:rPr>
                <w:rFonts w:hint="eastAsia" w:cs="宋体" w:asciiTheme="minorEastAsia" w:hAnsiTheme="minorEastAsia" w:eastAsiaTheme="minorEastAsia"/>
                <w:sz w:val="24"/>
                <w:szCs w:val="24"/>
                <w:highlight w:val="none"/>
              </w:rPr>
            </w:pPr>
            <w:r>
              <w:rPr>
                <w:rFonts w:hint="eastAsia" w:ascii="宋体" w:hAnsi="宋体" w:eastAsia="宋体" w:cs="宋体"/>
                <w:sz w:val="24"/>
                <w:szCs w:val="24"/>
              </w:rPr>
              <w:t>机械：投入计划与进度计划呼应，机械设备配置基本合理，满足安全技术规范和施工进度需要</w:t>
            </w:r>
            <w:r>
              <w:rPr>
                <w:rFonts w:hint="eastAsia" w:ascii="宋体" w:hAnsi="宋体" w:eastAsia="宋体" w:cs="宋体"/>
                <w:sz w:val="24"/>
                <w:szCs w:val="24"/>
                <w:lang w:eastAsia="zh-CN"/>
              </w:rPr>
              <w:t>。</w:t>
            </w:r>
            <w:r>
              <w:rPr>
                <w:rFonts w:hint="eastAsia" w:ascii="宋体" w:hAnsi="宋体" w:eastAsia="宋体" w:cs="宋体"/>
                <w:sz w:val="24"/>
                <w:szCs w:val="24"/>
              </w:rPr>
              <w:t>劳动力：投入计划与进度计划呼应，基本满足施工需要，调配投入计划基本合理</w:t>
            </w:r>
            <w:r>
              <w:rPr>
                <w:rFonts w:hint="eastAsia" w:ascii="宋体" w:hAnsi="宋体" w:eastAsia="宋体" w:cs="宋体"/>
                <w:sz w:val="24"/>
                <w:szCs w:val="24"/>
                <w:lang w:eastAsia="zh-CN"/>
              </w:rPr>
              <w:t>。</w:t>
            </w:r>
            <w:r>
              <w:rPr>
                <w:rFonts w:hint="eastAsia" w:ascii="宋体" w:hAnsi="宋体" w:eastAsia="宋体" w:cs="宋体"/>
                <w:spacing w:val="-4"/>
                <w:sz w:val="24"/>
                <w:szCs w:val="24"/>
              </w:rPr>
              <w:t>主要物资计划：主要物资投入计划与进度计划呼应，基本满足施工需要，调配投入计划基本合理。</w:t>
            </w:r>
            <w:r>
              <w:rPr>
                <w:rFonts w:hint="eastAsia" w:ascii="宋体" w:hAnsi="宋体" w:eastAsia="宋体" w:cs="宋体"/>
                <w:sz w:val="24"/>
                <w:szCs w:val="24"/>
                <w:lang w:val="en-US" w:eastAsia="zh-CN"/>
              </w:rPr>
              <w:t>2.5</w:t>
            </w:r>
            <w:r>
              <w:rPr>
                <w:rFonts w:hint="eastAsia" w:ascii="宋体" w:hAnsi="宋体" w:eastAsia="宋体" w:cs="宋体"/>
                <w:sz w:val="24"/>
                <w:szCs w:val="24"/>
              </w:rPr>
              <w:t>＜得分≤</w:t>
            </w:r>
            <w:r>
              <w:rPr>
                <w:rFonts w:hint="eastAsia" w:ascii="宋体" w:hAnsi="宋体" w:eastAsia="宋体" w:cs="宋体"/>
                <w:sz w:val="24"/>
                <w:szCs w:val="24"/>
                <w:lang w:val="en-US" w:eastAsia="zh-CN"/>
              </w:rPr>
              <w:t>5</w:t>
            </w:r>
          </w:p>
        </w:tc>
        <w:tc>
          <w:tcPr>
            <w:tcW w:w="1134" w:type="dxa"/>
            <w:tcBorders>
              <w:tl2br w:val="nil"/>
              <w:tr2bl w:val="nil"/>
            </w:tcBorders>
            <w:vAlign w:val="center"/>
          </w:tcPr>
          <w:p w14:paraId="4B7EC5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eastAsiaTheme="minorEastAsia"/>
                <w:sz w:val="24"/>
                <w:szCs w:val="24"/>
                <w:highlight w:val="none"/>
                <w:lang w:val="en-US" w:eastAsia="zh-CN"/>
              </w:rPr>
              <w:t>5</w:t>
            </w:r>
            <w:r>
              <w:rPr>
                <w:rFonts w:hint="eastAsia" w:cs="宋体" w:asciiTheme="minorEastAsia" w:hAnsiTheme="minorEastAsia" w:eastAsiaTheme="minorEastAsia"/>
                <w:sz w:val="24"/>
                <w:szCs w:val="24"/>
                <w:highlight w:val="none"/>
              </w:rPr>
              <w:t>分</w:t>
            </w:r>
          </w:p>
        </w:tc>
      </w:tr>
      <w:tr w14:paraId="2C8DA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continue"/>
            <w:tcBorders>
              <w:tl2br w:val="nil"/>
              <w:tr2bl w:val="nil"/>
            </w:tcBorders>
          </w:tcPr>
          <w:p w14:paraId="72C4CF8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1" w:type="dxa"/>
            <w:vMerge w:val="continue"/>
            <w:tcBorders>
              <w:tl2br w:val="nil"/>
              <w:tr2bl w:val="nil"/>
            </w:tcBorders>
          </w:tcPr>
          <w:p w14:paraId="221F754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31" w:type="dxa"/>
            <w:gridSpan w:val="2"/>
            <w:tcBorders>
              <w:tl2br w:val="nil"/>
              <w:tr2bl w:val="nil"/>
            </w:tcBorders>
            <w:vAlign w:val="center"/>
          </w:tcPr>
          <w:p w14:paraId="67288ED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施工进度表</w:t>
            </w:r>
          </w:p>
        </w:tc>
        <w:tc>
          <w:tcPr>
            <w:tcW w:w="4515" w:type="dxa"/>
            <w:tcBorders>
              <w:tl2br w:val="nil"/>
              <w:tr2bl w:val="nil"/>
            </w:tcBorders>
            <w:vAlign w:val="center"/>
          </w:tcPr>
          <w:p w14:paraId="7A00846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eastAsia="宋体" w:cs="宋体" w:asciiTheme="minorEastAsia" w:hAnsiTheme="minorEastAsia"/>
                <w:sz w:val="24"/>
                <w:szCs w:val="24"/>
                <w:highlight w:val="none"/>
                <w:lang w:val="en-US" w:eastAsia="zh-CN"/>
              </w:rPr>
            </w:pPr>
            <w:r>
              <w:rPr>
                <w:rFonts w:hint="eastAsia" w:cs="宋体" w:asciiTheme="minorEastAsia" w:hAnsiTheme="minorEastAsia" w:eastAsiaTheme="minorEastAsia"/>
                <w:sz w:val="24"/>
                <w:szCs w:val="24"/>
                <w:highlight w:val="none"/>
              </w:rPr>
              <w:t>关键线路清晰、准确、完整、计划编制合理、可行、满足招标文件对工期的要求。</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269C13D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default" w:eastAsia="宋体" w:cs="宋体" w:asciiTheme="minorEastAsia" w:hAnsiTheme="minorEastAsia"/>
                <w:sz w:val="24"/>
                <w:szCs w:val="24"/>
                <w:highlight w:val="none"/>
                <w:lang w:val="en-US" w:eastAsia="zh-CN"/>
              </w:rPr>
            </w:pPr>
            <w:r>
              <w:rPr>
                <w:rFonts w:hint="eastAsia" w:ascii="宋体" w:hAnsi="宋体" w:eastAsia="宋体" w:cs="宋体"/>
                <w:sz w:val="24"/>
                <w:szCs w:val="24"/>
              </w:rPr>
              <w:t>关键线路基本准确，计划编制基本可行。</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tc>
        <w:tc>
          <w:tcPr>
            <w:tcW w:w="1134" w:type="dxa"/>
            <w:tcBorders>
              <w:tl2br w:val="nil"/>
              <w:tr2bl w:val="nil"/>
            </w:tcBorders>
            <w:vAlign w:val="center"/>
          </w:tcPr>
          <w:p w14:paraId="5BBDDA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eastAsiaTheme="minorEastAsia"/>
                <w:sz w:val="24"/>
                <w:szCs w:val="24"/>
                <w:highlight w:val="none"/>
                <w:lang w:val="en-US" w:eastAsia="zh-CN"/>
              </w:rPr>
              <w:t>3</w:t>
            </w:r>
            <w:r>
              <w:rPr>
                <w:rFonts w:hint="eastAsia" w:cs="宋体" w:asciiTheme="minorEastAsia" w:hAnsiTheme="minorEastAsia" w:eastAsiaTheme="minorEastAsia"/>
                <w:sz w:val="24"/>
                <w:szCs w:val="24"/>
                <w:highlight w:val="none"/>
              </w:rPr>
              <w:t>分</w:t>
            </w:r>
          </w:p>
        </w:tc>
      </w:tr>
      <w:tr w14:paraId="58EE3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729" w:type="dxa"/>
            <w:vMerge w:val="continue"/>
            <w:tcBorders>
              <w:tl2br w:val="nil"/>
              <w:tr2bl w:val="nil"/>
            </w:tcBorders>
          </w:tcPr>
          <w:p w14:paraId="771B7BD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1" w:type="dxa"/>
            <w:vMerge w:val="continue"/>
            <w:tcBorders>
              <w:tl2br w:val="nil"/>
              <w:tr2bl w:val="nil"/>
            </w:tcBorders>
          </w:tcPr>
          <w:p w14:paraId="69B2105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31" w:type="dxa"/>
            <w:gridSpan w:val="2"/>
            <w:tcBorders>
              <w:tl2br w:val="nil"/>
              <w:tr2bl w:val="nil"/>
            </w:tcBorders>
            <w:vAlign w:val="center"/>
          </w:tcPr>
          <w:p w14:paraId="104133E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施工总平面图布置</w:t>
            </w:r>
          </w:p>
        </w:tc>
        <w:tc>
          <w:tcPr>
            <w:tcW w:w="4515" w:type="dxa"/>
            <w:tcBorders>
              <w:tl2br w:val="nil"/>
              <w:tr2bl w:val="nil"/>
            </w:tcBorders>
            <w:vAlign w:val="center"/>
          </w:tcPr>
          <w:p w14:paraId="285A529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总体布置有针对性、合理、能较好满足施工需要，符合安全、文明施工要求；材料堆放有序。</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253D247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default" w:cs="宋体" w:asciiTheme="minorEastAsia" w:hAnsiTheme="minorEastAsia" w:eastAsiaTheme="minorEastAsia"/>
                <w:sz w:val="24"/>
                <w:szCs w:val="24"/>
                <w:highlight w:val="none"/>
                <w:lang w:val="en-US"/>
              </w:rPr>
            </w:pPr>
            <w:r>
              <w:rPr>
                <w:rFonts w:hint="eastAsia" w:ascii="宋体" w:hAnsi="宋体" w:eastAsia="宋体" w:cs="宋体"/>
                <w:sz w:val="24"/>
                <w:szCs w:val="24"/>
              </w:rPr>
              <w:t>总体布置基本合理、基本满足施工需要。</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104E6F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-3分</w:t>
            </w:r>
          </w:p>
        </w:tc>
      </w:tr>
      <w:tr w14:paraId="0D699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729" w:type="dxa"/>
            <w:vMerge w:val="continue"/>
            <w:tcBorders>
              <w:tl2br w:val="nil"/>
              <w:tr2bl w:val="nil"/>
            </w:tcBorders>
          </w:tcPr>
          <w:p w14:paraId="604E6C5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1" w:type="dxa"/>
            <w:vMerge w:val="continue"/>
            <w:tcBorders>
              <w:tl2br w:val="nil"/>
              <w:tr2bl w:val="nil"/>
            </w:tcBorders>
          </w:tcPr>
          <w:p w14:paraId="1B22A89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31" w:type="dxa"/>
            <w:gridSpan w:val="2"/>
            <w:tcBorders>
              <w:tl2br w:val="nil"/>
              <w:tr2bl w:val="nil"/>
            </w:tcBorders>
            <w:vAlign w:val="center"/>
          </w:tcPr>
          <w:p w14:paraId="596413F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技术创新的应用实施措施</w:t>
            </w:r>
          </w:p>
        </w:tc>
        <w:tc>
          <w:tcPr>
            <w:tcW w:w="4515" w:type="dxa"/>
            <w:tcBorders>
              <w:tl2br w:val="nil"/>
              <w:tr2bl w:val="nil"/>
            </w:tcBorders>
            <w:vAlign w:val="center"/>
          </w:tcPr>
          <w:p w14:paraId="1EC2293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default" w:cs="宋体" w:asciiTheme="minorEastAsia" w:hAnsiTheme="minorEastAsia" w:eastAsiaTheme="minorEastAsia"/>
                <w:sz w:val="24"/>
                <w:szCs w:val="24"/>
                <w:highlight w:val="none"/>
                <w:lang w:val="en-US" w:eastAsia="zh-CN"/>
              </w:rPr>
            </w:pPr>
            <w:r>
              <w:rPr>
                <w:rFonts w:hint="eastAsia" w:cs="宋体" w:asciiTheme="minorEastAsia" w:hAnsiTheme="minorEastAsia" w:eastAsiaTheme="minorEastAsia"/>
                <w:sz w:val="24"/>
                <w:szCs w:val="24"/>
                <w:highlight w:val="none"/>
              </w:rPr>
              <w:t>节能减排、绿色施工、工艺创新、装配式建筑等技术创新的应用实施措施符合工程情况，具有针对性、可行性、经济适用性。</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2B4D09F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节能减排、绿色施工、工艺创新、装配式建筑等技术创新</w:t>
            </w:r>
            <w:r>
              <w:rPr>
                <w:rFonts w:hint="eastAsia" w:ascii="宋体" w:hAnsi="宋体" w:eastAsia="宋体" w:cs="宋体"/>
                <w:spacing w:val="-8"/>
                <w:sz w:val="24"/>
                <w:szCs w:val="24"/>
              </w:rPr>
              <w:t>的应用实施措施基本符合工程情况，具有针</w:t>
            </w:r>
            <w:r>
              <w:rPr>
                <w:rFonts w:hint="eastAsia" w:ascii="宋体" w:hAnsi="宋体" w:eastAsia="宋体" w:cs="宋体"/>
                <w:sz w:val="24"/>
                <w:szCs w:val="24"/>
              </w:rPr>
              <w:t>对性。</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021ACF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-3分</w:t>
            </w:r>
          </w:p>
        </w:tc>
      </w:tr>
      <w:tr w14:paraId="08B1A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2387D09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1" w:type="dxa"/>
            <w:vMerge w:val="continue"/>
            <w:tcBorders>
              <w:tl2br w:val="nil"/>
              <w:tr2bl w:val="nil"/>
            </w:tcBorders>
          </w:tcPr>
          <w:p w14:paraId="2470420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31" w:type="dxa"/>
            <w:gridSpan w:val="2"/>
            <w:tcBorders>
              <w:tl2br w:val="nil"/>
              <w:tr2bl w:val="nil"/>
            </w:tcBorders>
            <w:vAlign w:val="center"/>
          </w:tcPr>
          <w:p w14:paraId="3CCA15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采用新工艺、新技术、新设备、新材料、BIM等的程度</w:t>
            </w:r>
          </w:p>
        </w:tc>
        <w:tc>
          <w:tcPr>
            <w:tcW w:w="4515" w:type="dxa"/>
            <w:tcBorders>
              <w:tl2br w:val="nil"/>
              <w:tr2bl w:val="nil"/>
            </w:tcBorders>
            <w:vAlign w:val="center"/>
          </w:tcPr>
          <w:p w14:paraId="70398CC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采用新工艺、新技术、新设备、新材料、BIM等的程度满足设计要求，符合施工需要和相应技术标准等规定，经济适用。</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11DF9BD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ascii="宋体" w:hAnsi="宋体" w:eastAsia="宋体" w:cs="宋体"/>
                <w:sz w:val="24"/>
                <w:szCs w:val="24"/>
              </w:rPr>
              <w:t>采用新工艺、新技术、新设备、新材料等的程度满足设计要求，基本符合施工要求和相应技术标准等规定。</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6E6869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-3分</w:t>
            </w:r>
          </w:p>
        </w:tc>
      </w:tr>
      <w:tr w14:paraId="3CDD1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73A00E7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1" w:type="dxa"/>
            <w:vMerge w:val="continue"/>
            <w:tcBorders>
              <w:tl2br w:val="nil"/>
              <w:tr2bl w:val="nil"/>
            </w:tcBorders>
          </w:tcPr>
          <w:p w14:paraId="4470EFF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31" w:type="dxa"/>
            <w:gridSpan w:val="2"/>
            <w:tcBorders>
              <w:tl2br w:val="nil"/>
              <w:tr2bl w:val="nil"/>
            </w:tcBorders>
            <w:vAlign w:val="center"/>
          </w:tcPr>
          <w:p w14:paraId="6DD38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施工现场实施信息化监控和数据处理</w:t>
            </w:r>
          </w:p>
        </w:tc>
        <w:tc>
          <w:tcPr>
            <w:tcW w:w="4515" w:type="dxa"/>
            <w:tcBorders>
              <w:tl2br w:val="nil"/>
              <w:tr2bl w:val="nil"/>
            </w:tcBorders>
            <w:vAlign w:val="center"/>
          </w:tcPr>
          <w:p w14:paraId="2DDF645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施工现场实施信息化监控和数据处理系统布置合理，满足需要。</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2AEC084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ascii="宋体" w:hAnsi="宋体" w:eastAsia="宋体" w:cs="宋体"/>
                <w:sz w:val="24"/>
                <w:szCs w:val="24"/>
              </w:rPr>
              <w:t>施工现场实施信息化监控和数据处理系统布置基本符合需要。</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7F91D2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-3分</w:t>
            </w:r>
          </w:p>
        </w:tc>
      </w:tr>
      <w:tr w14:paraId="30D56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9" w:hRule="atLeast"/>
          <w:jc w:val="center"/>
        </w:trPr>
        <w:tc>
          <w:tcPr>
            <w:tcW w:w="729" w:type="dxa"/>
            <w:vMerge w:val="continue"/>
            <w:tcBorders>
              <w:tl2br w:val="nil"/>
              <w:tr2bl w:val="nil"/>
            </w:tcBorders>
          </w:tcPr>
          <w:p w14:paraId="453C54E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871" w:type="dxa"/>
            <w:vMerge w:val="continue"/>
            <w:tcBorders>
              <w:tl2br w:val="nil"/>
              <w:tr2bl w:val="nil"/>
            </w:tcBorders>
          </w:tcPr>
          <w:p w14:paraId="3EC97B7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kern w:val="1"/>
                <w:sz w:val="24"/>
                <w:szCs w:val="24"/>
                <w:highlight w:val="none"/>
                <w:lang w:bidi="en-US"/>
              </w:rPr>
            </w:pPr>
          </w:p>
        </w:tc>
        <w:tc>
          <w:tcPr>
            <w:tcW w:w="1531" w:type="dxa"/>
            <w:gridSpan w:val="2"/>
            <w:tcBorders>
              <w:tl2br w:val="nil"/>
              <w:tr2bl w:val="nil"/>
            </w:tcBorders>
            <w:vAlign w:val="center"/>
          </w:tcPr>
          <w:p w14:paraId="15979F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风险管理措施</w:t>
            </w:r>
          </w:p>
        </w:tc>
        <w:tc>
          <w:tcPr>
            <w:tcW w:w="4515" w:type="dxa"/>
            <w:tcBorders>
              <w:tl2br w:val="nil"/>
              <w:tr2bl w:val="nil"/>
            </w:tcBorders>
            <w:vAlign w:val="center"/>
          </w:tcPr>
          <w:p w14:paraId="7EB65AB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风险防控管理措施齐全，风险预控符合规范要求，风险控制要点定位准确，各阶段风险控制及应急措施得力。</w:t>
            </w:r>
            <w:r>
              <w:rPr>
                <w:rFonts w:hint="eastAsia" w:ascii="宋体" w:hAnsi="宋体" w:eastAsia="宋体" w:cs="宋体"/>
                <w:sz w:val="24"/>
                <w:szCs w:val="24"/>
                <w:lang w:val="en-US" w:eastAsia="zh-CN"/>
              </w:rPr>
              <w:t>1.5</w:t>
            </w:r>
            <w:r>
              <w:rPr>
                <w:rFonts w:hint="eastAsia" w:ascii="宋体" w:hAnsi="宋体" w:eastAsia="宋体" w:cs="宋体"/>
                <w:sz w:val="24"/>
                <w:szCs w:val="24"/>
              </w:rPr>
              <w:t>＜得分≤</w:t>
            </w:r>
            <w:r>
              <w:rPr>
                <w:rFonts w:hint="eastAsia" w:ascii="宋体" w:hAnsi="宋体" w:eastAsia="宋体" w:cs="宋体"/>
                <w:sz w:val="24"/>
                <w:szCs w:val="24"/>
                <w:lang w:val="en-US" w:eastAsia="zh-CN"/>
              </w:rPr>
              <w:t>3</w:t>
            </w:r>
          </w:p>
          <w:p w14:paraId="7D0F5E1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cs="宋体" w:asciiTheme="minorEastAsia" w:hAnsiTheme="minorEastAsia" w:eastAsiaTheme="minorEastAsia"/>
                <w:sz w:val="24"/>
                <w:szCs w:val="24"/>
                <w:highlight w:val="none"/>
              </w:rPr>
            </w:pPr>
            <w:r>
              <w:rPr>
                <w:rFonts w:hint="eastAsia" w:ascii="宋体" w:hAnsi="宋体" w:eastAsia="宋体" w:cs="宋体"/>
                <w:sz w:val="24"/>
                <w:szCs w:val="24"/>
              </w:rPr>
              <w:t>风险防控管理措施基本齐全，风险预控符合规范要求，风险控制要点定位基本准确，有各阶段风险控制及应急措施。</w:t>
            </w:r>
            <w:r>
              <w:rPr>
                <w:rFonts w:hint="eastAsia" w:ascii="宋体" w:hAnsi="宋体" w:eastAsia="宋体" w:cs="宋体"/>
                <w:sz w:val="24"/>
                <w:szCs w:val="24"/>
                <w:lang w:val="en-US" w:eastAsia="zh-CN"/>
              </w:rPr>
              <w:t>0</w:t>
            </w:r>
            <w:r>
              <w:rPr>
                <w:rFonts w:hint="eastAsia" w:ascii="宋体" w:hAnsi="宋体" w:eastAsia="宋体" w:cs="宋体"/>
                <w:sz w:val="24"/>
                <w:szCs w:val="24"/>
              </w:rPr>
              <w:t>＜得分≤</w:t>
            </w:r>
            <w:r>
              <w:rPr>
                <w:rFonts w:hint="eastAsia" w:ascii="宋体" w:hAnsi="宋体" w:eastAsia="宋体" w:cs="宋体"/>
                <w:sz w:val="24"/>
                <w:szCs w:val="24"/>
                <w:lang w:val="en-US" w:eastAsia="zh-CN"/>
              </w:rPr>
              <w:t>1.5</w:t>
            </w:r>
          </w:p>
        </w:tc>
        <w:tc>
          <w:tcPr>
            <w:tcW w:w="1134" w:type="dxa"/>
            <w:tcBorders>
              <w:tl2br w:val="nil"/>
              <w:tr2bl w:val="nil"/>
            </w:tcBorders>
            <w:vAlign w:val="center"/>
          </w:tcPr>
          <w:p w14:paraId="1DFA9F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sz w:val="24"/>
                <w:szCs w:val="24"/>
                <w:highlight w:val="none"/>
                <w:lang w:val="en-US" w:eastAsia="zh-CN"/>
              </w:rPr>
              <w:t>0</w:t>
            </w:r>
            <w:r>
              <w:rPr>
                <w:rFonts w:hint="eastAsia" w:cs="宋体" w:asciiTheme="minorEastAsia" w:hAnsiTheme="minorEastAsia" w:eastAsiaTheme="minorEastAsia"/>
                <w:sz w:val="24"/>
                <w:szCs w:val="24"/>
                <w:highlight w:val="none"/>
              </w:rPr>
              <w:t>-</w:t>
            </w:r>
            <w:r>
              <w:rPr>
                <w:rFonts w:hint="eastAsia" w:cs="宋体" w:asciiTheme="minorEastAsia" w:hAnsiTheme="minorEastAsia" w:eastAsiaTheme="minorEastAsia"/>
                <w:sz w:val="24"/>
                <w:szCs w:val="24"/>
                <w:highlight w:val="none"/>
                <w:lang w:val="en-US" w:eastAsia="zh-CN"/>
              </w:rPr>
              <w:t>3</w:t>
            </w:r>
            <w:r>
              <w:rPr>
                <w:rFonts w:hint="eastAsia" w:cs="宋体" w:asciiTheme="minorEastAsia" w:hAnsiTheme="minorEastAsia" w:eastAsiaTheme="minorEastAsia"/>
                <w:sz w:val="24"/>
                <w:szCs w:val="24"/>
                <w:highlight w:val="none"/>
              </w:rPr>
              <w:t>分</w:t>
            </w:r>
          </w:p>
        </w:tc>
      </w:tr>
      <w:tr w14:paraId="69C64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restart"/>
            <w:tcBorders>
              <w:tl2br w:val="nil"/>
              <w:tr2bl w:val="nil"/>
            </w:tcBorders>
            <w:vAlign w:val="center"/>
          </w:tcPr>
          <w:p w14:paraId="115344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eastAsia="en-US" w:bidi="en-US"/>
              </w:rPr>
            </w:pPr>
            <w:r>
              <w:rPr>
                <w:rFonts w:hint="eastAsia" w:cs="宋体" w:asciiTheme="minorEastAsia" w:hAnsiTheme="minorEastAsia"/>
                <w:kern w:val="1"/>
                <w:sz w:val="24"/>
                <w:szCs w:val="24"/>
                <w:highlight w:val="none"/>
                <w:lang w:val="en-US" w:eastAsia="zh-CN" w:bidi="en-US"/>
              </w:rPr>
              <w:t>2.2.3</w:t>
            </w:r>
            <w:r>
              <w:rPr>
                <w:rFonts w:hint="eastAsia" w:cs="宋体" w:asciiTheme="minorEastAsia" w:hAnsiTheme="minorEastAsia" w:eastAsiaTheme="minorEastAsia"/>
                <w:kern w:val="1"/>
                <w:sz w:val="24"/>
                <w:szCs w:val="24"/>
                <w:highlight w:val="none"/>
                <w:lang w:eastAsia="en-US" w:bidi="en-US"/>
              </w:rPr>
              <w:t>综合标</w:t>
            </w:r>
          </w:p>
          <w:p w14:paraId="566577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eastAsia="en-US" w:bidi="en-US"/>
              </w:rPr>
            </w:pPr>
            <w:r>
              <w:rPr>
                <w:rFonts w:hint="eastAsia" w:cs="宋体" w:asciiTheme="minorEastAsia" w:hAnsiTheme="minorEastAsia" w:eastAsiaTheme="minorEastAsia"/>
                <w:kern w:val="1"/>
                <w:sz w:val="24"/>
                <w:szCs w:val="24"/>
                <w:highlight w:val="none"/>
                <w:lang w:eastAsia="en-US" w:bidi="en-US"/>
              </w:rPr>
              <w:t>（</w:t>
            </w:r>
            <w:r>
              <w:rPr>
                <w:rFonts w:hint="eastAsia" w:cs="宋体" w:asciiTheme="minorEastAsia" w:hAnsiTheme="minorEastAsia" w:eastAsiaTheme="minorEastAsia"/>
                <w:kern w:val="1"/>
                <w:sz w:val="24"/>
                <w:szCs w:val="24"/>
                <w:highlight w:val="none"/>
                <w:lang w:bidi="en-US"/>
              </w:rPr>
              <w:t>20</w:t>
            </w:r>
            <w:r>
              <w:rPr>
                <w:rFonts w:hint="eastAsia" w:cs="宋体" w:asciiTheme="minorEastAsia" w:hAnsiTheme="minorEastAsia" w:eastAsiaTheme="minorEastAsia"/>
                <w:kern w:val="1"/>
                <w:sz w:val="24"/>
                <w:szCs w:val="24"/>
                <w:highlight w:val="none"/>
                <w:lang w:eastAsia="en-US" w:bidi="en-US"/>
              </w:rPr>
              <w:t>分）</w:t>
            </w:r>
          </w:p>
        </w:tc>
        <w:tc>
          <w:tcPr>
            <w:tcW w:w="1481" w:type="dxa"/>
            <w:gridSpan w:val="2"/>
            <w:tcBorders>
              <w:tl2br w:val="nil"/>
              <w:tr2bl w:val="nil"/>
            </w:tcBorders>
            <w:vAlign w:val="center"/>
          </w:tcPr>
          <w:p w14:paraId="0EFF41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企业业绩</w:t>
            </w:r>
          </w:p>
          <w:p w14:paraId="333D73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0-</w:t>
            </w:r>
            <w:r>
              <w:rPr>
                <w:rFonts w:hint="eastAsia" w:cs="宋体" w:asciiTheme="minorEastAsia" w:hAnsiTheme="minorEastAsia"/>
                <w:sz w:val="24"/>
                <w:szCs w:val="24"/>
                <w:highlight w:val="none"/>
                <w:lang w:val="en-US" w:eastAsia="zh-CN"/>
              </w:rPr>
              <w:t>6</w:t>
            </w:r>
            <w:r>
              <w:rPr>
                <w:rFonts w:hint="eastAsia" w:cs="宋体" w:asciiTheme="minorEastAsia" w:hAnsiTheme="minorEastAsia" w:eastAsiaTheme="minorEastAsia"/>
                <w:sz w:val="24"/>
                <w:szCs w:val="24"/>
                <w:highlight w:val="none"/>
              </w:rPr>
              <w:t>分</w:t>
            </w:r>
          </w:p>
        </w:tc>
        <w:tc>
          <w:tcPr>
            <w:tcW w:w="6570" w:type="dxa"/>
            <w:gridSpan w:val="3"/>
            <w:tcBorders>
              <w:tl2br w:val="nil"/>
              <w:tr2bl w:val="nil"/>
            </w:tcBorders>
            <w:vAlign w:val="center"/>
          </w:tcPr>
          <w:p w14:paraId="2EAE66D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bCs/>
                <w:kern w:val="1"/>
                <w:sz w:val="24"/>
                <w:szCs w:val="24"/>
                <w:highlight w:val="none"/>
                <w:lang w:val="zh-CN"/>
              </w:rPr>
              <w:t>202</w:t>
            </w:r>
            <w:r>
              <w:rPr>
                <w:rFonts w:hint="eastAsia" w:cs="宋体" w:asciiTheme="minorEastAsia" w:hAnsiTheme="minorEastAsia"/>
                <w:bCs/>
                <w:kern w:val="1"/>
                <w:sz w:val="24"/>
                <w:szCs w:val="24"/>
                <w:highlight w:val="none"/>
                <w:lang w:val="en-US" w:eastAsia="zh-CN"/>
              </w:rPr>
              <w:t>2</w:t>
            </w:r>
            <w:r>
              <w:rPr>
                <w:rFonts w:hint="eastAsia" w:cs="宋体" w:asciiTheme="minorEastAsia" w:hAnsiTheme="minorEastAsia" w:eastAsiaTheme="minorEastAsia"/>
                <w:bCs/>
                <w:kern w:val="1"/>
                <w:sz w:val="24"/>
                <w:szCs w:val="24"/>
                <w:highlight w:val="none"/>
                <w:lang w:val="zh-CN"/>
              </w:rPr>
              <w:t>年1月1日以来承担过类似业绩每份2分，最多得</w:t>
            </w:r>
            <w:r>
              <w:rPr>
                <w:rFonts w:hint="eastAsia" w:cs="宋体" w:asciiTheme="minorEastAsia" w:hAnsiTheme="minorEastAsia"/>
                <w:bCs/>
                <w:kern w:val="1"/>
                <w:sz w:val="24"/>
                <w:szCs w:val="24"/>
                <w:highlight w:val="none"/>
                <w:lang w:val="en-US" w:eastAsia="zh-CN"/>
              </w:rPr>
              <w:t>6</w:t>
            </w:r>
            <w:r>
              <w:rPr>
                <w:rFonts w:hint="eastAsia" w:cs="宋体" w:asciiTheme="minorEastAsia" w:hAnsiTheme="minorEastAsia" w:eastAsiaTheme="minorEastAsia"/>
                <w:bCs/>
                <w:kern w:val="1"/>
                <w:sz w:val="24"/>
                <w:szCs w:val="24"/>
                <w:highlight w:val="none"/>
                <w:lang w:val="zh-CN"/>
              </w:rPr>
              <w:t>分，</w:t>
            </w:r>
            <w:r>
              <w:rPr>
                <w:rFonts w:hint="eastAsia" w:ascii="宋体" w:hAnsi="宋体" w:eastAsia="宋体" w:cs="宋体"/>
                <w:sz w:val="24"/>
                <w:szCs w:val="24"/>
                <w:highlight w:val="none"/>
              </w:rPr>
              <w:t>未提供者不得分</w:t>
            </w:r>
            <w:r>
              <w:rPr>
                <w:rFonts w:hint="eastAsia" w:ascii="宋体" w:hAnsi="宋体" w:eastAsia="宋体" w:cs="宋体"/>
                <w:sz w:val="24"/>
                <w:szCs w:val="24"/>
                <w:highlight w:val="none"/>
                <w:lang w:eastAsia="zh-CN"/>
              </w:rPr>
              <w:t>。</w:t>
            </w:r>
            <w:r>
              <w:rPr>
                <w:rFonts w:hint="eastAsia" w:cs="宋体" w:asciiTheme="minorEastAsia" w:hAnsiTheme="minorEastAsia" w:eastAsiaTheme="minorEastAsia"/>
                <w:bCs/>
                <w:kern w:val="1"/>
                <w:sz w:val="24"/>
                <w:szCs w:val="24"/>
                <w:highlight w:val="none"/>
                <w:lang w:val="zh-CN"/>
              </w:rPr>
              <w:t>（</w:t>
            </w:r>
            <w:r>
              <w:rPr>
                <w:rFonts w:hint="eastAsia" w:ascii="宋体" w:hAnsi="宋体" w:eastAsia="宋体" w:cs="宋体"/>
                <w:b/>
                <w:bCs/>
                <w:color w:val="000000"/>
                <w:sz w:val="24"/>
                <w:szCs w:val="24"/>
                <w:highlight w:val="none"/>
              </w:rPr>
              <w:t>以</w:t>
            </w:r>
            <w:r>
              <w:rPr>
                <w:rFonts w:hint="eastAsia" w:ascii="宋体" w:hAnsi="宋体" w:eastAsia="宋体" w:cs="宋体"/>
                <w:b/>
                <w:bCs/>
                <w:sz w:val="24"/>
                <w:szCs w:val="24"/>
                <w:highlight w:val="none"/>
                <w:lang w:eastAsia="zh-CN"/>
              </w:rPr>
              <w:t>合同协议书及</w:t>
            </w:r>
            <w:r>
              <w:rPr>
                <w:rFonts w:hint="eastAsia" w:ascii="宋体" w:hAnsi="宋体" w:eastAsia="宋体" w:cs="宋体"/>
                <w:b/>
                <w:bCs/>
                <w:sz w:val="24"/>
                <w:szCs w:val="24"/>
                <w:highlight w:val="none"/>
              </w:rPr>
              <w:t>中标通知书</w:t>
            </w:r>
            <w:r>
              <w:rPr>
                <w:rFonts w:hint="eastAsia" w:ascii="宋体" w:hAnsi="宋体" w:eastAsia="宋体" w:cs="宋体"/>
                <w:b/>
                <w:bCs/>
                <w:color w:val="000000"/>
                <w:sz w:val="24"/>
                <w:szCs w:val="24"/>
                <w:highlight w:val="none"/>
                <w:lang w:val="en-US" w:eastAsia="zh-CN"/>
              </w:rPr>
              <w:t>为准，</w:t>
            </w:r>
            <w:r>
              <w:rPr>
                <w:rFonts w:hint="eastAsia" w:ascii="宋体" w:hAnsi="宋体" w:eastAsia="宋体" w:cs="宋体"/>
                <w:b/>
                <w:bCs/>
                <w:caps w:val="0"/>
                <w:color w:val="auto"/>
                <w:kern w:val="0"/>
                <w:sz w:val="24"/>
                <w:szCs w:val="24"/>
                <w:highlight w:val="none"/>
              </w:rPr>
              <w:t>具体年份要求20</w:t>
            </w:r>
            <w:r>
              <w:rPr>
                <w:rFonts w:hint="eastAsia" w:ascii="宋体" w:hAnsi="宋体" w:eastAsia="宋体" w:cs="宋体"/>
                <w:b/>
                <w:bCs/>
                <w:caps w:val="0"/>
                <w:color w:val="auto"/>
                <w:kern w:val="0"/>
                <w:sz w:val="24"/>
                <w:szCs w:val="24"/>
                <w:highlight w:val="none"/>
                <w:lang w:val="en-US" w:eastAsia="zh-CN"/>
              </w:rPr>
              <w:t>22</w:t>
            </w:r>
            <w:r>
              <w:rPr>
                <w:rFonts w:hint="eastAsia" w:ascii="宋体" w:hAnsi="宋体" w:eastAsia="宋体" w:cs="宋体"/>
                <w:b/>
                <w:bCs/>
                <w:caps w:val="0"/>
                <w:color w:val="auto"/>
                <w:kern w:val="0"/>
                <w:sz w:val="24"/>
                <w:szCs w:val="24"/>
                <w:highlight w:val="none"/>
              </w:rPr>
              <w:t>年1月1日以来</w:t>
            </w:r>
            <w:r>
              <w:rPr>
                <w:rFonts w:hint="eastAsia" w:ascii="宋体" w:hAnsi="宋体" w:eastAsia="宋体" w:cs="宋体"/>
                <w:b/>
                <w:bCs/>
                <w:caps w:val="0"/>
                <w:color w:val="auto"/>
                <w:kern w:val="0"/>
                <w:sz w:val="24"/>
                <w:szCs w:val="24"/>
                <w:highlight w:val="none"/>
                <w:lang w:eastAsia="zh-CN"/>
              </w:rPr>
              <w:t>，</w:t>
            </w:r>
            <w:r>
              <w:rPr>
                <w:rFonts w:hint="eastAsia" w:ascii="宋体" w:hAnsi="宋体" w:eastAsia="宋体" w:cs="宋体"/>
                <w:b/>
                <w:bCs/>
                <w:caps w:val="0"/>
                <w:color w:val="auto"/>
                <w:kern w:val="0"/>
                <w:sz w:val="24"/>
                <w:szCs w:val="24"/>
                <w:highlight w:val="none"/>
                <w:lang w:val="en-US" w:eastAsia="zh-CN"/>
              </w:rPr>
              <w:t>以合同签订日期为准</w:t>
            </w:r>
            <w:r>
              <w:rPr>
                <w:rFonts w:hint="eastAsia" w:ascii="宋体" w:hAnsi="宋体" w:eastAsia="宋体" w:cs="宋体"/>
                <w:b/>
                <w:bCs/>
                <w:caps w:val="0"/>
                <w:color w:val="auto"/>
                <w:kern w:val="0"/>
                <w:sz w:val="24"/>
                <w:szCs w:val="24"/>
                <w:highlight w:val="none"/>
              </w:rPr>
              <w:t>。</w:t>
            </w:r>
            <w:r>
              <w:rPr>
                <w:rFonts w:hint="eastAsia" w:cs="宋体" w:asciiTheme="minorEastAsia" w:hAnsiTheme="minorEastAsia" w:eastAsiaTheme="minorEastAsia"/>
                <w:bCs/>
                <w:kern w:val="1"/>
                <w:sz w:val="24"/>
                <w:szCs w:val="24"/>
                <w:highlight w:val="none"/>
                <w:lang w:val="zh-CN"/>
              </w:rPr>
              <w:t>）</w:t>
            </w:r>
          </w:p>
        </w:tc>
      </w:tr>
      <w:tr w14:paraId="02239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4" w:hRule="atLeast"/>
          <w:jc w:val="center"/>
        </w:trPr>
        <w:tc>
          <w:tcPr>
            <w:tcW w:w="729" w:type="dxa"/>
            <w:vMerge w:val="continue"/>
            <w:tcBorders>
              <w:tl2br w:val="nil"/>
              <w:tr2bl w:val="nil"/>
            </w:tcBorders>
            <w:vAlign w:val="center"/>
          </w:tcPr>
          <w:p w14:paraId="302CE0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bidi="en-US"/>
              </w:rPr>
            </w:pPr>
          </w:p>
        </w:tc>
        <w:tc>
          <w:tcPr>
            <w:tcW w:w="1481" w:type="dxa"/>
            <w:gridSpan w:val="2"/>
            <w:tcBorders>
              <w:tl2br w:val="nil"/>
              <w:tr2bl w:val="nil"/>
            </w:tcBorders>
            <w:vAlign w:val="center"/>
          </w:tcPr>
          <w:p w14:paraId="625C35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项目经理业绩</w:t>
            </w:r>
          </w:p>
          <w:p w14:paraId="7C039D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cs="宋体" w:asciiTheme="minorEastAsia" w:hAnsiTheme="minorEastAsia" w:eastAsiaTheme="minorEastAsia"/>
                <w:sz w:val="24"/>
                <w:szCs w:val="24"/>
                <w:highlight w:val="none"/>
              </w:rPr>
              <w:t>0-</w:t>
            </w:r>
            <w:r>
              <w:rPr>
                <w:rFonts w:hint="eastAsia" w:cs="宋体" w:asciiTheme="minorEastAsia" w:hAnsiTheme="minorEastAsia"/>
                <w:sz w:val="24"/>
                <w:szCs w:val="24"/>
                <w:highlight w:val="none"/>
                <w:lang w:val="en-US" w:eastAsia="zh-CN"/>
              </w:rPr>
              <w:t>2</w:t>
            </w:r>
            <w:r>
              <w:rPr>
                <w:rFonts w:hint="eastAsia" w:cs="宋体" w:asciiTheme="minorEastAsia" w:hAnsiTheme="minorEastAsia" w:eastAsiaTheme="minorEastAsia"/>
                <w:sz w:val="24"/>
                <w:szCs w:val="24"/>
                <w:highlight w:val="none"/>
              </w:rPr>
              <w:t>分</w:t>
            </w:r>
          </w:p>
        </w:tc>
        <w:tc>
          <w:tcPr>
            <w:tcW w:w="6570" w:type="dxa"/>
            <w:gridSpan w:val="3"/>
            <w:tcBorders>
              <w:tl2br w:val="nil"/>
              <w:tr2bl w:val="nil"/>
            </w:tcBorders>
            <w:vAlign w:val="center"/>
          </w:tcPr>
          <w:p w14:paraId="21C6E24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sz w:val="24"/>
                <w:szCs w:val="24"/>
                <w:highlight w:val="none"/>
              </w:rPr>
            </w:pPr>
            <w:r>
              <w:rPr>
                <w:rFonts w:hint="eastAsia" w:cs="宋体" w:asciiTheme="minorEastAsia" w:hAnsiTheme="minorEastAsia" w:eastAsiaTheme="minorEastAsia"/>
                <w:bCs/>
                <w:kern w:val="1"/>
                <w:sz w:val="24"/>
                <w:szCs w:val="24"/>
                <w:highlight w:val="none"/>
                <w:lang w:val="zh-CN"/>
              </w:rPr>
              <w:t>202</w:t>
            </w:r>
            <w:r>
              <w:rPr>
                <w:rFonts w:hint="eastAsia" w:cs="宋体" w:asciiTheme="minorEastAsia" w:hAnsiTheme="minorEastAsia"/>
                <w:bCs/>
                <w:kern w:val="1"/>
                <w:sz w:val="24"/>
                <w:szCs w:val="24"/>
                <w:highlight w:val="none"/>
                <w:lang w:val="en-US" w:eastAsia="zh-CN"/>
              </w:rPr>
              <w:t>2</w:t>
            </w:r>
            <w:r>
              <w:rPr>
                <w:rFonts w:hint="eastAsia" w:cs="宋体" w:asciiTheme="minorEastAsia" w:hAnsiTheme="minorEastAsia" w:eastAsiaTheme="minorEastAsia"/>
                <w:bCs/>
                <w:kern w:val="1"/>
                <w:sz w:val="24"/>
                <w:szCs w:val="24"/>
                <w:highlight w:val="none"/>
                <w:lang w:val="zh-CN"/>
              </w:rPr>
              <w:t>年1月1日以来项目经理承担过类似业绩每份</w:t>
            </w:r>
            <w:r>
              <w:rPr>
                <w:rFonts w:hint="eastAsia" w:cs="宋体" w:asciiTheme="minorEastAsia" w:hAnsiTheme="minorEastAsia"/>
                <w:bCs/>
                <w:kern w:val="1"/>
                <w:sz w:val="24"/>
                <w:szCs w:val="24"/>
                <w:highlight w:val="none"/>
                <w:lang w:val="en-US" w:eastAsia="zh-CN"/>
              </w:rPr>
              <w:t>1</w:t>
            </w:r>
            <w:r>
              <w:rPr>
                <w:rFonts w:hint="eastAsia" w:cs="宋体" w:asciiTheme="minorEastAsia" w:hAnsiTheme="minorEastAsia" w:eastAsiaTheme="minorEastAsia"/>
                <w:bCs/>
                <w:kern w:val="1"/>
                <w:sz w:val="24"/>
                <w:szCs w:val="24"/>
                <w:highlight w:val="none"/>
                <w:lang w:val="zh-CN"/>
              </w:rPr>
              <w:t>分，最多得</w:t>
            </w:r>
            <w:r>
              <w:rPr>
                <w:rFonts w:hint="eastAsia" w:cs="宋体" w:asciiTheme="minorEastAsia" w:hAnsiTheme="minorEastAsia"/>
                <w:bCs/>
                <w:kern w:val="1"/>
                <w:sz w:val="24"/>
                <w:szCs w:val="24"/>
                <w:highlight w:val="none"/>
                <w:lang w:val="en-US" w:eastAsia="zh-CN"/>
              </w:rPr>
              <w:t>2</w:t>
            </w:r>
            <w:r>
              <w:rPr>
                <w:rFonts w:hint="eastAsia" w:cs="宋体" w:asciiTheme="minorEastAsia" w:hAnsiTheme="minorEastAsia" w:eastAsiaTheme="minorEastAsia"/>
                <w:bCs/>
                <w:kern w:val="1"/>
                <w:sz w:val="24"/>
                <w:szCs w:val="24"/>
                <w:highlight w:val="none"/>
                <w:lang w:val="zh-CN"/>
              </w:rPr>
              <w:t>分（</w:t>
            </w:r>
            <w:r>
              <w:rPr>
                <w:rFonts w:hint="eastAsia" w:ascii="宋体" w:hAnsi="宋体" w:eastAsia="宋体" w:cs="宋体"/>
                <w:b/>
                <w:bCs/>
                <w:color w:val="000000"/>
                <w:sz w:val="24"/>
                <w:szCs w:val="24"/>
                <w:highlight w:val="none"/>
              </w:rPr>
              <w:t>以</w:t>
            </w:r>
            <w:r>
              <w:rPr>
                <w:rFonts w:hint="eastAsia" w:ascii="宋体" w:hAnsi="宋体" w:eastAsia="宋体" w:cs="宋体"/>
                <w:b/>
                <w:bCs/>
                <w:sz w:val="24"/>
                <w:szCs w:val="24"/>
                <w:highlight w:val="none"/>
                <w:lang w:eastAsia="zh-CN"/>
              </w:rPr>
              <w:t>合同协议书及</w:t>
            </w:r>
            <w:r>
              <w:rPr>
                <w:rFonts w:hint="eastAsia" w:ascii="宋体" w:hAnsi="宋体" w:eastAsia="宋体" w:cs="宋体"/>
                <w:b/>
                <w:bCs/>
                <w:sz w:val="24"/>
                <w:szCs w:val="24"/>
                <w:highlight w:val="none"/>
              </w:rPr>
              <w:t>中标通知书</w:t>
            </w:r>
            <w:r>
              <w:rPr>
                <w:rFonts w:hint="eastAsia" w:ascii="宋体" w:hAnsi="宋体" w:eastAsia="宋体" w:cs="宋体"/>
                <w:b/>
                <w:bCs/>
                <w:color w:val="000000"/>
                <w:sz w:val="24"/>
                <w:szCs w:val="24"/>
                <w:highlight w:val="none"/>
                <w:lang w:val="en-US" w:eastAsia="zh-CN"/>
              </w:rPr>
              <w:t>为准，企业业绩与项目经理业绩不累计计分</w:t>
            </w:r>
            <w:r>
              <w:rPr>
                <w:rFonts w:hint="eastAsia" w:cs="宋体" w:asciiTheme="minorEastAsia" w:hAnsiTheme="minorEastAsia" w:eastAsiaTheme="minorEastAsia"/>
                <w:bCs/>
                <w:kern w:val="1"/>
                <w:sz w:val="24"/>
                <w:szCs w:val="24"/>
                <w:highlight w:val="none"/>
                <w:lang w:val="zh-CN"/>
              </w:rPr>
              <w:t>）</w:t>
            </w:r>
          </w:p>
        </w:tc>
      </w:tr>
      <w:tr w14:paraId="2647F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90" w:hRule="atLeast"/>
          <w:jc w:val="center"/>
        </w:trPr>
        <w:tc>
          <w:tcPr>
            <w:tcW w:w="729" w:type="dxa"/>
            <w:vMerge w:val="continue"/>
            <w:tcBorders>
              <w:tl2br w:val="nil"/>
              <w:tr2bl w:val="nil"/>
            </w:tcBorders>
            <w:vAlign w:val="center"/>
          </w:tcPr>
          <w:p w14:paraId="6C2ECB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bidi="en-US"/>
              </w:rPr>
            </w:pPr>
          </w:p>
        </w:tc>
        <w:tc>
          <w:tcPr>
            <w:tcW w:w="1481" w:type="dxa"/>
            <w:gridSpan w:val="2"/>
            <w:tcBorders>
              <w:tl2br w:val="nil"/>
              <w:tr2bl w:val="nil"/>
            </w:tcBorders>
            <w:vAlign w:val="center"/>
          </w:tcPr>
          <w:p w14:paraId="4D5D3F2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履职尽责承诺</w:t>
            </w:r>
          </w:p>
          <w:p w14:paraId="77BE4C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0-</w:t>
            </w:r>
            <w:r>
              <w:rPr>
                <w:rFonts w:hint="eastAsia" w:cs="宋体" w:asciiTheme="minorEastAsia" w:hAnsiTheme="minorEastAsia"/>
                <w:sz w:val="24"/>
                <w:szCs w:val="24"/>
                <w:highlight w:val="none"/>
                <w:lang w:val="en-US" w:eastAsia="zh-CN"/>
              </w:rPr>
              <w:t>6</w:t>
            </w:r>
            <w:r>
              <w:rPr>
                <w:rFonts w:hint="eastAsia" w:cs="宋体" w:asciiTheme="minorEastAsia" w:hAnsiTheme="minorEastAsia" w:eastAsiaTheme="minorEastAsia"/>
                <w:sz w:val="24"/>
                <w:szCs w:val="24"/>
                <w:highlight w:val="none"/>
              </w:rPr>
              <w:t>分</w:t>
            </w:r>
          </w:p>
        </w:tc>
        <w:tc>
          <w:tcPr>
            <w:tcW w:w="6570" w:type="dxa"/>
            <w:gridSpan w:val="3"/>
            <w:tcBorders>
              <w:tl2br w:val="nil"/>
              <w:tr2bl w:val="nil"/>
            </w:tcBorders>
            <w:vAlign w:val="center"/>
          </w:tcPr>
          <w:p w14:paraId="3F1A7CA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default" w:ascii="宋体" w:hAnsi="宋体" w:eastAsia="宋体" w:cs="宋体"/>
                <w:sz w:val="24"/>
                <w:szCs w:val="24"/>
                <w:lang w:val="en-US" w:eastAsia="zh-CN"/>
              </w:rPr>
            </w:pPr>
            <w:r>
              <w:rPr>
                <w:rFonts w:hint="eastAsia" w:ascii="宋体" w:hAnsi="宋体" w:eastAsia="宋体" w:cs="宋体"/>
                <w:sz w:val="24"/>
                <w:szCs w:val="24"/>
              </w:rPr>
              <w:t>具有全面、详实、可行、合法有效的书面保证技术措施落实到位的承诺，其中包括各关键岗位人员（项目经理、技术负责人及相关技术人员、质量员、安全员、材料员等）的在岗、更换等履职尽责承诺，提供承包商履约保证。</w:t>
            </w:r>
            <w:r>
              <w:rPr>
                <w:rFonts w:hint="eastAsia" w:ascii="宋体" w:hAnsi="宋体" w:eastAsia="宋体" w:cs="宋体"/>
                <w:sz w:val="24"/>
                <w:szCs w:val="24"/>
                <w:lang w:val="en-US" w:eastAsia="zh-CN"/>
              </w:rPr>
              <w:t>3</w:t>
            </w:r>
            <w:r>
              <w:rPr>
                <w:rFonts w:hint="eastAsia" w:ascii="宋体" w:hAnsi="宋体" w:eastAsia="宋体" w:cs="宋体"/>
                <w:sz w:val="24"/>
                <w:szCs w:val="24"/>
              </w:rPr>
              <w:t>＜得分≤</w:t>
            </w:r>
            <w:r>
              <w:rPr>
                <w:rFonts w:hint="eastAsia" w:ascii="宋体" w:hAnsi="宋体" w:eastAsia="宋体" w:cs="宋体"/>
                <w:sz w:val="24"/>
                <w:szCs w:val="24"/>
                <w:lang w:val="en-US" w:eastAsia="zh-CN"/>
              </w:rPr>
              <w:t>6</w:t>
            </w:r>
          </w:p>
          <w:p w14:paraId="1E72417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具有可行、合法有效的书面保证技术措施落实到位的承诺，其中包括各关键岗位人员（项目经理、技术负责人及相关技术人员、质量员、安全员、材料员等）的在岗、更换等履职尽责承诺，提供承包商履约保证。0≤得分≤</w:t>
            </w:r>
            <w:r>
              <w:rPr>
                <w:rFonts w:hint="eastAsia" w:ascii="宋体" w:hAnsi="宋体" w:eastAsia="宋体" w:cs="宋体"/>
                <w:sz w:val="24"/>
                <w:szCs w:val="24"/>
                <w:lang w:val="en-US" w:eastAsia="zh-CN"/>
              </w:rPr>
              <w:t>3</w:t>
            </w:r>
          </w:p>
        </w:tc>
      </w:tr>
      <w:tr w14:paraId="2615E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34" w:hRule="atLeast"/>
          <w:jc w:val="center"/>
        </w:trPr>
        <w:tc>
          <w:tcPr>
            <w:tcW w:w="729" w:type="dxa"/>
            <w:vMerge w:val="continue"/>
            <w:tcBorders>
              <w:tl2br w:val="nil"/>
              <w:tr2bl w:val="nil"/>
            </w:tcBorders>
            <w:vAlign w:val="center"/>
          </w:tcPr>
          <w:p w14:paraId="696041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cs="宋体" w:asciiTheme="minorEastAsia" w:hAnsiTheme="minorEastAsia" w:eastAsiaTheme="minorEastAsia"/>
                <w:kern w:val="1"/>
                <w:sz w:val="24"/>
                <w:szCs w:val="24"/>
                <w:highlight w:val="none"/>
                <w:lang w:bidi="en-US"/>
              </w:rPr>
            </w:pPr>
          </w:p>
        </w:tc>
        <w:tc>
          <w:tcPr>
            <w:tcW w:w="1481" w:type="dxa"/>
            <w:gridSpan w:val="2"/>
            <w:tcBorders>
              <w:tl2br w:val="nil"/>
              <w:tr2bl w:val="nil"/>
            </w:tcBorders>
            <w:vAlign w:val="center"/>
          </w:tcPr>
          <w:p w14:paraId="64C882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相关承诺</w:t>
            </w:r>
          </w:p>
          <w:p w14:paraId="654328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cs="宋体" w:asciiTheme="minorEastAsia" w:hAnsiTheme="minorEastAsia" w:eastAsiaTheme="minorEastAsia"/>
                <w:sz w:val="24"/>
                <w:szCs w:val="24"/>
                <w:highlight w:val="none"/>
              </w:rPr>
            </w:pPr>
            <w:r>
              <w:rPr>
                <w:rFonts w:hint="eastAsia" w:cs="宋体" w:asciiTheme="minorEastAsia" w:hAnsiTheme="minorEastAsia" w:eastAsiaTheme="minorEastAsia"/>
                <w:sz w:val="24"/>
                <w:szCs w:val="24"/>
                <w:highlight w:val="none"/>
              </w:rPr>
              <w:t>0-</w:t>
            </w:r>
            <w:r>
              <w:rPr>
                <w:rFonts w:hint="eastAsia" w:cs="宋体" w:asciiTheme="minorEastAsia" w:hAnsiTheme="minorEastAsia"/>
                <w:sz w:val="24"/>
                <w:szCs w:val="24"/>
                <w:highlight w:val="none"/>
                <w:lang w:val="en-US" w:eastAsia="zh-CN"/>
              </w:rPr>
              <w:t>6</w:t>
            </w:r>
            <w:r>
              <w:rPr>
                <w:rFonts w:hint="eastAsia" w:cs="宋体" w:asciiTheme="minorEastAsia" w:hAnsiTheme="minorEastAsia" w:eastAsiaTheme="minorEastAsia"/>
                <w:sz w:val="24"/>
                <w:szCs w:val="24"/>
                <w:highlight w:val="none"/>
              </w:rPr>
              <w:t>分</w:t>
            </w:r>
          </w:p>
        </w:tc>
        <w:tc>
          <w:tcPr>
            <w:tcW w:w="6570" w:type="dxa"/>
            <w:gridSpan w:val="3"/>
            <w:tcBorders>
              <w:tl2br w:val="nil"/>
              <w:tr2bl w:val="nil"/>
            </w:tcBorders>
            <w:vAlign w:val="center"/>
          </w:tcPr>
          <w:p w14:paraId="1BBE242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rPr>
            </w:pPr>
            <w:r>
              <w:rPr>
                <w:rFonts w:hint="eastAsia" w:ascii="宋体" w:hAnsi="宋体" w:eastAsia="宋体" w:cs="宋体"/>
                <w:sz w:val="24"/>
                <w:szCs w:val="24"/>
              </w:rPr>
              <w:t>协调好周边关系和施工环境，必要时增加人员、技术、资金、机械设备等方面的投入的服务承诺</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p>
          <w:p w14:paraId="6F961CA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rPr>
            </w:pPr>
            <w:r>
              <w:rPr>
                <w:rFonts w:hint="eastAsia" w:ascii="宋体" w:hAnsi="宋体" w:eastAsia="宋体" w:cs="宋体"/>
                <w:kern w:val="0"/>
                <w:sz w:val="24"/>
                <w:szCs w:val="24"/>
              </w:rPr>
              <w:t>安全承诺书（包含农民工人身伤亡保险和重大事故突发事件处理的承诺书）</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p>
          <w:p w14:paraId="612BCFD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default" w:ascii="宋体" w:hAnsi="宋体" w:eastAsia="宋体" w:cs="宋体"/>
                <w:sz w:val="24"/>
                <w:szCs w:val="24"/>
                <w:lang w:val="en-US" w:eastAsia="zh-CN"/>
              </w:rPr>
            </w:pPr>
            <w:r>
              <w:rPr>
                <w:rFonts w:hint="eastAsia" w:ascii="宋体" w:hAnsi="宋体" w:eastAsia="宋体" w:cs="宋体"/>
                <w:sz w:val="24"/>
                <w:szCs w:val="24"/>
              </w:rPr>
              <w:t>除不可抗力因素外中标人不得以任何理由停工，尤其在资金暂不到位的情况下，能保证工程施工的连续性，保质保量按期完成工程的承诺书</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0</w:t>
            </w:r>
            <w:r>
              <w:rPr>
                <w:rFonts w:hint="eastAsia" w:ascii="宋体" w:hAnsi="宋体" w:eastAsia="宋体" w:cs="宋体"/>
                <w:sz w:val="24"/>
                <w:szCs w:val="24"/>
              </w:rPr>
              <w:t>＜得分≤2。</w:t>
            </w:r>
          </w:p>
        </w:tc>
      </w:tr>
      <w:tr w14:paraId="0EBFC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34" w:hRule="atLeast"/>
          <w:jc w:val="center"/>
        </w:trPr>
        <w:tc>
          <w:tcPr>
            <w:tcW w:w="8780" w:type="dxa"/>
            <w:gridSpan w:val="6"/>
            <w:tcBorders>
              <w:tl2br w:val="nil"/>
              <w:tr2bl w:val="nil"/>
            </w:tcBorders>
            <w:vAlign w:val="center"/>
          </w:tcPr>
          <w:p w14:paraId="6586438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b/>
                <w:sz w:val="24"/>
                <w:szCs w:val="24"/>
                <w:highlight w:val="none"/>
                <w:lang w:bidi="en-US"/>
              </w:rPr>
            </w:pPr>
            <w:r>
              <w:rPr>
                <w:rFonts w:hint="eastAsia" w:cs="宋体" w:asciiTheme="minorEastAsia" w:hAnsiTheme="minorEastAsia"/>
                <w:b/>
                <w:sz w:val="24"/>
                <w:szCs w:val="24"/>
                <w:highlight w:val="none"/>
                <w:lang w:eastAsia="zh-CN" w:bidi="en-US"/>
              </w:rPr>
              <w:t>投标人</w:t>
            </w:r>
            <w:r>
              <w:rPr>
                <w:rFonts w:hint="eastAsia" w:cs="宋体" w:asciiTheme="minorEastAsia" w:hAnsiTheme="minorEastAsia" w:eastAsiaTheme="minorEastAsia"/>
                <w:b/>
                <w:sz w:val="24"/>
                <w:szCs w:val="24"/>
                <w:highlight w:val="none"/>
                <w:lang w:bidi="en-US"/>
              </w:rPr>
              <w:t>综合得分=技术标得分+商务标得分+综合标得分</w:t>
            </w:r>
          </w:p>
          <w:p w14:paraId="7719056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cs="宋体" w:asciiTheme="minorEastAsia" w:hAnsiTheme="minorEastAsia" w:eastAsiaTheme="minorEastAsia"/>
                <w:b/>
                <w:sz w:val="24"/>
                <w:szCs w:val="24"/>
                <w:highlight w:val="none"/>
                <w:lang w:bidi="en-US"/>
              </w:rPr>
            </w:pPr>
            <w:r>
              <w:rPr>
                <w:rFonts w:hint="eastAsia" w:cs="宋体" w:asciiTheme="minorEastAsia" w:hAnsiTheme="minorEastAsia"/>
                <w:b/>
                <w:sz w:val="24"/>
                <w:szCs w:val="24"/>
                <w:highlight w:val="none"/>
                <w:lang w:eastAsia="zh-CN" w:bidi="en-US"/>
              </w:rPr>
              <w:t>投标人</w:t>
            </w:r>
            <w:r>
              <w:rPr>
                <w:rFonts w:hint="eastAsia" w:cs="宋体" w:asciiTheme="minorEastAsia" w:hAnsiTheme="minorEastAsia" w:eastAsiaTheme="minorEastAsia"/>
                <w:b/>
                <w:sz w:val="24"/>
                <w:szCs w:val="24"/>
                <w:highlight w:val="none"/>
                <w:lang w:bidi="en-US"/>
              </w:rPr>
              <w:t>的报价应包含</w:t>
            </w:r>
            <w:r>
              <w:rPr>
                <w:rFonts w:hint="eastAsia" w:cs="宋体" w:asciiTheme="minorEastAsia" w:hAnsiTheme="minorEastAsia"/>
                <w:b/>
                <w:sz w:val="24"/>
                <w:szCs w:val="24"/>
                <w:highlight w:val="none"/>
                <w:lang w:eastAsia="zh-CN" w:bidi="en-US"/>
              </w:rPr>
              <w:t>投标人</w:t>
            </w:r>
            <w:r>
              <w:rPr>
                <w:rFonts w:hint="eastAsia" w:cs="宋体" w:asciiTheme="minorEastAsia" w:hAnsiTheme="minorEastAsia" w:eastAsiaTheme="minorEastAsia"/>
                <w:b/>
                <w:sz w:val="24"/>
                <w:szCs w:val="24"/>
                <w:highlight w:val="none"/>
                <w:lang w:bidi="en-US"/>
              </w:rPr>
              <w:t>所承诺的应达到的工程质量标准及其他承诺应达到的标准所包含的所有费用。</w:t>
            </w:r>
          </w:p>
        </w:tc>
      </w:tr>
      <w:bookmarkEnd w:id="406"/>
    </w:tbl>
    <w:p w14:paraId="7AA027E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p>
    <w:p w14:paraId="7555EF2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1.评标方法</w:t>
      </w:r>
    </w:p>
    <w:p w14:paraId="63B2D9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本次评标采用综合评</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法。磋商小组对满足磋商文件实质性要求的响应性文件，按照本章规定的评分标准进行打分，并按得分由高到低顺序推荐</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名成交候选人。</w:t>
      </w:r>
    </w:p>
    <w:p w14:paraId="19E3672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bookmarkStart w:id="408" w:name="_Toc358707207"/>
      <w:bookmarkEnd w:id="408"/>
      <w:bookmarkStart w:id="409" w:name="_Toc4725"/>
      <w:bookmarkEnd w:id="409"/>
      <w:bookmarkStart w:id="410" w:name="_Toc152045601"/>
      <w:bookmarkEnd w:id="410"/>
      <w:bookmarkStart w:id="411" w:name="_Toc247085759"/>
      <w:bookmarkEnd w:id="411"/>
      <w:bookmarkStart w:id="412" w:name="_Toc144974568"/>
      <w:bookmarkEnd w:id="412"/>
      <w:bookmarkStart w:id="413" w:name="_Toc179632619"/>
      <w:bookmarkEnd w:id="413"/>
      <w:bookmarkStart w:id="414" w:name="_Toc152042378"/>
      <w:bookmarkEnd w:id="414"/>
      <w:bookmarkStart w:id="415" w:name="_Toc246996244"/>
      <w:bookmarkEnd w:id="415"/>
      <w:bookmarkStart w:id="416" w:name="_Toc7518075"/>
      <w:bookmarkEnd w:id="416"/>
      <w:bookmarkStart w:id="417" w:name="_Toc246996987"/>
      <w:r>
        <w:rPr>
          <w:rFonts w:hint="eastAsia" w:ascii="宋体" w:hAnsi="宋体" w:eastAsia="宋体" w:cs="宋体"/>
          <w:b/>
          <w:sz w:val="24"/>
          <w:szCs w:val="24"/>
          <w:highlight w:val="none"/>
        </w:rPr>
        <w:t>2.</w:t>
      </w:r>
      <w:bookmarkEnd w:id="417"/>
      <w:r>
        <w:rPr>
          <w:rFonts w:hint="eastAsia" w:ascii="宋体" w:hAnsi="宋体" w:eastAsia="宋体" w:cs="宋体"/>
          <w:b/>
          <w:sz w:val="24"/>
          <w:szCs w:val="24"/>
          <w:highlight w:val="none"/>
        </w:rPr>
        <w:t>评审标准</w:t>
      </w:r>
    </w:p>
    <w:p w14:paraId="6F8BD66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18" w:name="_Toc152042379"/>
      <w:bookmarkEnd w:id="418"/>
      <w:bookmarkStart w:id="419" w:name="_Toc246996988"/>
      <w:bookmarkEnd w:id="419"/>
      <w:bookmarkStart w:id="420" w:name="_Toc152045602"/>
      <w:bookmarkEnd w:id="420"/>
      <w:bookmarkStart w:id="421" w:name="_Toc247085760"/>
      <w:bookmarkEnd w:id="421"/>
      <w:bookmarkStart w:id="422" w:name="_Toc144974569"/>
      <w:bookmarkEnd w:id="422"/>
      <w:bookmarkStart w:id="423" w:name="_Toc179632620"/>
      <w:bookmarkEnd w:id="423"/>
      <w:bookmarkStart w:id="424" w:name="_Toc246996245"/>
      <w:bookmarkEnd w:id="424"/>
      <w:bookmarkStart w:id="425" w:name="_Toc358707208"/>
      <w:r>
        <w:rPr>
          <w:rFonts w:hint="eastAsia" w:ascii="宋体" w:hAnsi="宋体" w:eastAsia="宋体" w:cs="宋体"/>
          <w:sz w:val="24"/>
          <w:szCs w:val="24"/>
          <w:highlight w:val="none"/>
        </w:rPr>
        <w:t xml:space="preserve">2.1 </w:t>
      </w:r>
      <w:bookmarkEnd w:id="425"/>
      <w:r>
        <w:rPr>
          <w:rFonts w:hint="eastAsia" w:ascii="宋体" w:hAnsi="宋体" w:eastAsia="宋体" w:cs="宋体"/>
          <w:sz w:val="24"/>
          <w:szCs w:val="24"/>
          <w:highlight w:val="none"/>
        </w:rPr>
        <w:t>初步评审标准</w:t>
      </w:r>
    </w:p>
    <w:p w14:paraId="4E570C9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2.1.1</w:t>
      </w:r>
      <w:r>
        <w:rPr>
          <w:rFonts w:hint="eastAsia" w:ascii="宋体" w:hAnsi="宋体" w:eastAsia="宋体" w:cs="宋体"/>
          <w:sz w:val="24"/>
          <w:szCs w:val="24"/>
          <w:highlight w:val="none"/>
          <w:lang w:eastAsia="zh-CN"/>
        </w:rPr>
        <w:t>形式</w:t>
      </w:r>
      <w:r>
        <w:rPr>
          <w:rFonts w:hint="eastAsia" w:ascii="宋体" w:hAnsi="宋体" w:eastAsia="宋体" w:cs="宋体"/>
          <w:sz w:val="24"/>
          <w:szCs w:val="24"/>
          <w:highlight w:val="none"/>
        </w:rPr>
        <w:t>评审标准：见评标办法前附表。</w:t>
      </w:r>
    </w:p>
    <w:p w14:paraId="37B464C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2.1.2 资格评审标准：见评标办法前附表。</w:t>
      </w:r>
    </w:p>
    <w:p w14:paraId="294C976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pacing w:val="-1"/>
          <w:kern w:val="0"/>
          <w:sz w:val="24"/>
          <w:szCs w:val="24"/>
          <w:highlight w:val="none"/>
        </w:rPr>
      </w:pPr>
      <w:r>
        <w:rPr>
          <w:rFonts w:hint="eastAsia" w:ascii="宋体" w:hAnsi="宋体" w:eastAsia="宋体" w:cs="宋体"/>
          <w:spacing w:val="-1"/>
          <w:kern w:val="0"/>
          <w:sz w:val="24"/>
          <w:szCs w:val="24"/>
          <w:highlight w:val="none"/>
        </w:rPr>
        <w:t>2.1.3 响应评审标准：见评标办法前附表。</w:t>
      </w:r>
    </w:p>
    <w:p w14:paraId="5733DC0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26" w:name="_Toc247085761"/>
      <w:bookmarkEnd w:id="426"/>
      <w:bookmarkStart w:id="427" w:name="_Toc246996246"/>
      <w:bookmarkEnd w:id="427"/>
      <w:bookmarkStart w:id="428" w:name="_Toc246996989"/>
      <w:bookmarkEnd w:id="428"/>
      <w:bookmarkStart w:id="429" w:name="_Toc152045603"/>
      <w:bookmarkEnd w:id="429"/>
      <w:bookmarkStart w:id="430" w:name="_Toc179632621"/>
      <w:bookmarkEnd w:id="430"/>
      <w:bookmarkStart w:id="431" w:name="_Toc152042380"/>
      <w:bookmarkEnd w:id="431"/>
      <w:bookmarkStart w:id="432" w:name="_Toc358707209"/>
      <w:bookmarkEnd w:id="432"/>
      <w:bookmarkStart w:id="433" w:name="_Toc144974570"/>
      <w:r>
        <w:rPr>
          <w:rFonts w:hint="eastAsia" w:ascii="宋体" w:hAnsi="宋体" w:eastAsia="宋体" w:cs="宋体"/>
          <w:sz w:val="24"/>
          <w:szCs w:val="24"/>
          <w:highlight w:val="none"/>
        </w:rPr>
        <w:t xml:space="preserve">2.2 </w:t>
      </w:r>
      <w:bookmarkEnd w:id="433"/>
      <w:r>
        <w:rPr>
          <w:rFonts w:hint="eastAsia" w:ascii="宋体" w:hAnsi="宋体" w:eastAsia="宋体" w:cs="宋体"/>
          <w:sz w:val="24"/>
          <w:szCs w:val="24"/>
          <w:highlight w:val="none"/>
        </w:rPr>
        <w:t>评分标准</w:t>
      </w:r>
    </w:p>
    <w:p w14:paraId="21465EF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w:t>
      </w:r>
      <w:r>
        <w:rPr>
          <w:rFonts w:hint="eastAsia" w:ascii="宋体" w:hAnsi="宋体" w:eastAsia="宋体" w:cs="宋体"/>
          <w:sz w:val="24"/>
          <w:szCs w:val="24"/>
          <w:highlight w:val="none"/>
          <w:lang w:val="en-US" w:eastAsia="zh-CN"/>
        </w:rPr>
        <w:t>1商务标</w:t>
      </w:r>
      <w:r>
        <w:rPr>
          <w:rFonts w:hint="eastAsia" w:ascii="宋体" w:hAnsi="宋体" w:eastAsia="宋体" w:cs="宋体"/>
          <w:sz w:val="24"/>
          <w:szCs w:val="24"/>
          <w:highlight w:val="none"/>
        </w:rPr>
        <w:t>评分标准：见评标办法前附表；</w:t>
      </w:r>
    </w:p>
    <w:p w14:paraId="7DE9074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技术</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评分标准：见评标办法前附表；</w:t>
      </w:r>
    </w:p>
    <w:p w14:paraId="347B527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2.2.3</w:t>
      </w:r>
      <w:r>
        <w:rPr>
          <w:rFonts w:hint="eastAsia" w:ascii="宋体" w:hAnsi="宋体" w:eastAsia="宋体" w:cs="宋体"/>
          <w:sz w:val="24"/>
          <w:szCs w:val="24"/>
          <w:highlight w:val="none"/>
          <w:lang w:val="en-US" w:eastAsia="zh-CN"/>
        </w:rPr>
        <w:t>综合标</w:t>
      </w:r>
      <w:r>
        <w:rPr>
          <w:rFonts w:hint="eastAsia" w:ascii="宋体" w:hAnsi="宋体" w:eastAsia="宋体" w:cs="宋体"/>
          <w:sz w:val="24"/>
          <w:szCs w:val="24"/>
          <w:highlight w:val="none"/>
        </w:rPr>
        <w:t>评分标准：见评标办法前附表。</w:t>
      </w:r>
    </w:p>
    <w:p w14:paraId="66D7D2A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bookmarkStart w:id="434" w:name="_Toc246996247"/>
      <w:bookmarkEnd w:id="434"/>
      <w:bookmarkStart w:id="435" w:name="_Toc7518076"/>
      <w:bookmarkEnd w:id="435"/>
      <w:bookmarkStart w:id="436" w:name="_Toc4463"/>
      <w:bookmarkEnd w:id="436"/>
      <w:bookmarkStart w:id="437" w:name="_Toc247085762"/>
      <w:bookmarkEnd w:id="437"/>
      <w:bookmarkStart w:id="438" w:name="_Toc144974571"/>
      <w:bookmarkEnd w:id="438"/>
      <w:bookmarkStart w:id="439" w:name="_Toc246996990"/>
      <w:bookmarkEnd w:id="439"/>
      <w:bookmarkStart w:id="440" w:name="_Toc152045604"/>
      <w:bookmarkEnd w:id="440"/>
      <w:bookmarkStart w:id="441" w:name="_Toc358707210"/>
      <w:bookmarkEnd w:id="441"/>
      <w:bookmarkStart w:id="442" w:name="_Toc179632622"/>
      <w:bookmarkEnd w:id="442"/>
      <w:bookmarkStart w:id="443" w:name="_Toc152042381"/>
      <w:r>
        <w:rPr>
          <w:rFonts w:hint="eastAsia" w:ascii="宋体" w:hAnsi="宋体" w:eastAsia="宋体" w:cs="宋体"/>
          <w:b/>
          <w:sz w:val="24"/>
          <w:szCs w:val="24"/>
          <w:highlight w:val="none"/>
        </w:rPr>
        <w:t>3.</w:t>
      </w:r>
      <w:bookmarkEnd w:id="443"/>
      <w:r>
        <w:rPr>
          <w:rFonts w:hint="eastAsia" w:ascii="宋体" w:hAnsi="宋体" w:eastAsia="宋体" w:cs="宋体"/>
          <w:b/>
          <w:sz w:val="24"/>
          <w:szCs w:val="24"/>
          <w:highlight w:val="none"/>
        </w:rPr>
        <w:t>评标程序</w:t>
      </w:r>
    </w:p>
    <w:p w14:paraId="4F526AD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3.1.1 评标委员会依据本章评标办法前附表第2.1.1项、第2.1.2项、第2.1.3项规定的评审标准对投标文件进行初步评审。有一项不符合评审标准的，其投标将被否决。</w:t>
      </w:r>
    </w:p>
    <w:p w14:paraId="7E8CAB7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有以下情形之一的，其投标作无效标处理：</w:t>
      </w:r>
    </w:p>
    <w:p w14:paraId="3D7D9D6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（1）串通投标或弄虚作假或有其他违法行为的；</w:t>
      </w:r>
    </w:p>
    <w:p w14:paraId="361B56E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（2）不按磋商小组要求澄清、说明或补正的。</w:t>
      </w:r>
    </w:p>
    <w:p w14:paraId="794DCDD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3.3投标报价有算术错误的，磋商小组按以下原则对投标报价进行修正，修正的价格经</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书面确认后具有约束力。</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不接受修正价格的，其投标被否决。</w:t>
      </w:r>
    </w:p>
    <w:p w14:paraId="2D41FCB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44" w:name="_Toc152042383"/>
      <w:bookmarkEnd w:id="444"/>
      <w:r>
        <w:rPr>
          <w:rFonts w:hint="eastAsia" w:ascii="宋体" w:hAnsi="宋体" w:eastAsia="宋体" w:cs="宋体"/>
          <w:sz w:val="24"/>
          <w:szCs w:val="24"/>
          <w:highlight w:val="none"/>
        </w:rPr>
        <w:t>磋商文件中的大写金额与小写金额不一致的，以大写金额为准；</w:t>
      </w:r>
    </w:p>
    <w:p w14:paraId="7D1ECC2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45" w:name="_Toc144974573"/>
      <w:bookmarkEnd w:id="445"/>
      <w:bookmarkStart w:id="446" w:name="_Toc358707212"/>
      <w:bookmarkEnd w:id="446"/>
      <w:bookmarkStart w:id="447" w:name="_Toc246996992"/>
      <w:bookmarkEnd w:id="447"/>
      <w:bookmarkStart w:id="448" w:name="_Toc246996249"/>
      <w:bookmarkEnd w:id="448"/>
      <w:bookmarkStart w:id="449" w:name="_Toc152045606"/>
      <w:bookmarkEnd w:id="449"/>
      <w:bookmarkStart w:id="450" w:name="_Toc247085764"/>
      <w:bookmarkEnd w:id="450"/>
      <w:bookmarkStart w:id="451" w:name="_Toc179632624"/>
      <w:bookmarkEnd w:id="451"/>
      <w:bookmarkStart w:id="452" w:name="_Toc152042384"/>
      <w:r>
        <w:rPr>
          <w:rFonts w:hint="eastAsia" w:ascii="宋体" w:hAnsi="宋体" w:eastAsia="宋体" w:cs="宋体"/>
          <w:sz w:val="24"/>
          <w:szCs w:val="24"/>
          <w:highlight w:val="none"/>
        </w:rPr>
        <w:t>3.4</w:t>
      </w:r>
      <w:bookmarkEnd w:id="452"/>
      <w:r>
        <w:rPr>
          <w:rFonts w:hint="eastAsia" w:ascii="宋体" w:hAnsi="宋体" w:eastAsia="宋体" w:cs="宋体"/>
          <w:sz w:val="24"/>
          <w:szCs w:val="24"/>
          <w:highlight w:val="none"/>
        </w:rPr>
        <w:t>详细评审</w:t>
      </w:r>
    </w:p>
    <w:p w14:paraId="01FD616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53" w:name="_Toc144974575"/>
      <w:bookmarkEnd w:id="453"/>
      <w:bookmarkStart w:id="454" w:name="_Toc246996993"/>
      <w:bookmarkEnd w:id="454"/>
      <w:bookmarkStart w:id="455" w:name="_Toc246996250"/>
      <w:bookmarkEnd w:id="455"/>
      <w:bookmarkStart w:id="456" w:name="_Toc179632625"/>
      <w:bookmarkEnd w:id="456"/>
      <w:bookmarkStart w:id="457" w:name="_Toc358707213"/>
      <w:bookmarkEnd w:id="457"/>
      <w:bookmarkStart w:id="458" w:name="_Toc247085765"/>
      <w:bookmarkEnd w:id="458"/>
      <w:bookmarkStart w:id="459" w:name="_Toc152045607"/>
      <w:bookmarkEnd w:id="459"/>
      <w:bookmarkStart w:id="460" w:name="_Toc152042385"/>
      <w:r>
        <w:rPr>
          <w:rFonts w:hint="eastAsia" w:ascii="宋体" w:hAnsi="宋体" w:eastAsia="宋体" w:cs="宋体"/>
          <w:sz w:val="24"/>
          <w:szCs w:val="24"/>
          <w:highlight w:val="none"/>
        </w:rPr>
        <w:t>3.4.1 磋商小组按本章第2.2款规定的量化因素和分值进行打分，并计算出综合评估得分。</w:t>
      </w:r>
      <w:bookmarkEnd w:id="460"/>
    </w:p>
    <w:p w14:paraId="52AABA2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（1）按本章第2.2.1规定的评审因素和分值对磋商报价计算出得分；</w:t>
      </w:r>
    </w:p>
    <w:p w14:paraId="0007CC3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（2）按本章第2.2.2规定的评审因素和分值对技术部分计算出得分；</w:t>
      </w:r>
    </w:p>
    <w:p w14:paraId="12B0E2A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（3）按本章第2.2.3规定的评审因素和分值对</w:t>
      </w:r>
      <w:r>
        <w:rPr>
          <w:rFonts w:hint="eastAsia" w:ascii="宋体" w:hAnsi="宋体" w:eastAsia="宋体" w:cs="宋体"/>
          <w:sz w:val="24"/>
          <w:szCs w:val="24"/>
          <w:highlight w:val="none"/>
          <w:lang w:val="en-US" w:eastAsia="zh-CN"/>
        </w:rPr>
        <w:t>综合</w:t>
      </w:r>
      <w:r>
        <w:rPr>
          <w:rFonts w:hint="eastAsia" w:ascii="宋体" w:hAnsi="宋体" w:eastAsia="宋体" w:cs="宋体"/>
          <w:sz w:val="24"/>
          <w:szCs w:val="24"/>
          <w:highlight w:val="none"/>
        </w:rPr>
        <w:t>部分计算出得分；</w:t>
      </w:r>
    </w:p>
    <w:p w14:paraId="0EDFCAF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3.4.2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得分=磋商报价+技术部分+商务部分。</w:t>
      </w:r>
    </w:p>
    <w:p w14:paraId="1E35F7E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3.4.3 在磋商小组完成对技术部分、磋商报价和商务部分的汇总后取平均值，计分过程按四舍五入取至小数点后两位，最终得分取至小数点后二位。作为该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的最终得分。</w:t>
      </w:r>
    </w:p>
    <w:p w14:paraId="2AD550E2">
      <w:pPr>
        <w:pageBreakBefore w:val="0"/>
        <w:kinsoku/>
        <w:wordWrap/>
        <w:overflowPunct/>
        <w:topLinePunct w:val="0"/>
        <w:bidi w:val="0"/>
        <w:adjustRightInd w:val="0"/>
        <w:snapToGrid w:val="0"/>
        <w:spacing w:beforeAutospacing="0" w:afterAutospacing="0" w:line="360" w:lineRule="auto"/>
        <w:ind w:right="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3.4.4磋商小组发现</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的报价明显低于其他投标报价，使得其投标报价可能低于其个别成本的，应当要求该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做出书面说明并提供相应的证明材料。</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不能合理说明或者不能提供相应证明材料的，磋商小组应当认定该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以低于成本报价竞标，否决其投标。</w:t>
      </w:r>
    </w:p>
    <w:p w14:paraId="79CB483B">
      <w:pPr>
        <w:pageBreakBefore w:val="0"/>
        <w:kinsoku/>
        <w:wordWrap/>
        <w:overflowPunct/>
        <w:topLinePunct w:val="0"/>
        <w:bidi w:val="0"/>
        <w:adjustRightInd w:val="0"/>
        <w:snapToGrid w:val="0"/>
        <w:spacing w:beforeAutospacing="0" w:afterAutospacing="0" w:line="360" w:lineRule="auto"/>
        <w:ind w:right="0"/>
        <w:jc w:val="both"/>
        <w:rPr>
          <w:rFonts w:hint="eastAsia" w:ascii="宋体" w:hAnsi="宋体" w:eastAsia="宋体" w:cs="宋体"/>
          <w:color w:val="000000"/>
          <w:sz w:val="24"/>
          <w:highlight w:val="none"/>
        </w:rPr>
      </w:pPr>
      <w:r>
        <w:rPr>
          <w:rFonts w:hint="eastAsia" w:ascii="宋体" w:hAnsi="宋体" w:eastAsia="宋体" w:cs="宋体"/>
          <w:b w:val="0"/>
          <w:bCs w:val="0"/>
          <w:snapToGrid w:val="0"/>
          <w:color w:val="000000"/>
          <w:sz w:val="24"/>
          <w:szCs w:val="24"/>
          <w:highlight w:val="none"/>
          <w:lang w:val="en-US" w:eastAsia="zh-CN"/>
        </w:rPr>
        <w:t>3.4.5磋商小组</w:t>
      </w:r>
      <w:r>
        <w:rPr>
          <w:rFonts w:hint="eastAsia" w:ascii="宋体" w:hAnsi="宋体" w:eastAsia="宋体" w:cs="宋体"/>
          <w:b w:val="0"/>
          <w:bCs w:val="0"/>
          <w:snapToGrid w:val="0"/>
          <w:color w:val="000000"/>
          <w:sz w:val="24"/>
          <w:szCs w:val="24"/>
          <w:highlight w:val="none"/>
        </w:rPr>
        <w:t>否决投标时应审慎。因招标文件表述歧义或逻辑错误等原因，造成投标文件表述不一致的，不作为否决投标的因素，投标人明显打字或排版错误且不影响实质内容的，</w:t>
      </w:r>
      <w:r>
        <w:rPr>
          <w:rFonts w:hint="eastAsia" w:ascii="宋体" w:hAnsi="宋体" w:eastAsia="宋体" w:cs="宋体"/>
          <w:b w:val="0"/>
          <w:bCs w:val="0"/>
          <w:snapToGrid w:val="0"/>
          <w:color w:val="000000"/>
          <w:sz w:val="24"/>
          <w:szCs w:val="24"/>
          <w:highlight w:val="none"/>
          <w:lang w:eastAsia="zh-CN"/>
        </w:rPr>
        <w:t>磋商小组</w:t>
      </w:r>
      <w:r>
        <w:rPr>
          <w:rFonts w:hint="eastAsia" w:ascii="宋体" w:hAnsi="宋体" w:eastAsia="宋体" w:cs="宋体"/>
          <w:b w:val="0"/>
          <w:bCs w:val="0"/>
          <w:snapToGrid w:val="0"/>
          <w:color w:val="000000"/>
          <w:sz w:val="24"/>
          <w:szCs w:val="24"/>
          <w:highlight w:val="none"/>
        </w:rPr>
        <w:t>可要求投标人作出书面澄清、说明或补正，不予以否决投标。</w:t>
      </w:r>
    </w:p>
    <w:p w14:paraId="2732554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470BC12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 响应性文件的澄清和补正</w:t>
      </w:r>
    </w:p>
    <w:p w14:paraId="0AC06F6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3.5.1在评标过程中，磋商小组可以书面形式要求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对所提交响应性文件中不明确的内容进行书面澄清或说明，或者对细微偏差进行补正。磋商小组不接受</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主动提出的澄清、说明或补正。</w:t>
      </w:r>
    </w:p>
    <w:p w14:paraId="439F3C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3.5.2 澄清、说明和补正不得改变响应性文件的实质性内容。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的书面澄清、说明和补正属于响应性文件的组成部分。</w:t>
      </w:r>
    </w:p>
    <w:p w14:paraId="37E3F5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3.5.3 磋商小组对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提交的澄清、说明或补正有疑问的，可以要求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进一步澄清、说明或补正，直至满足磋商小组的要求。</w:t>
      </w:r>
    </w:p>
    <w:p w14:paraId="4D4D7DC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61" w:name="_Toc144974576"/>
      <w:bookmarkEnd w:id="461"/>
      <w:bookmarkStart w:id="462" w:name="_Toc152042386"/>
      <w:bookmarkEnd w:id="462"/>
      <w:bookmarkStart w:id="463" w:name="_Toc358707214"/>
      <w:bookmarkEnd w:id="463"/>
      <w:bookmarkStart w:id="464" w:name="_Toc152045608"/>
      <w:bookmarkEnd w:id="464"/>
      <w:bookmarkStart w:id="465" w:name="_Toc246996994"/>
      <w:bookmarkEnd w:id="465"/>
      <w:bookmarkStart w:id="466" w:name="_Toc7518077"/>
      <w:bookmarkEnd w:id="466"/>
      <w:bookmarkStart w:id="467" w:name="_Toc246996251"/>
      <w:bookmarkEnd w:id="467"/>
      <w:bookmarkStart w:id="468" w:name="_Toc179632626"/>
      <w:bookmarkEnd w:id="468"/>
      <w:bookmarkStart w:id="469" w:name="_Toc247085766"/>
      <w:r>
        <w:rPr>
          <w:rFonts w:hint="eastAsia" w:ascii="宋体" w:hAnsi="宋体" w:eastAsia="宋体" w:cs="宋体"/>
          <w:sz w:val="24"/>
          <w:szCs w:val="24"/>
          <w:highlight w:val="none"/>
        </w:rPr>
        <w:t xml:space="preserve">3.6 </w:t>
      </w:r>
      <w:bookmarkEnd w:id="469"/>
      <w:r>
        <w:rPr>
          <w:rFonts w:hint="eastAsia" w:ascii="宋体" w:hAnsi="宋体" w:eastAsia="宋体" w:cs="宋体"/>
          <w:sz w:val="24"/>
          <w:szCs w:val="24"/>
          <w:highlight w:val="none"/>
        </w:rPr>
        <w:t>评标结果</w:t>
      </w:r>
    </w:p>
    <w:p w14:paraId="72D6D22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3.6.1除第二章“</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须知”前附表授权直接确定成交人外，磋商小组按照得分由高到低的顺序推荐成交候选人。</w:t>
      </w:r>
      <w:r>
        <w:rPr>
          <w:rFonts w:hint="eastAsia" w:cs="宋体" w:asciiTheme="minorEastAsia" w:hAnsiTheme="minorEastAsia" w:eastAsiaTheme="minorEastAsia"/>
          <w:sz w:val="24"/>
          <w:szCs w:val="24"/>
          <w:highlight w:val="none"/>
          <w:lang w:bidi="en-US"/>
        </w:rPr>
        <w:t>得分相同的，按响应报价由低到高顺序排列；得分且响应报价相同的，按技术指标优劣顺序排列。</w:t>
      </w:r>
    </w:p>
    <w:p w14:paraId="0D12C96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both"/>
        <w:textAlignment w:val="auto"/>
        <w:outlineLvl w:val="0"/>
        <w:rPr>
          <w:rFonts w:hint="eastAsia" w:ascii="宋体" w:hAnsi="宋体" w:eastAsia="宋体" w:cs="宋体"/>
          <w:sz w:val="24"/>
          <w:szCs w:val="24"/>
          <w:highlight w:val="none"/>
        </w:rPr>
      </w:pPr>
      <w:bookmarkStart w:id="470" w:name="_Toc17470"/>
      <w:r>
        <w:rPr>
          <w:rFonts w:hint="eastAsia" w:ascii="宋体" w:hAnsi="宋体" w:eastAsia="宋体" w:cs="宋体"/>
          <w:sz w:val="24"/>
          <w:szCs w:val="24"/>
          <w:highlight w:val="none"/>
        </w:rPr>
        <w:t>3.6.2 磋商小组完成评标后，应当向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提交书面评标报告。</w:t>
      </w:r>
      <w:bookmarkEnd w:id="470"/>
    </w:p>
    <w:p w14:paraId="054D385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sz w:val="24"/>
          <w:szCs w:val="24"/>
          <w:highlight w:val="none"/>
        </w:rPr>
      </w:pPr>
    </w:p>
    <w:p w14:paraId="4855138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sz w:val="24"/>
          <w:szCs w:val="24"/>
          <w:highlight w:val="none"/>
        </w:rPr>
      </w:pPr>
    </w:p>
    <w:p w14:paraId="3039BB7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Theme="majorEastAsia" w:hAnsiTheme="majorEastAsia" w:eastAsiaTheme="majorEastAsia" w:cstheme="majorEastAsia"/>
          <w:b/>
          <w:bCs/>
          <w:sz w:val="36"/>
          <w:szCs w:val="36"/>
          <w:highlight w:val="none"/>
          <w:lang w:val="en-US" w:eastAsia="zh-CN"/>
        </w:rPr>
      </w:pPr>
      <w:bookmarkStart w:id="471" w:name="_Toc6637"/>
    </w:p>
    <w:p w14:paraId="40B5688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Theme="majorEastAsia" w:hAnsiTheme="majorEastAsia" w:eastAsiaTheme="majorEastAsia" w:cstheme="majorEastAsia"/>
          <w:b/>
          <w:bCs/>
          <w:sz w:val="36"/>
          <w:szCs w:val="36"/>
          <w:highlight w:val="none"/>
          <w:lang w:val="en-US" w:eastAsia="zh-CN"/>
        </w:rPr>
      </w:pPr>
    </w:p>
    <w:p w14:paraId="5CE3822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Theme="majorEastAsia" w:hAnsiTheme="majorEastAsia" w:eastAsiaTheme="majorEastAsia" w:cstheme="majorEastAsia"/>
          <w:b/>
          <w:bCs/>
          <w:sz w:val="36"/>
          <w:szCs w:val="36"/>
          <w:highlight w:val="none"/>
          <w:lang w:val="en-US" w:eastAsia="zh-CN"/>
        </w:rPr>
      </w:pPr>
    </w:p>
    <w:p w14:paraId="7614AB3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Theme="majorEastAsia" w:hAnsiTheme="majorEastAsia" w:eastAsiaTheme="majorEastAsia" w:cstheme="majorEastAsia"/>
          <w:b/>
          <w:bCs/>
          <w:sz w:val="36"/>
          <w:szCs w:val="36"/>
          <w:highlight w:val="none"/>
          <w:lang w:val="en-US" w:eastAsia="zh-CN"/>
        </w:rPr>
      </w:pPr>
    </w:p>
    <w:p w14:paraId="5C284C1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Theme="majorEastAsia" w:hAnsiTheme="majorEastAsia" w:eastAsiaTheme="majorEastAsia" w:cstheme="majorEastAsia"/>
          <w:b/>
          <w:bCs/>
          <w:sz w:val="36"/>
          <w:szCs w:val="36"/>
          <w:highlight w:val="none"/>
          <w:lang w:val="en-US" w:eastAsia="zh-CN"/>
        </w:rPr>
      </w:pPr>
    </w:p>
    <w:p w14:paraId="149DF3E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Theme="majorEastAsia" w:hAnsiTheme="majorEastAsia" w:eastAsiaTheme="majorEastAsia" w:cstheme="majorEastAsia"/>
          <w:b/>
          <w:bCs/>
          <w:sz w:val="36"/>
          <w:szCs w:val="36"/>
          <w:highlight w:val="none"/>
          <w:lang w:val="en-US" w:eastAsia="zh-CN"/>
        </w:rPr>
      </w:pPr>
    </w:p>
    <w:p w14:paraId="79C0D1D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Theme="majorEastAsia" w:hAnsiTheme="majorEastAsia" w:eastAsiaTheme="majorEastAsia" w:cstheme="majorEastAsia"/>
          <w:b/>
          <w:bCs/>
          <w:sz w:val="36"/>
          <w:szCs w:val="36"/>
          <w:highlight w:val="none"/>
          <w:lang w:val="en-US" w:eastAsia="zh-CN"/>
        </w:rPr>
      </w:pPr>
    </w:p>
    <w:p w14:paraId="50DD8DB3">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Theme="majorEastAsia" w:hAnsiTheme="majorEastAsia" w:eastAsiaTheme="majorEastAsia" w:cstheme="majorEastAsia"/>
          <w:b/>
          <w:bCs/>
          <w:sz w:val="36"/>
          <w:szCs w:val="36"/>
          <w:highlight w:val="none"/>
          <w:lang w:val="en-US" w:eastAsia="zh-CN"/>
        </w:rPr>
      </w:pPr>
    </w:p>
    <w:p w14:paraId="1AAE43E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Theme="majorEastAsia" w:hAnsiTheme="majorEastAsia" w:eastAsiaTheme="majorEastAsia" w:cstheme="majorEastAsia"/>
          <w:b/>
          <w:bCs/>
          <w:sz w:val="36"/>
          <w:szCs w:val="36"/>
          <w:highlight w:val="none"/>
          <w:lang w:val="en-US" w:eastAsia="zh-CN"/>
        </w:rPr>
      </w:pPr>
    </w:p>
    <w:p w14:paraId="6408ABD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Theme="majorEastAsia" w:hAnsiTheme="majorEastAsia" w:eastAsiaTheme="majorEastAsia" w:cstheme="majorEastAsia"/>
          <w:b/>
          <w:bCs/>
          <w:sz w:val="36"/>
          <w:szCs w:val="36"/>
          <w:highlight w:val="none"/>
          <w:lang w:val="en-US" w:eastAsia="zh-CN"/>
        </w:rPr>
      </w:pPr>
      <w:r>
        <w:rPr>
          <w:rFonts w:hint="eastAsia" w:asciiTheme="majorEastAsia" w:hAnsiTheme="majorEastAsia" w:eastAsiaTheme="majorEastAsia" w:cstheme="majorEastAsia"/>
          <w:b/>
          <w:bCs/>
          <w:sz w:val="36"/>
          <w:szCs w:val="36"/>
          <w:highlight w:val="none"/>
          <w:lang w:val="en-US" w:eastAsia="zh-CN"/>
        </w:rPr>
        <w:t>第四章 合同条款</w:t>
      </w:r>
      <w:bookmarkEnd w:id="471"/>
    </w:p>
    <w:bookmarkEnd w:id="384"/>
    <w:p w14:paraId="032E2606">
      <w:pPr>
        <w:keepNext/>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ascii="宋体" w:hAnsi="宋体" w:eastAsia="宋体" w:cs="楷体"/>
          <w:kern w:val="2"/>
          <w:sz w:val="24"/>
          <w:szCs w:val="24"/>
          <w:highlight w:val="none"/>
        </w:rPr>
      </w:pPr>
      <w:bookmarkStart w:id="472" w:name="_Toc375040676"/>
      <w:bookmarkEnd w:id="472"/>
      <w:r>
        <w:rPr>
          <w:rFonts w:hint="eastAsia" w:ascii="宋体" w:hAnsi="宋体" w:eastAsia="宋体" w:cs="Calibri"/>
          <w:sz w:val="24"/>
          <w:highlight w:val="none"/>
        </w:rPr>
        <w:t>此合同仅供参考。以最终</w:t>
      </w:r>
      <w:r>
        <w:rPr>
          <w:rFonts w:hint="eastAsia" w:ascii="宋体" w:hAnsi="宋体" w:cs="Calibri"/>
          <w:sz w:val="24"/>
          <w:highlight w:val="none"/>
          <w:lang w:eastAsia="zh-CN"/>
        </w:rPr>
        <w:t>招标人</w:t>
      </w:r>
      <w:r>
        <w:rPr>
          <w:rFonts w:hint="eastAsia" w:ascii="宋体" w:hAnsi="宋体" w:eastAsia="宋体" w:cs="Calibri"/>
          <w:sz w:val="24"/>
          <w:highlight w:val="none"/>
        </w:rPr>
        <w:t>与</w:t>
      </w:r>
      <w:r>
        <w:rPr>
          <w:rFonts w:hint="eastAsia" w:ascii="宋体" w:hAnsi="宋体" w:cs="Calibri"/>
          <w:sz w:val="24"/>
          <w:highlight w:val="none"/>
          <w:lang w:val="en-US" w:eastAsia="zh-CN"/>
        </w:rPr>
        <w:t>中标单位</w:t>
      </w:r>
      <w:r>
        <w:rPr>
          <w:rFonts w:hint="eastAsia" w:ascii="宋体" w:hAnsi="宋体" w:eastAsia="宋体" w:cs="Calibri"/>
          <w:sz w:val="24"/>
          <w:highlight w:val="none"/>
        </w:rPr>
        <w:t>签</w:t>
      </w:r>
      <w:r>
        <w:rPr>
          <w:rFonts w:hint="eastAsia" w:ascii="宋体" w:hAnsi="宋体" w:cs="Calibri"/>
          <w:sz w:val="24"/>
          <w:highlight w:val="none"/>
          <w:lang w:val="en-US" w:eastAsia="zh-CN"/>
        </w:rPr>
        <w:t>订</w:t>
      </w:r>
      <w:r>
        <w:rPr>
          <w:rFonts w:hint="eastAsia" w:ascii="宋体" w:hAnsi="宋体" w:eastAsia="宋体" w:cs="Calibri"/>
          <w:sz w:val="24"/>
          <w:highlight w:val="none"/>
        </w:rPr>
        <w:t>的合同条款为准进行公示</w:t>
      </w:r>
    </w:p>
    <w:p w14:paraId="1BB9AAF0">
      <w:pPr>
        <w:jc w:val="left"/>
        <w:rPr>
          <w:rFonts w:hint="eastAsia" w:ascii="宋体" w:hAnsi="宋体" w:eastAsia="宋体"/>
          <w:b/>
          <w:bCs/>
          <w:color w:val="auto"/>
          <w:sz w:val="30"/>
          <w:szCs w:val="30"/>
          <w:lang w:eastAsia="zh-CN"/>
        </w:rPr>
      </w:pPr>
      <w:r>
        <w:rPr>
          <w:rFonts w:hint="eastAsia" w:ascii="宋体" w:hAnsi="宋体"/>
          <w:b/>
          <w:bCs/>
          <w:color w:val="auto"/>
          <w:sz w:val="30"/>
          <w:szCs w:val="30"/>
        </w:rPr>
        <w:t>GF-201</w:t>
      </w:r>
      <w:r>
        <w:rPr>
          <w:rFonts w:hint="eastAsia" w:ascii="宋体" w:hAnsi="宋体"/>
          <w:b/>
          <w:bCs/>
          <w:color w:val="auto"/>
          <w:sz w:val="30"/>
          <w:szCs w:val="30"/>
          <w:lang w:val="en-US" w:eastAsia="zh-CN"/>
        </w:rPr>
        <w:t>7</w:t>
      </w:r>
      <w:r>
        <w:rPr>
          <w:rFonts w:hint="eastAsia" w:ascii="宋体" w:hAnsi="宋体"/>
          <w:b/>
          <w:bCs/>
          <w:color w:val="auto"/>
          <w:sz w:val="30"/>
          <w:szCs w:val="30"/>
        </w:rPr>
        <w:t>-02</w:t>
      </w:r>
      <w:r>
        <w:rPr>
          <w:rFonts w:hint="eastAsia" w:ascii="宋体" w:hAnsi="宋体"/>
          <w:b/>
          <w:bCs/>
          <w:color w:val="auto"/>
          <w:sz w:val="30"/>
          <w:szCs w:val="30"/>
          <w:lang w:val="en-US" w:eastAsia="zh-CN"/>
        </w:rPr>
        <w:t>01</w:t>
      </w:r>
    </w:p>
    <w:p w14:paraId="4E99D154">
      <w:pPr>
        <w:jc w:val="center"/>
        <w:rPr>
          <w:rFonts w:hint="eastAsia" w:ascii="宋体" w:hAnsi="宋体"/>
          <w:b/>
          <w:bCs/>
          <w:color w:val="auto"/>
          <w:sz w:val="48"/>
        </w:rPr>
      </w:pPr>
    </w:p>
    <w:p w14:paraId="4E4066A5">
      <w:pPr>
        <w:jc w:val="center"/>
        <w:rPr>
          <w:rFonts w:hint="eastAsia" w:ascii="宋体" w:hAnsi="宋体"/>
          <w:b/>
          <w:bCs/>
          <w:color w:val="auto"/>
          <w:sz w:val="48"/>
        </w:rPr>
      </w:pPr>
    </w:p>
    <w:p w14:paraId="4C1D32D0">
      <w:pPr>
        <w:jc w:val="center"/>
        <w:rPr>
          <w:rFonts w:hint="eastAsia" w:ascii="宋体" w:hAnsi="宋体"/>
          <w:b/>
          <w:bCs/>
          <w:color w:val="auto"/>
          <w:sz w:val="48"/>
        </w:rPr>
      </w:pPr>
    </w:p>
    <w:p w14:paraId="3A025E57">
      <w:pPr>
        <w:jc w:val="center"/>
        <w:rPr>
          <w:rFonts w:ascii="宋体" w:hAnsi="宋体"/>
          <w:b/>
          <w:bCs/>
          <w:color w:val="auto"/>
          <w:sz w:val="36"/>
          <w:szCs w:val="36"/>
        </w:rPr>
      </w:pPr>
      <w:r>
        <w:rPr>
          <w:rFonts w:hint="eastAsia" w:ascii="宋体" w:hAnsi="宋体"/>
          <w:b/>
          <w:bCs/>
          <w:color w:val="auto"/>
          <w:sz w:val="36"/>
          <w:szCs w:val="36"/>
        </w:rPr>
        <w:t>建设项目工程总承包合同示范文本</w:t>
      </w:r>
    </w:p>
    <w:p w14:paraId="154FFE23">
      <w:pPr>
        <w:jc w:val="center"/>
        <w:rPr>
          <w:rFonts w:hint="eastAsia" w:ascii="宋体" w:hAnsi="宋体"/>
          <w:b/>
          <w:bCs/>
          <w:color w:val="auto"/>
          <w:sz w:val="28"/>
        </w:rPr>
      </w:pPr>
    </w:p>
    <w:p w14:paraId="0F77C016">
      <w:pPr>
        <w:jc w:val="center"/>
        <w:rPr>
          <w:rFonts w:hint="eastAsia" w:ascii="宋体" w:hAnsi="宋体"/>
          <w:bCs/>
          <w:color w:val="auto"/>
          <w:sz w:val="28"/>
          <w:szCs w:val="28"/>
        </w:rPr>
      </w:pPr>
      <w:r>
        <w:rPr>
          <w:rFonts w:hint="eastAsia" w:ascii="宋体" w:hAnsi="宋体"/>
          <w:bCs/>
          <w:color w:val="auto"/>
          <w:sz w:val="28"/>
          <w:szCs w:val="28"/>
        </w:rPr>
        <w:t>（</w:t>
      </w:r>
      <w:r>
        <w:rPr>
          <w:rFonts w:hint="eastAsia" w:ascii="宋体" w:hAnsi="宋体"/>
          <w:bCs/>
          <w:color w:val="auto"/>
          <w:sz w:val="28"/>
          <w:szCs w:val="28"/>
          <w:lang w:val="en-US" w:eastAsia="zh-CN"/>
        </w:rPr>
        <w:t>示范文本</w:t>
      </w:r>
      <w:r>
        <w:rPr>
          <w:rFonts w:hint="eastAsia" w:ascii="宋体" w:hAnsi="宋体"/>
          <w:bCs/>
          <w:color w:val="auto"/>
          <w:sz w:val="28"/>
          <w:szCs w:val="28"/>
        </w:rPr>
        <w:t>）</w:t>
      </w:r>
    </w:p>
    <w:p w14:paraId="7E38F8C9">
      <w:pPr>
        <w:jc w:val="center"/>
        <w:rPr>
          <w:rFonts w:hint="eastAsia" w:ascii="宋体" w:hAnsi="宋体"/>
          <w:bCs/>
          <w:color w:val="auto"/>
          <w:sz w:val="28"/>
        </w:rPr>
      </w:pPr>
    </w:p>
    <w:p w14:paraId="1FAC773C">
      <w:pPr>
        <w:jc w:val="center"/>
        <w:rPr>
          <w:rFonts w:hint="eastAsia" w:ascii="宋体" w:hAnsi="宋体"/>
          <w:bCs/>
          <w:color w:val="auto"/>
          <w:sz w:val="28"/>
        </w:rPr>
      </w:pPr>
    </w:p>
    <w:p w14:paraId="03E30048">
      <w:pPr>
        <w:jc w:val="center"/>
        <w:rPr>
          <w:rFonts w:hint="eastAsia" w:ascii="宋体" w:hAnsi="宋体"/>
          <w:bCs/>
          <w:color w:val="auto"/>
          <w:sz w:val="28"/>
        </w:rPr>
      </w:pPr>
    </w:p>
    <w:p w14:paraId="25E00E60">
      <w:pPr>
        <w:jc w:val="center"/>
        <w:rPr>
          <w:rFonts w:hint="eastAsia" w:ascii="宋体" w:hAnsi="宋体"/>
          <w:bCs/>
          <w:color w:val="auto"/>
          <w:sz w:val="28"/>
        </w:rPr>
      </w:pPr>
    </w:p>
    <w:p w14:paraId="50B881CE">
      <w:pPr>
        <w:jc w:val="center"/>
        <w:rPr>
          <w:rFonts w:hint="eastAsia" w:ascii="宋体" w:hAnsi="宋体"/>
          <w:bCs/>
          <w:color w:val="auto"/>
          <w:sz w:val="28"/>
        </w:rPr>
      </w:pPr>
    </w:p>
    <w:p w14:paraId="36640514">
      <w:pPr>
        <w:jc w:val="center"/>
        <w:rPr>
          <w:rFonts w:hint="eastAsia" w:ascii="宋体" w:hAnsi="宋体"/>
          <w:bCs/>
          <w:color w:val="auto"/>
          <w:sz w:val="28"/>
        </w:rPr>
      </w:pPr>
    </w:p>
    <w:p w14:paraId="31D44604">
      <w:pPr>
        <w:jc w:val="center"/>
        <w:rPr>
          <w:rFonts w:hint="eastAsia" w:ascii="宋体" w:hAnsi="宋体"/>
          <w:color w:val="auto"/>
          <w:sz w:val="28"/>
          <w:szCs w:val="28"/>
        </w:rPr>
      </w:pPr>
    </w:p>
    <w:p w14:paraId="33BB171B">
      <w:pPr>
        <w:jc w:val="both"/>
        <w:rPr>
          <w:rFonts w:hint="eastAsia" w:ascii="宋体" w:hAnsi="宋体"/>
          <w:color w:val="auto"/>
          <w:sz w:val="28"/>
          <w:szCs w:val="28"/>
        </w:rPr>
      </w:pPr>
    </w:p>
    <w:tbl>
      <w:tblPr>
        <w:tblStyle w:val="23"/>
        <w:tblW w:w="0" w:type="auto"/>
        <w:jc w:val="center"/>
        <w:tblLayout w:type="fixed"/>
        <w:tblCellMar>
          <w:top w:w="0" w:type="dxa"/>
          <w:left w:w="75" w:type="dxa"/>
          <w:bottom w:w="0" w:type="dxa"/>
          <w:right w:w="75" w:type="dxa"/>
        </w:tblCellMar>
      </w:tblPr>
      <w:tblGrid>
        <w:gridCol w:w="3481"/>
        <w:gridCol w:w="479"/>
      </w:tblGrid>
      <w:tr w14:paraId="7A823C73">
        <w:tblPrEx>
          <w:tblCellMar>
            <w:top w:w="0" w:type="dxa"/>
            <w:left w:w="75" w:type="dxa"/>
            <w:bottom w:w="0" w:type="dxa"/>
            <w:right w:w="75" w:type="dxa"/>
          </w:tblCellMar>
        </w:tblPrEx>
        <w:trPr>
          <w:cantSplit/>
          <w:trHeight w:val="766" w:hRule="atLeast"/>
          <w:jc w:val="center"/>
        </w:trPr>
        <w:tc>
          <w:tcPr>
            <w:tcW w:w="3481" w:type="dxa"/>
            <w:noWrap w:val="0"/>
            <w:vAlign w:val="center"/>
          </w:tcPr>
          <w:p w14:paraId="4104D6B8">
            <w:pPr>
              <w:rPr>
                <w:rFonts w:ascii="宋体"/>
                <w:color w:val="auto"/>
                <w:sz w:val="28"/>
                <w:szCs w:val="28"/>
              </w:rPr>
            </w:pPr>
            <w:r>
              <w:rPr>
                <w:rFonts w:hint="eastAsia" w:ascii="宋体"/>
                <w:color w:val="auto"/>
                <w:sz w:val="28"/>
                <w:szCs w:val="28"/>
              </w:rPr>
              <w:t>中华人民共和国建设部</w:t>
            </w:r>
          </w:p>
        </w:tc>
        <w:tc>
          <w:tcPr>
            <w:tcW w:w="479" w:type="dxa"/>
            <w:vMerge w:val="restart"/>
            <w:noWrap w:val="0"/>
            <w:vAlign w:val="center"/>
          </w:tcPr>
          <w:p w14:paraId="1CDAE1A5">
            <w:pPr>
              <w:rPr>
                <w:rFonts w:ascii="宋体"/>
                <w:color w:val="auto"/>
                <w:sz w:val="28"/>
                <w:szCs w:val="28"/>
              </w:rPr>
            </w:pPr>
            <w:r>
              <w:rPr>
                <w:rFonts w:hint="eastAsia" w:ascii="宋体"/>
                <w:color w:val="auto"/>
                <w:sz w:val="28"/>
                <w:szCs w:val="28"/>
              </w:rPr>
              <w:t>制定</w:t>
            </w:r>
          </w:p>
        </w:tc>
      </w:tr>
      <w:tr w14:paraId="4DCE6ED2">
        <w:tblPrEx>
          <w:tblCellMar>
            <w:top w:w="0" w:type="dxa"/>
            <w:left w:w="75" w:type="dxa"/>
            <w:bottom w:w="0" w:type="dxa"/>
            <w:right w:w="75" w:type="dxa"/>
          </w:tblCellMar>
        </w:tblPrEx>
        <w:trPr>
          <w:cantSplit/>
          <w:jc w:val="center"/>
        </w:trPr>
        <w:tc>
          <w:tcPr>
            <w:tcW w:w="3481" w:type="dxa"/>
            <w:noWrap w:val="0"/>
            <w:vAlign w:val="center"/>
          </w:tcPr>
          <w:p w14:paraId="79863DF2">
            <w:pPr>
              <w:rPr>
                <w:rFonts w:ascii="宋体"/>
                <w:color w:val="auto"/>
                <w:sz w:val="28"/>
                <w:szCs w:val="28"/>
              </w:rPr>
            </w:pPr>
            <w:r>
              <w:rPr>
                <w:rFonts w:hint="eastAsia" w:ascii="宋体"/>
                <w:color w:val="auto"/>
                <w:sz w:val="28"/>
                <w:szCs w:val="28"/>
              </w:rPr>
              <w:t>国家工商行政管理局</w:t>
            </w:r>
          </w:p>
        </w:tc>
        <w:tc>
          <w:tcPr>
            <w:tcW w:w="479" w:type="dxa"/>
            <w:vMerge w:val="continue"/>
            <w:noWrap w:val="0"/>
            <w:vAlign w:val="center"/>
          </w:tcPr>
          <w:p w14:paraId="5A8B1A64">
            <w:pPr>
              <w:widowControl/>
              <w:jc w:val="left"/>
              <w:rPr>
                <w:rFonts w:ascii="宋体"/>
                <w:color w:val="auto"/>
                <w:sz w:val="28"/>
                <w:szCs w:val="28"/>
              </w:rPr>
            </w:pPr>
          </w:p>
        </w:tc>
      </w:tr>
    </w:tbl>
    <w:p w14:paraId="1696D0DD">
      <w:pPr>
        <w:pStyle w:val="56"/>
        <w:pageBreakBefore w:val="0"/>
        <w:kinsoku/>
        <w:wordWrap/>
        <w:overflowPunct/>
        <w:topLinePunct w:val="0"/>
        <w:bidi w:val="0"/>
        <w:adjustRightInd w:val="0"/>
        <w:snapToGrid w:val="0"/>
        <w:spacing w:before="0" w:after="0" w:line="360" w:lineRule="auto"/>
        <w:ind w:left="0" w:leftChars="0" w:right="0" w:rightChars="0"/>
        <w:jc w:val="center"/>
        <w:textAlignment w:val="auto"/>
        <w:outlineLvl w:val="0"/>
        <w:rPr>
          <w:rFonts w:ascii="宋体" w:hAnsi="宋体" w:eastAsia="宋体" w:cs="宋体"/>
          <w:b/>
          <w:bCs/>
          <w:color w:val="000000"/>
          <w:kern w:val="0"/>
          <w:sz w:val="18"/>
          <w:highlight w:val="none"/>
          <w:lang w:val="zh-CN"/>
        </w:rPr>
      </w:pPr>
      <w:r>
        <w:rPr>
          <w:rFonts w:ascii="宋体" w:hAnsi="宋体" w:eastAsia="宋体"/>
          <w:bCs w:val="0"/>
          <w:color w:val="000000"/>
          <w:highlight w:val="none"/>
        </w:rPr>
        <w:br w:type="page"/>
      </w:r>
      <w:bookmarkStart w:id="473" w:name="_Toc1597"/>
      <w:bookmarkStart w:id="474" w:name="_Toc1308"/>
      <w:r>
        <w:rPr>
          <w:rFonts w:hint="eastAsia" w:ascii="华文中宋" w:hAnsi="华文中宋" w:eastAsia="华文中宋" w:cs="Times New Roman"/>
          <w:b/>
          <w:bCs/>
          <w:color w:val="000000"/>
          <w:kern w:val="44"/>
          <w:sz w:val="28"/>
          <w:szCs w:val="48"/>
          <w:highlight w:val="none"/>
          <w:lang w:val="zh-CN"/>
        </w:rPr>
        <w:t>第一部分</w:t>
      </w:r>
      <w:r>
        <w:rPr>
          <w:rFonts w:ascii="华文中宋" w:hAnsi="华文中宋" w:eastAsia="华文中宋" w:cs="Times New Roman"/>
          <w:b/>
          <w:bCs/>
          <w:color w:val="000000"/>
          <w:kern w:val="44"/>
          <w:sz w:val="28"/>
          <w:szCs w:val="48"/>
          <w:highlight w:val="none"/>
          <w:lang w:val="zh-CN"/>
        </w:rPr>
        <w:t xml:space="preserve"> </w:t>
      </w:r>
      <w:r>
        <w:rPr>
          <w:rFonts w:hint="eastAsia" w:ascii="华文中宋" w:hAnsi="华文中宋" w:eastAsia="华文中宋" w:cs="Times New Roman"/>
          <w:b/>
          <w:bCs/>
          <w:color w:val="000000"/>
          <w:kern w:val="44"/>
          <w:sz w:val="28"/>
          <w:szCs w:val="48"/>
          <w:highlight w:val="none"/>
          <w:lang w:val="zh-CN"/>
        </w:rPr>
        <w:t>合同协议书</w:t>
      </w:r>
      <w:bookmarkEnd w:id="473"/>
      <w:bookmarkEnd w:id="474"/>
    </w:p>
    <w:p w14:paraId="2EDE90A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b/>
          <w:bCs/>
          <w:color w:val="000000"/>
          <w:highlight w:val="none"/>
        </w:rPr>
      </w:pPr>
      <w:r>
        <w:rPr>
          <w:rFonts w:hint="eastAsia"/>
          <w:b/>
          <w:bCs/>
          <w:color w:val="000000"/>
          <w:highlight w:val="none"/>
        </w:rPr>
        <w:t>（本合同条款及格式供参考，以实际签订为准）</w:t>
      </w:r>
    </w:p>
    <w:p w14:paraId="4AE3B6FE">
      <w:pPr>
        <w:pStyle w:val="4"/>
        <w:jc w:val="center"/>
        <w:rPr>
          <w:rFonts w:hint="eastAsia" w:ascii="宋体" w:hAnsi="宋体" w:eastAsia="宋体" w:cs="宋体"/>
          <w:b w:val="0"/>
          <w:color w:val="auto"/>
          <w:sz w:val="24"/>
          <w:szCs w:val="24"/>
        </w:rPr>
      </w:pPr>
      <w:r>
        <w:rPr>
          <w:rFonts w:hint="eastAsia" w:ascii="宋体" w:hAnsi="宋体" w:eastAsia="宋体" w:cs="宋体"/>
          <w:color w:val="auto"/>
          <w:sz w:val="24"/>
          <w:szCs w:val="24"/>
        </w:rPr>
        <w:t>第一部分 合同协议书</w:t>
      </w:r>
    </w:p>
    <w:p w14:paraId="73C3BFCE">
      <w:pPr>
        <w:spacing w:line="360" w:lineRule="auto"/>
        <w:rPr>
          <w:rFonts w:hint="eastAsia" w:ascii="宋体" w:hAnsi="宋体" w:eastAsia="宋体" w:cs="宋体"/>
          <w:b/>
          <w:color w:val="auto"/>
          <w:sz w:val="24"/>
          <w:szCs w:val="24"/>
          <w:u w:val="single"/>
        </w:rPr>
      </w:pPr>
      <w:r>
        <w:rPr>
          <w:rFonts w:hint="eastAsia" w:ascii="宋体" w:hAnsi="宋体" w:eastAsia="宋体" w:cs="宋体"/>
          <w:b/>
          <w:color w:val="auto"/>
          <w:sz w:val="24"/>
          <w:szCs w:val="24"/>
        </w:rPr>
        <w:t>发包人（全称）：</w:t>
      </w:r>
      <w:r>
        <w:rPr>
          <w:rFonts w:hint="eastAsia" w:ascii="宋体" w:hAnsi="宋体" w:eastAsia="宋体" w:cs="宋体"/>
          <w:b/>
          <w:color w:val="auto"/>
          <w:sz w:val="24"/>
          <w:szCs w:val="24"/>
          <w:u w:val="single"/>
        </w:rPr>
        <w:t>                       </w:t>
      </w:r>
    </w:p>
    <w:p w14:paraId="6092432F">
      <w:pPr>
        <w:spacing w:line="360" w:lineRule="auto"/>
        <w:rPr>
          <w:rFonts w:hint="eastAsia" w:ascii="宋体" w:hAnsi="宋体" w:eastAsia="宋体" w:cs="宋体"/>
          <w:b/>
          <w:color w:val="auto"/>
          <w:sz w:val="24"/>
          <w:szCs w:val="24"/>
          <w:u w:val="single"/>
        </w:rPr>
      </w:pPr>
      <w:r>
        <w:rPr>
          <w:rFonts w:hint="eastAsia" w:ascii="宋体" w:hAnsi="宋体" w:eastAsia="宋体" w:cs="宋体"/>
          <w:b/>
          <w:color w:val="auto"/>
          <w:sz w:val="24"/>
          <w:szCs w:val="24"/>
        </w:rPr>
        <w:t>承包人（全称）：</w:t>
      </w:r>
      <w:r>
        <w:rPr>
          <w:rFonts w:hint="eastAsia" w:ascii="宋体" w:hAnsi="宋体" w:eastAsia="宋体" w:cs="宋体"/>
          <w:b/>
          <w:color w:val="auto"/>
          <w:sz w:val="24"/>
          <w:szCs w:val="24"/>
          <w:u w:val="single"/>
        </w:rPr>
        <w:t>                      </w:t>
      </w:r>
    </w:p>
    <w:p w14:paraId="2D76D89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根据《中华人民共和国</w:t>
      </w:r>
      <w:r>
        <w:rPr>
          <w:rFonts w:hint="eastAsia" w:ascii="宋体" w:hAnsi="宋体" w:eastAsia="宋体" w:cs="宋体"/>
          <w:color w:val="auto"/>
          <w:sz w:val="24"/>
          <w:szCs w:val="24"/>
          <w:lang w:val="en-US" w:eastAsia="zh-CN"/>
        </w:rPr>
        <w:t>民法典</w:t>
      </w:r>
      <w:r>
        <w:rPr>
          <w:rFonts w:hint="eastAsia" w:ascii="宋体" w:hAnsi="宋体" w:eastAsia="宋体" w:cs="宋体"/>
          <w:color w:val="auto"/>
          <w:sz w:val="24"/>
          <w:szCs w:val="24"/>
        </w:rPr>
        <w:t>》、《中华人民共和国建筑法》及有关法律规定，遵循平等、自愿、公平和诚实信用的原则，双方就</w:t>
      </w:r>
    </w:p>
    <w:p w14:paraId="39192DC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工程施工及有关事项协商一致，共同达成如下协议：</w:t>
      </w:r>
    </w:p>
    <w:p w14:paraId="74B728DF">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bCs w:val="0"/>
          <w:color w:val="auto"/>
          <w:sz w:val="24"/>
          <w:szCs w:val="24"/>
        </w:rPr>
        <w:t xml:space="preserve"> </w:t>
      </w:r>
      <w:bookmarkStart w:id="475" w:name="_Toc351203481"/>
      <w:r>
        <w:rPr>
          <w:rFonts w:hint="eastAsia" w:ascii="宋体" w:hAnsi="宋体" w:eastAsia="宋体" w:cs="宋体"/>
          <w:b/>
          <w:bCs w:val="0"/>
          <w:color w:val="auto"/>
          <w:sz w:val="24"/>
          <w:szCs w:val="24"/>
        </w:rPr>
        <w:t>一、工程概况</w:t>
      </w:r>
      <w:bookmarkEnd w:id="475"/>
    </w:p>
    <w:p w14:paraId="3491A3F8">
      <w:pPr>
        <w:spacing w:line="360" w:lineRule="auto"/>
        <w:ind w:firstLine="470" w:firstLineChars="196"/>
        <w:rPr>
          <w:rFonts w:hint="eastAsia" w:ascii="宋体" w:hAnsi="宋体" w:eastAsia="宋体" w:cs="宋体"/>
          <w:color w:val="auto"/>
          <w:sz w:val="24"/>
          <w:szCs w:val="24"/>
          <w:u w:val="single"/>
        </w:rPr>
      </w:pPr>
      <w:r>
        <w:rPr>
          <w:rFonts w:hint="eastAsia" w:ascii="宋体" w:hAnsi="宋体" w:eastAsia="宋体" w:cs="宋体"/>
          <w:bCs/>
          <w:color w:val="auto"/>
          <w:sz w:val="24"/>
          <w:szCs w:val="24"/>
        </w:rPr>
        <w:t>1.工程名称</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3E83D5E4">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2.工程地点：</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32E243AD">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3.工程立项批准文号：</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1096A0A0">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4.资金来源：</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6B27FBB5">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5.工程内容：</w:t>
      </w:r>
      <w:r>
        <w:rPr>
          <w:rFonts w:hint="eastAsia" w:ascii="宋体" w:hAnsi="宋体" w:eastAsia="宋体" w:cs="宋体"/>
          <w:color w:val="auto"/>
          <w:sz w:val="24"/>
          <w:szCs w:val="24"/>
          <w:u w:val="single"/>
        </w:rPr>
        <w:t xml:space="preserve">       </w:t>
      </w:r>
      <w:r>
        <w:rPr>
          <w:rFonts w:hint="eastAsia" w:ascii="宋体" w:hAnsi="宋体" w:eastAsia="宋体" w:cs="宋体"/>
          <w:bCs/>
          <w:color w:val="auto"/>
          <w:sz w:val="24"/>
          <w:szCs w:val="24"/>
        </w:rPr>
        <w:t>。</w:t>
      </w:r>
    </w:p>
    <w:p w14:paraId="2A807238">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color w:val="auto"/>
          <w:sz w:val="24"/>
          <w:szCs w:val="24"/>
        </w:rPr>
        <w:t>群体工程应附《承包人承揽工程项目一览表》（附件1）。</w:t>
      </w:r>
    </w:p>
    <w:p w14:paraId="32E797FE">
      <w:pPr>
        <w:spacing w:line="360" w:lineRule="auto"/>
        <w:ind w:firstLine="470" w:firstLineChars="196"/>
        <w:rPr>
          <w:rFonts w:hint="eastAsia" w:ascii="宋体" w:hAnsi="宋体" w:eastAsia="宋体" w:cs="宋体"/>
          <w:bCs/>
          <w:color w:val="auto"/>
          <w:sz w:val="24"/>
          <w:szCs w:val="24"/>
        </w:rPr>
      </w:pPr>
      <w:r>
        <w:rPr>
          <w:rFonts w:hint="eastAsia" w:ascii="宋体" w:hAnsi="宋体" w:eastAsia="宋体" w:cs="宋体"/>
          <w:bCs/>
          <w:color w:val="auto"/>
          <w:sz w:val="24"/>
          <w:szCs w:val="24"/>
        </w:rPr>
        <w:t>6.工程承包范围：</w:t>
      </w:r>
    </w:p>
    <w:p w14:paraId="642DDDB6">
      <w:pPr>
        <w:spacing w:line="360" w:lineRule="auto"/>
        <w:ind w:firstLine="463" w:firstLineChars="193"/>
        <w:rPr>
          <w:rFonts w:hint="eastAsia" w:ascii="宋体" w:hAnsi="宋体" w:eastAsia="宋体" w:cs="宋体"/>
          <w:color w:val="auto"/>
          <w:sz w:val="24"/>
          <w:szCs w:val="24"/>
        </w:rPr>
      </w:pPr>
      <w:r>
        <w:rPr>
          <w:rFonts w:hint="eastAsia" w:ascii="宋体" w:hAnsi="宋体" w:eastAsia="宋体" w:cs="宋体"/>
          <w:color w:val="auto"/>
          <w:sz w:val="24"/>
          <w:szCs w:val="24"/>
          <w:u w:val="single"/>
        </w:rPr>
        <w:t>   </w:t>
      </w:r>
    </w:p>
    <w:p w14:paraId="769705B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F040AE4">
      <w:pPr>
        <w:pStyle w:val="5"/>
        <w:spacing w:before="120" w:after="120" w:line="360" w:lineRule="auto"/>
        <w:rPr>
          <w:rFonts w:hint="eastAsia" w:ascii="宋体" w:hAnsi="宋体" w:eastAsia="宋体" w:cs="宋体"/>
          <w:b w:val="0"/>
          <w:color w:val="auto"/>
          <w:sz w:val="24"/>
          <w:szCs w:val="24"/>
        </w:rPr>
      </w:pPr>
      <w:r>
        <w:rPr>
          <w:rFonts w:hint="eastAsia" w:ascii="宋体" w:hAnsi="宋体" w:eastAsia="宋体" w:cs="宋体"/>
          <w:b w:val="0"/>
          <w:color w:val="auto"/>
          <w:sz w:val="24"/>
          <w:szCs w:val="24"/>
        </w:rPr>
        <w:t xml:space="preserve">   </w:t>
      </w:r>
      <w:bookmarkStart w:id="476" w:name="_Toc351203482"/>
      <w:r>
        <w:rPr>
          <w:rFonts w:hint="eastAsia" w:ascii="宋体" w:hAnsi="宋体" w:eastAsia="宋体" w:cs="宋体"/>
          <w:b/>
          <w:bCs w:val="0"/>
          <w:color w:val="auto"/>
          <w:sz w:val="24"/>
          <w:szCs w:val="24"/>
        </w:rPr>
        <w:t>二、合同工期</w:t>
      </w:r>
      <w:bookmarkEnd w:id="476"/>
    </w:p>
    <w:p w14:paraId="691AF828">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计划开工日期：</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日。</w:t>
      </w:r>
    </w:p>
    <w:p w14:paraId="4EAA2EFC">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计划竣工日期：</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日。</w:t>
      </w:r>
    </w:p>
    <w:p w14:paraId="7BD240AE">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工期总日历天数：</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天。工期总日历天数与根据前述计划开竣工日期计算的工期天数不一致的，以工期总日历天数为准。</w:t>
      </w:r>
    </w:p>
    <w:p w14:paraId="333EFF83">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bCs w:val="0"/>
          <w:color w:val="auto"/>
          <w:sz w:val="24"/>
          <w:szCs w:val="24"/>
        </w:rPr>
        <w:t xml:space="preserve"> </w:t>
      </w:r>
      <w:bookmarkStart w:id="477" w:name="_Toc351203483"/>
      <w:r>
        <w:rPr>
          <w:rFonts w:hint="eastAsia" w:ascii="宋体" w:hAnsi="宋体" w:eastAsia="宋体" w:cs="宋体"/>
          <w:b/>
          <w:bCs w:val="0"/>
          <w:color w:val="auto"/>
          <w:sz w:val="24"/>
          <w:szCs w:val="24"/>
        </w:rPr>
        <w:t>三、质量标准</w:t>
      </w:r>
      <w:bookmarkEnd w:id="477"/>
    </w:p>
    <w:p w14:paraId="3FF6698C">
      <w:pPr>
        <w:spacing w:line="360" w:lineRule="auto"/>
        <w:ind w:firstLine="459"/>
        <w:rPr>
          <w:rFonts w:hint="eastAsia" w:ascii="宋体" w:hAnsi="宋体" w:eastAsia="宋体" w:cs="宋体"/>
          <w:color w:val="auto"/>
          <w:sz w:val="24"/>
          <w:szCs w:val="24"/>
        </w:rPr>
      </w:pPr>
      <w:r>
        <w:rPr>
          <w:rFonts w:hint="eastAsia" w:ascii="宋体" w:hAnsi="宋体" w:eastAsia="宋体" w:cs="宋体"/>
          <w:color w:val="auto"/>
          <w:sz w:val="24"/>
          <w:szCs w:val="24"/>
        </w:rPr>
        <w:t>工程质量符合</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标准。</w:t>
      </w:r>
    </w:p>
    <w:p w14:paraId="55F234BC">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bCs w:val="0"/>
          <w:color w:val="auto"/>
          <w:sz w:val="24"/>
          <w:szCs w:val="24"/>
        </w:rPr>
        <w:t xml:space="preserve"> </w:t>
      </w:r>
      <w:bookmarkStart w:id="478" w:name="_Toc351203484"/>
      <w:r>
        <w:rPr>
          <w:rFonts w:hint="eastAsia" w:ascii="宋体" w:hAnsi="宋体" w:eastAsia="宋体" w:cs="宋体"/>
          <w:b/>
          <w:bCs w:val="0"/>
          <w:color w:val="auto"/>
          <w:sz w:val="24"/>
          <w:szCs w:val="24"/>
        </w:rPr>
        <w:t>四、签约合同价与合同价格形式</w:t>
      </w:r>
      <w:bookmarkEnd w:id="478"/>
      <w:r>
        <w:rPr>
          <w:rFonts w:hint="eastAsia" w:ascii="宋体" w:hAnsi="宋体" w:eastAsia="宋体" w:cs="宋体"/>
          <w:b w:val="0"/>
          <w:color w:val="auto"/>
          <w:sz w:val="24"/>
          <w:szCs w:val="24"/>
        </w:rPr>
        <w:tab/>
      </w:r>
    </w:p>
    <w:p w14:paraId="652DCAA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1.签约合同价为：</w:t>
      </w:r>
    </w:p>
    <w:p w14:paraId="6DD4BD8E">
      <w:pPr>
        <w:spacing w:line="360" w:lineRule="auto"/>
        <w:ind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79847F8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其中：</w:t>
      </w:r>
    </w:p>
    <w:p w14:paraId="220ADC6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（1）安全文明施工费：</w:t>
      </w:r>
    </w:p>
    <w:p w14:paraId="38135160">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6A0D276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（2）材料和工程设备暂估价金额：</w:t>
      </w:r>
    </w:p>
    <w:p w14:paraId="210B2863">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6E61F85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（3）专业工程暂估价金额：</w:t>
      </w:r>
    </w:p>
    <w:p w14:paraId="44560568">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7280B47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（4）暂列金额：</w:t>
      </w:r>
    </w:p>
    <w:p w14:paraId="7FEA5B86">
      <w:pPr>
        <w:spacing w:line="360" w:lineRule="auto"/>
        <w:ind w:firstLine="1080" w:firstLineChars="450"/>
        <w:rPr>
          <w:rFonts w:hint="eastAsia" w:ascii="宋体" w:hAnsi="宋体" w:eastAsia="宋体" w:cs="宋体"/>
          <w:color w:val="auto"/>
          <w:sz w:val="24"/>
          <w:szCs w:val="24"/>
        </w:rPr>
      </w:pPr>
      <w:r>
        <w:rPr>
          <w:rFonts w:hint="eastAsia" w:ascii="宋体" w:hAnsi="宋体" w:eastAsia="宋体" w:cs="宋体"/>
          <w:color w:val="auto"/>
          <w:sz w:val="24"/>
          <w:szCs w:val="24"/>
        </w:rPr>
        <w:t>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p>
    <w:p w14:paraId="0830815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2.合同价格形式：</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29E6B893">
      <w:pPr>
        <w:pStyle w:val="5"/>
        <w:spacing w:before="120" w:after="120" w:line="360" w:lineRule="auto"/>
        <w:rPr>
          <w:rFonts w:hint="eastAsia" w:ascii="宋体" w:hAnsi="宋体" w:eastAsia="宋体" w:cs="宋体"/>
          <w:b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479" w:name="_Toc351203485"/>
      <w:r>
        <w:rPr>
          <w:rFonts w:hint="eastAsia" w:ascii="宋体" w:hAnsi="宋体" w:eastAsia="宋体" w:cs="宋体"/>
          <w:b/>
          <w:bCs w:val="0"/>
          <w:color w:val="auto"/>
          <w:sz w:val="24"/>
          <w:szCs w:val="24"/>
        </w:rPr>
        <w:t>五、</w:t>
      </w:r>
      <w:bookmarkEnd w:id="479"/>
      <w:r>
        <w:rPr>
          <w:rFonts w:hint="eastAsia" w:ascii="宋体" w:hAnsi="宋体" w:eastAsia="宋体" w:cs="宋体"/>
          <w:b/>
          <w:bCs w:val="0"/>
          <w:color w:val="auto"/>
          <w:sz w:val="24"/>
          <w:szCs w:val="24"/>
        </w:rPr>
        <w:t>项目经理</w:t>
      </w:r>
    </w:p>
    <w:p w14:paraId="345E5DF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承包人项目经理：</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A740D63">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480" w:name="_Toc351203486"/>
      <w:r>
        <w:rPr>
          <w:rFonts w:hint="eastAsia" w:ascii="宋体" w:hAnsi="宋体" w:eastAsia="宋体" w:cs="宋体"/>
          <w:b/>
          <w:bCs w:val="0"/>
          <w:color w:val="auto"/>
          <w:sz w:val="24"/>
          <w:szCs w:val="24"/>
        </w:rPr>
        <w:t>六、合同文件构成</w:t>
      </w:r>
      <w:bookmarkEnd w:id="480"/>
    </w:p>
    <w:p w14:paraId="704F9E6F">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本协议书与下列文件一起构成合同文件：</w:t>
      </w:r>
    </w:p>
    <w:p w14:paraId="417E9F1A">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（1）中标通知书（如果有）；</w:t>
      </w:r>
    </w:p>
    <w:p w14:paraId="32D288B9">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（2）投标函及其附录（如果有）； </w:t>
      </w:r>
    </w:p>
    <w:p w14:paraId="326E9419">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（3）专用合同条款及其附件；</w:t>
      </w:r>
    </w:p>
    <w:p w14:paraId="5ADFFF6E">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（4）通用合同条款；</w:t>
      </w:r>
    </w:p>
    <w:p w14:paraId="60852998">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（5）技术标准和要求；</w:t>
      </w:r>
    </w:p>
    <w:p w14:paraId="65E37A83">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（6）图纸；</w:t>
      </w:r>
    </w:p>
    <w:p w14:paraId="76B0E7B6">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（7）已标价工程量清单或预算书；</w:t>
      </w:r>
    </w:p>
    <w:p w14:paraId="3F225C40">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（8）其他合同文件。</w:t>
      </w:r>
    </w:p>
    <w:p w14:paraId="3B388B24">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在合同订立及履行过程中形成的与合同有关的文件均构成合同文件组成部分。</w:t>
      </w:r>
    </w:p>
    <w:p w14:paraId="23913598">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上述各项合同文件包括合同当事人就该项合同文件所作出的补充和修改，属于同一类内容的文件，应以最新签署的为准。专用合同条款及其附件须经合同当事人签字或盖章。</w:t>
      </w:r>
    </w:p>
    <w:p w14:paraId="31FA14F7">
      <w:pPr>
        <w:pStyle w:val="5"/>
        <w:spacing w:before="120" w:after="120" w:line="36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   </w:t>
      </w:r>
      <w:r>
        <w:rPr>
          <w:rFonts w:hint="eastAsia" w:ascii="宋体" w:hAnsi="宋体" w:eastAsia="宋体" w:cs="宋体"/>
          <w:b w:val="0"/>
          <w:color w:val="auto"/>
          <w:sz w:val="24"/>
          <w:szCs w:val="24"/>
        </w:rPr>
        <w:t xml:space="preserve"> </w:t>
      </w:r>
      <w:bookmarkStart w:id="481" w:name="_Toc351203487"/>
      <w:r>
        <w:rPr>
          <w:rFonts w:hint="eastAsia" w:ascii="宋体" w:hAnsi="宋体" w:eastAsia="宋体" w:cs="宋体"/>
          <w:b/>
          <w:bCs w:val="0"/>
          <w:color w:val="auto"/>
          <w:sz w:val="24"/>
          <w:szCs w:val="24"/>
        </w:rPr>
        <w:t>七、承诺</w:t>
      </w:r>
      <w:bookmarkEnd w:id="481"/>
    </w:p>
    <w:p w14:paraId="519EF7C3">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1.发包人承诺按照法律规定履行项目审批手续、筹集工程建设资金并按照合同约定的期限和方式支付合同价款。</w:t>
      </w:r>
    </w:p>
    <w:p w14:paraId="6B0C7EDA">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2.承包人承诺按照法律规定及合同约定组织完成工程施工，确保工程质量和安全，不进行转包及违法分包，并在缺陷责任期及保修期内承担相应的工程维修责任。</w:t>
      </w:r>
    </w:p>
    <w:p w14:paraId="568DD0E7">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3.发包人和承包人通过招投标形式签订合同的，双方理解并承诺不再就同一工程另行签订与合同实质性内容相背离的协议。</w:t>
      </w:r>
    </w:p>
    <w:p w14:paraId="43F23150">
      <w:pPr>
        <w:spacing w:line="360" w:lineRule="auto"/>
        <w:rPr>
          <w:rFonts w:hint="eastAsia" w:ascii="宋体" w:hAnsi="宋体" w:eastAsia="宋体" w:cs="宋体"/>
          <w:bCs/>
          <w:color w:val="auto"/>
          <w:sz w:val="24"/>
          <w:szCs w:val="24"/>
        </w:rPr>
      </w:pPr>
      <w:bookmarkStart w:id="482" w:name="_Toc351203488"/>
      <w:r>
        <w:rPr>
          <w:rFonts w:hint="eastAsia" w:ascii="宋体" w:hAnsi="宋体" w:eastAsia="宋体" w:cs="宋体"/>
          <w:b/>
          <w:color w:val="auto"/>
          <w:sz w:val="24"/>
          <w:szCs w:val="24"/>
        </w:rPr>
        <w:t xml:space="preserve">    八、词语含义</w:t>
      </w:r>
      <w:bookmarkEnd w:id="482"/>
    </w:p>
    <w:p w14:paraId="42B5F6B1">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本协议书中词语含义与第二部分通用合同条款中赋予的含义相同。</w:t>
      </w:r>
    </w:p>
    <w:p w14:paraId="7F144D8E">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color w:val="auto"/>
          <w:sz w:val="24"/>
          <w:szCs w:val="24"/>
        </w:rPr>
        <w:t xml:space="preserve">  </w:t>
      </w:r>
      <w:bookmarkStart w:id="483" w:name="_Toc351203489"/>
      <w:r>
        <w:rPr>
          <w:rFonts w:hint="eastAsia" w:ascii="宋体" w:hAnsi="宋体" w:eastAsia="宋体" w:cs="宋体"/>
          <w:b/>
          <w:bCs w:val="0"/>
          <w:color w:val="auto"/>
          <w:sz w:val="24"/>
          <w:szCs w:val="24"/>
        </w:rPr>
        <w:t>九、签订时间</w:t>
      </w:r>
      <w:bookmarkEnd w:id="483"/>
    </w:p>
    <w:p w14:paraId="5AEFBC4F">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本合同于</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年</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月</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日签订。</w:t>
      </w:r>
    </w:p>
    <w:p w14:paraId="5BDA929D">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484" w:name="_Toc351203490"/>
      <w:r>
        <w:rPr>
          <w:rFonts w:hint="eastAsia" w:ascii="宋体" w:hAnsi="宋体" w:eastAsia="宋体" w:cs="宋体"/>
          <w:b/>
          <w:bCs w:val="0"/>
          <w:color w:val="auto"/>
          <w:sz w:val="24"/>
          <w:szCs w:val="24"/>
        </w:rPr>
        <w:t>十、签订地点</w:t>
      </w:r>
      <w:bookmarkEnd w:id="484"/>
    </w:p>
    <w:p w14:paraId="4D888840">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本合同在</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签订。</w:t>
      </w:r>
    </w:p>
    <w:p w14:paraId="2788A18E">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485" w:name="_Toc351203491"/>
      <w:r>
        <w:rPr>
          <w:rFonts w:hint="eastAsia" w:ascii="宋体" w:hAnsi="宋体" w:eastAsia="宋体" w:cs="宋体"/>
          <w:b/>
          <w:bCs w:val="0"/>
          <w:color w:val="auto"/>
          <w:sz w:val="24"/>
          <w:szCs w:val="24"/>
        </w:rPr>
        <w:t>十一、补充协议</w:t>
      </w:r>
      <w:bookmarkEnd w:id="485"/>
    </w:p>
    <w:p w14:paraId="180B2B10">
      <w:pPr>
        <w:spacing w:line="360" w:lineRule="auto"/>
        <w:ind w:firstLine="480" w:firstLineChars="200"/>
        <w:rPr>
          <w:rFonts w:hint="eastAsia" w:ascii="宋体" w:hAnsi="宋体" w:eastAsia="宋体" w:cs="宋体"/>
          <w:b/>
          <w:bCs/>
          <w:color w:val="auto"/>
          <w:sz w:val="24"/>
          <w:szCs w:val="24"/>
        </w:rPr>
      </w:pPr>
      <w:r>
        <w:rPr>
          <w:rFonts w:hint="eastAsia" w:ascii="宋体" w:hAnsi="宋体" w:eastAsia="宋体" w:cs="宋体"/>
          <w:bCs/>
          <w:color w:val="auto"/>
          <w:sz w:val="24"/>
          <w:szCs w:val="24"/>
        </w:rPr>
        <w:t>合同未尽事宜，合同当事人另行签订补充协议，补充协议是合同的组成部分。</w:t>
      </w:r>
    </w:p>
    <w:p w14:paraId="2AFD85BD">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bookmarkStart w:id="486" w:name="_Toc351203492"/>
      <w:r>
        <w:rPr>
          <w:rFonts w:hint="eastAsia" w:ascii="宋体" w:hAnsi="宋体" w:eastAsia="宋体" w:cs="宋体"/>
          <w:b/>
          <w:bCs w:val="0"/>
          <w:color w:val="auto"/>
          <w:sz w:val="24"/>
          <w:szCs w:val="24"/>
        </w:rPr>
        <w:t>十二、合同生效</w:t>
      </w:r>
      <w:bookmarkEnd w:id="486"/>
    </w:p>
    <w:p w14:paraId="67AFEE76">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本合同自</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生效。</w:t>
      </w:r>
    </w:p>
    <w:p w14:paraId="21A85397">
      <w:pPr>
        <w:pStyle w:val="5"/>
        <w:spacing w:before="120" w:after="12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 xml:space="preserve">   </w:t>
      </w:r>
      <w:r>
        <w:rPr>
          <w:rFonts w:hint="eastAsia" w:ascii="宋体" w:hAnsi="宋体" w:eastAsia="宋体" w:cs="宋体"/>
          <w:b w:val="0"/>
          <w:bCs/>
          <w:color w:val="auto"/>
          <w:sz w:val="24"/>
          <w:szCs w:val="24"/>
        </w:rPr>
        <w:t xml:space="preserve"> </w:t>
      </w:r>
      <w:bookmarkStart w:id="487" w:name="_Toc351203493"/>
      <w:r>
        <w:rPr>
          <w:rFonts w:hint="eastAsia" w:ascii="宋体" w:hAnsi="宋体" w:eastAsia="宋体" w:cs="宋体"/>
          <w:b/>
          <w:bCs w:val="0"/>
          <w:color w:val="auto"/>
          <w:sz w:val="24"/>
          <w:szCs w:val="24"/>
        </w:rPr>
        <w:t>十三、合同份数</w:t>
      </w:r>
      <w:bookmarkEnd w:id="487"/>
    </w:p>
    <w:p w14:paraId="3E6EFE46">
      <w:pPr>
        <w:spacing w:line="360" w:lineRule="auto"/>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本合同一式</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份，均具有同等法律效力，发包人执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份，承包人执</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rPr>
        <w:t>份。</w:t>
      </w:r>
    </w:p>
    <w:p w14:paraId="1CC9265B">
      <w:pPr>
        <w:pStyle w:val="57"/>
        <w:rPr>
          <w:rFonts w:hint="eastAsia"/>
        </w:rPr>
      </w:pPr>
    </w:p>
    <w:p w14:paraId="2DD5F282">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发包人：  (公章)             承包人：  (公章)</w:t>
      </w:r>
    </w:p>
    <w:p w14:paraId="3A6F8D99">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                                 </w:t>
      </w:r>
    </w:p>
    <w:p w14:paraId="13379038">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法定代表人或其委托代理人：  法定代表人或其委托代理人：</w:t>
      </w:r>
    </w:p>
    <w:p w14:paraId="3F62FCD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（签字）                    （签字）</w:t>
      </w:r>
    </w:p>
    <w:p w14:paraId="5ECDC05A">
      <w:pPr>
        <w:spacing w:line="360" w:lineRule="auto"/>
        <w:rPr>
          <w:rFonts w:hint="eastAsia" w:ascii="宋体" w:hAnsi="宋体" w:eastAsia="宋体" w:cs="宋体"/>
          <w:color w:val="auto"/>
          <w:sz w:val="24"/>
          <w:szCs w:val="24"/>
          <w:u w:val="single"/>
        </w:rPr>
      </w:pPr>
    </w:p>
    <w:p w14:paraId="633A8513">
      <w:pPr>
        <w:tabs>
          <w:tab w:val="left" w:pos="4410"/>
        </w:tabs>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组织机构代码：</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组织机构代码：</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w:t>
      </w:r>
    </w:p>
    <w:p w14:paraId="26473D2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地  址：</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地  址：</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7684442A">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邮政编码：</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 xml:space="preserve">  邮政编码：</w:t>
      </w:r>
      <w:r>
        <w:rPr>
          <w:rFonts w:hint="eastAsia" w:ascii="宋体" w:hAnsi="宋体" w:eastAsia="宋体" w:cs="宋体"/>
          <w:color w:val="auto"/>
          <w:sz w:val="24"/>
          <w:szCs w:val="24"/>
          <w:u w:val="single"/>
        </w:rPr>
        <w:t xml:space="preserve">   </w:t>
      </w:r>
    </w:p>
    <w:p w14:paraId="362DD84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法定代表人：</w:t>
      </w:r>
      <w:r>
        <w:rPr>
          <w:rFonts w:hint="eastAsia" w:ascii="宋体" w:hAnsi="宋体" w:eastAsia="宋体" w:cs="宋体"/>
          <w:color w:val="auto"/>
          <w:sz w:val="24"/>
          <w:szCs w:val="24"/>
          <w:u w:val="single"/>
        </w:rPr>
        <w:t xml:space="preserve">             </w:t>
      </w:r>
    </w:p>
    <w:p w14:paraId="71811839">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委托代理人：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委托代理人：</w:t>
      </w:r>
      <w:r>
        <w:rPr>
          <w:rFonts w:hint="eastAsia" w:ascii="宋体" w:hAnsi="宋体" w:eastAsia="宋体" w:cs="宋体"/>
          <w:color w:val="auto"/>
          <w:sz w:val="24"/>
          <w:szCs w:val="24"/>
          <w:u w:val="single"/>
        </w:rPr>
        <w:t xml:space="preserve">             </w:t>
      </w:r>
    </w:p>
    <w:p w14:paraId="4D01EAF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电  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电  话：</w:t>
      </w:r>
      <w:r>
        <w:rPr>
          <w:rFonts w:hint="eastAsia" w:ascii="宋体" w:hAnsi="宋体" w:eastAsia="宋体" w:cs="宋体"/>
          <w:color w:val="auto"/>
          <w:sz w:val="24"/>
          <w:szCs w:val="24"/>
          <w:u w:val="single"/>
        </w:rPr>
        <w:t xml:space="preserve">     </w:t>
      </w:r>
    </w:p>
    <w:p w14:paraId="631F482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传  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传  真：</w:t>
      </w:r>
      <w:r>
        <w:rPr>
          <w:rFonts w:hint="eastAsia" w:ascii="宋体" w:hAnsi="宋体" w:eastAsia="宋体" w:cs="宋体"/>
          <w:color w:val="auto"/>
          <w:sz w:val="24"/>
          <w:szCs w:val="24"/>
          <w:u w:val="single"/>
        </w:rPr>
        <w:t xml:space="preserve">     </w:t>
      </w:r>
    </w:p>
    <w:p w14:paraId="33B8BB0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电子信箱：</w:t>
      </w:r>
      <w:r>
        <w:rPr>
          <w:rFonts w:hint="eastAsia" w:ascii="宋体" w:hAnsi="宋体" w:eastAsia="宋体" w:cs="宋体"/>
          <w:color w:val="auto"/>
          <w:sz w:val="24"/>
          <w:szCs w:val="24"/>
          <w:u w:val="single"/>
        </w:rPr>
        <w:t xml:space="preserve">   </w:t>
      </w:r>
    </w:p>
    <w:p w14:paraId="5BFFB68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开户银行：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开户银行：</w:t>
      </w:r>
      <w:r>
        <w:rPr>
          <w:rFonts w:hint="eastAsia" w:ascii="宋体" w:hAnsi="宋体" w:eastAsia="宋体" w:cs="宋体"/>
          <w:color w:val="auto"/>
          <w:sz w:val="24"/>
          <w:szCs w:val="24"/>
          <w:u w:val="single"/>
        </w:rPr>
        <w:t xml:space="preserve">   </w:t>
      </w:r>
    </w:p>
    <w:p w14:paraId="2B9068DE">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账  号：</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 xml:space="preserve">   账  号：</w:t>
      </w:r>
      <w:r>
        <w:rPr>
          <w:rFonts w:hint="eastAsia" w:ascii="宋体" w:hAnsi="宋体" w:eastAsia="宋体" w:cs="宋体"/>
          <w:color w:val="auto"/>
          <w:sz w:val="24"/>
          <w:szCs w:val="24"/>
          <w:u w:val="single"/>
        </w:rPr>
        <w:t xml:space="preserve">     </w:t>
      </w:r>
    </w:p>
    <w:p w14:paraId="6DD955D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680"/>
        <w:rPr>
          <w:rFonts w:cs="仿宋_GB2312"/>
          <w:color w:val="000000"/>
          <w:highlight w:val="none"/>
        </w:rPr>
      </w:pPr>
    </w:p>
    <w:p w14:paraId="0F44D0A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b/>
          <w:bCs/>
          <w:color w:val="000000"/>
          <w:highlight w:val="none"/>
        </w:rPr>
      </w:pPr>
      <w:bookmarkStart w:id="488" w:name="_Toc41828923"/>
      <w:bookmarkStart w:id="489" w:name="_Toc25463"/>
    </w:p>
    <w:p w14:paraId="3B861D0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b/>
          <w:bCs/>
          <w:color w:val="000000"/>
          <w:highlight w:val="none"/>
        </w:rPr>
      </w:pPr>
    </w:p>
    <w:p w14:paraId="749387C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b/>
          <w:bCs/>
          <w:color w:val="000000"/>
          <w:highlight w:val="none"/>
        </w:rPr>
      </w:pPr>
    </w:p>
    <w:p w14:paraId="6D9F9CF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b/>
          <w:bCs/>
          <w:color w:val="000000"/>
          <w:highlight w:val="none"/>
        </w:rPr>
      </w:pPr>
    </w:p>
    <w:p w14:paraId="5AC1AB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b/>
          <w:bCs/>
          <w:color w:val="000000"/>
          <w:highlight w:val="none"/>
        </w:rPr>
      </w:pPr>
    </w:p>
    <w:p w14:paraId="230C089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b/>
          <w:bCs/>
          <w:color w:val="000000"/>
          <w:highlight w:val="none"/>
        </w:rPr>
      </w:pPr>
    </w:p>
    <w:p w14:paraId="30E6011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b/>
          <w:bCs/>
          <w:color w:val="000000"/>
          <w:highlight w:val="none"/>
        </w:rPr>
      </w:pPr>
    </w:p>
    <w:p w14:paraId="77D2E80A">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b/>
          <w:bCs/>
          <w:color w:val="000000"/>
          <w:highlight w:val="none"/>
        </w:rPr>
      </w:pPr>
    </w:p>
    <w:p w14:paraId="246C65C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b/>
          <w:bCs/>
          <w:color w:val="000000"/>
          <w:highlight w:val="none"/>
        </w:rPr>
      </w:pPr>
    </w:p>
    <w:p w14:paraId="77A295B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b/>
          <w:bCs/>
          <w:color w:val="000000"/>
          <w:highlight w:val="none"/>
        </w:rPr>
      </w:pPr>
    </w:p>
    <w:p w14:paraId="5FE768FC">
      <w:pPr>
        <w:pStyle w:val="38"/>
        <w:kinsoku/>
        <w:overflowPunct/>
        <w:bidi w:val="0"/>
        <w:adjustRightInd w:val="0"/>
        <w:snapToGrid w:val="0"/>
        <w:spacing w:line="360" w:lineRule="auto"/>
        <w:ind w:left="0" w:right="0"/>
        <w:rPr>
          <w:rFonts w:hint="eastAsia"/>
          <w:b/>
          <w:bCs/>
          <w:color w:val="000000"/>
          <w:highlight w:val="none"/>
        </w:rPr>
      </w:pPr>
    </w:p>
    <w:p w14:paraId="7D00C939">
      <w:pPr>
        <w:pStyle w:val="19"/>
        <w:kinsoku/>
        <w:overflowPunct/>
        <w:bidi w:val="0"/>
        <w:adjustRightInd w:val="0"/>
        <w:snapToGrid w:val="0"/>
        <w:spacing w:line="360" w:lineRule="auto"/>
        <w:ind w:left="0" w:right="0"/>
        <w:rPr>
          <w:rFonts w:hint="eastAsia"/>
          <w:b/>
          <w:bCs/>
          <w:color w:val="000000"/>
          <w:highlight w:val="none"/>
        </w:rPr>
      </w:pPr>
    </w:p>
    <w:p w14:paraId="2130D402">
      <w:pPr>
        <w:pStyle w:val="19"/>
        <w:kinsoku/>
        <w:overflowPunct/>
        <w:bidi w:val="0"/>
        <w:adjustRightInd w:val="0"/>
        <w:snapToGrid w:val="0"/>
        <w:spacing w:line="360" w:lineRule="auto"/>
        <w:ind w:left="0" w:right="0"/>
        <w:rPr>
          <w:rFonts w:hint="eastAsia"/>
          <w:b/>
          <w:bCs/>
          <w:color w:val="000000"/>
          <w:highlight w:val="none"/>
        </w:rPr>
      </w:pPr>
    </w:p>
    <w:p w14:paraId="557D778E">
      <w:pPr>
        <w:pStyle w:val="19"/>
        <w:kinsoku/>
        <w:overflowPunct/>
        <w:bidi w:val="0"/>
        <w:adjustRightInd w:val="0"/>
        <w:snapToGrid w:val="0"/>
        <w:spacing w:line="360" w:lineRule="auto"/>
        <w:ind w:left="0" w:right="0"/>
        <w:rPr>
          <w:rFonts w:hint="eastAsia"/>
          <w:b/>
          <w:bCs/>
          <w:color w:val="000000"/>
          <w:highlight w:val="none"/>
        </w:rPr>
      </w:pPr>
    </w:p>
    <w:p w14:paraId="548264F9">
      <w:pPr>
        <w:pStyle w:val="19"/>
        <w:kinsoku/>
        <w:overflowPunct/>
        <w:bidi w:val="0"/>
        <w:adjustRightInd w:val="0"/>
        <w:snapToGrid w:val="0"/>
        <w:spacing w:line="360" w:lineRule="auto"/>
        <w:ind w:left="0" w:right="0"/>
        <w:rPr>
          <w:rFonts w:hint="eastAsia"/>
          <w:b/>
          <w:bCs/>
          <w:color w:val="000000"/>
          <w:highlight w:val="none"/>
        </w:rPr>
      </w:pPr>
    </w:p>
    <w:p w14:paraId="58913E08">
      <w:pPr>
        <w:pStyle w:val="19"/>
        <w:kinsoku/>
        <w:overflowPunct/>
        <w:bidi w:val="0"/>
        <w:adjustRightInd w:val="0"/>
        <w:snapToGrid w:val="0"/>
        <w:spacing w:line="360" w:lineRule="auto"/>
        <w:ind w:left="0" w:right="0"/>
        <w:rPr>
          <w:rFonts w:hint="eastAsia"/>
          <w:b/>
          <w:bCs/>
          <w:color w:val="000000"/>
          <w:highlight w:val="none"/>
        </w:rPr>
      </w:pPr>
    </w:p>
    <w:p w14:paraId="53FFB748">
      <w:pPr>
        <w:pStyle w:val="19"/>
        <w:kinsoku/>
        <w:overflowPunct/>
        <w:bidi w:val="0"/>
        <w:adjustRightInd w:val="0"/>
        <w:snapToGrid w:val="0"/>
        <w:spacing w:line="360" w:lineRule="auto"/>
        <w:ind w:left="0" w:right="0"/>
        <w:rPr>
          <w:rFonts w:hint="eastAsia"/>
          <w:b/>
          <w:bCs/>
          <w:color w:val="000000"/>
          <w:highlight w:val="none"/>
        </w:rPr>
      </w:pPr>
    </w:p>
    <w:p w14:paraId="2C0CF34A">
      <w:pPr>
        <w:pStyle w:val="19"/>
        <w:kinsoku/>
        <w:overflowPunct/>
        <w:bidi w:val="0"/>
        <w:adjustRightInd w:val="0"/>
        <w:snapToGrid w:val="0"/>
        <w:spacing w:line="360" w:lineRule="auto"/>
        <w:ind w:left="0" w:right="0"/>
        <w:rPr>
          <w:rFonts w:hint="eastAsia"/>
          <w:b/>
          <w:bCs/>
          <w:color w:val="000000"/>
          <w:highlight w:val="none"/>
        </w:rPr>
      </w:pPr>
    </w:p>
    <w:p w14:paraId="5B3019C1">
      <w:pPr>
        <w:pStyle w:val="19"/>
        <w:kinsoku/>
        <w:overflowPunct/>
        <w:bidi w:val="0"/>
        <w:adjustRightInd w:val="0"/>
        <w:snapToGrid w:val="0"/>
        <w:spacing w:line="360" w:lineRule="auto"/>
        <w:ind w:left="0" w:right="0"/>
        <w:rPr>
          <w:rFonts w:hint="eastAsia"/>
          <w:b/>
          <w:bCs/>
          <w:color w:val="000000"/>
          <w:highlight w:val="none"/>
        </w:rPr>
      </w:pPr>
    </w:p>
    <w:p w14:paraId="10314860">
      <w:pPr>
        <w:pStyle w:val="19"/>
        <w:kinsoku/>
        <w:overflowPunct/>
        <w:bidi w:val="0"/>
        <w:adjustRightInd w:val="0"/>
        <w:snapToGrid w:val="0"/>
        <w:spacing w:line="360" w:lineRule="auto"/>
        <w:ind w:left="0" w:right="0"/>
        <w:rPr>
          <w:rFonts w:hint="eastAsia"/>
          <w:b/>
          <w:bCs/>
          <w:color w:val="000000"/>
          <w:highlight w:val="none"/>
        </w:rPr>
      </w:pPr>
    </w:p>
    <w:p w14:paraId="7C59A479">
      <w:pPr>
        <w:pStyle w:val="19"/>
        <w:kinsoku/>
        <w:overflowPunct/>
        <w:bidi w:val="0"/>
        <w:adjustRightInd w:val="0"/>
        <w:snapToGrid w:val="0"/>
        <w:spacing w:line="360" w:lineRule="auto"/>
        <w:ind w:left="0" w:right="0"/>
        <w:rPr>
          <w:rFonts w:hint="eastAsia"/>
          <w:b/>
          <w:bCs/>
          <w:color w:val="000000"/>
          <w:highlight w:val="none"/>
        </w:rPr>
      </w:pPr>
    </w:p>
    <w:p w14:paraId="1549B46A">
      <w:pPr>
        <w:pStyle w:val="19"/>
        <w:kinsoku/>
        <w:overflowPunct/>
        <w:bidi w:val="0"/>
        <w:adjustRightInd w:val="0"/>
        <w:snapToGrid w:val="0"/>
        <w:spacing w:line="360" w:lineRule="auto"/>
        <w:ind w:left="0" w:right="0"/>
        <w:rPr>
          <w:rFonts w:hint="eastAsia"/>
          <w:b/>
          <w:bCs/>
          <w:color w:val="000000"/>
          <w:highlight w:val="none"/>
        </w:rPr>
      </w:pPr>
    </w:p>
    <w:p w14:paraId="274190E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b/>
          <w:bCs/>
          <w:color w:val="000000"/>
          <w:highlight w:val="none"/>
        </w:rPr>
      </w:pPr>
    </w:p>
    <w:bookmarkEnd w:id="488"/>
    <w:bookmarkEnd w:id="489"/>
    <w:p w14:paraId="222D8FDC">
      <w:pPr>
        <w:pStyle w:val="4"/>
        <w:jc w:val="center"/>
        <w:rPr>
          <w:rFonts w:hint="eastAsia" w:ascii="宋体" w:hAnsi="宋体" w:eastAsia="宋体" w:cs="宋体"/>
          <w:color w:val="auto"/>
          <w:sz w:val="24"/>
          <w:szCs w:val="24"/>
        </w:rPr>
      </w:pPr>
      <w:bookmarkStart w:id="490" w:name="_Toc351203494"/>
      <w:r>
        <w:rPr>
          <w:rFonts w:hint="eastAsia" w:ascii="宋体" w:hAnsi="宋体" w:eastAsia="宋体" w:cs="宋体"/>
          <w:color w:val="auto"/>
          <w:sz w:val="24"/>
          <w:szCs w:val="24"/>
        </w:rPr>
        <w:t>第二部分 通用合同条款</w:t>
      </w:r>
      <w:bookmarkEnd w:id="490"/>
      <w:bookmarkStart w:id="491" w:name="_Toc337558727"/>
    </w:p>
    <w:bookmarkEnd w:id="491"/>
    <w:p w14:paraId="2FC745CB">
      <w:pPr>
        <w:pStyle w:val="4"/>
        <w:jc w:val="center"/>
        <w:rPr>
          <w:rFonts w:hint="eastAsia" w:ascii="宋体" w:hAnsi="宋体" w:eastAsia="宋体" w:cs="宋体"/>
          <w:color w:val="auto"/>
          <w:sz w:val="24"/>
          <w:szCs w:val="24"/>
          <w:lang w:val="en-US" w:eastAsia="zh-CN"/>
        </w:rPr>
      </w:pPr>
      <w:bookmarkStart w:id="492" w:name="_Toc351203632"/>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略）</w:t>
      </w:r>
    </w:p>
    <w:p w14:paraId="29BAE077">
      <w:pPr>
        <w:pStyle w:val="4"/>
        <w:jc w:val="center"/>
        <w:rPr>
          <w:rFonts w:hint="eastAsia" w:ascii="宋体" w:hAnsi="宋体" w:eastAsia="宋体" w:cs="宋体"/>
          <w:color w:val="auto"/>
          <w:sz w:val="24"/>
          <w:szCs w:val="24"/>
        </w:rPr>
      </w:pPr>
      <w:r>
        <w:rPr>
          <w:rFonts w:hint="eastAsia" w:ascii="宋体" w:hAnsi="宋体" w:eastAsia="宋体" w:cs="宋体"/>
          <w:color w:val="auto"/>
          <w:sz w:val="24"/>
          <w:szCs w:val="24"/>
        </w:rPr>
        <w:t>第三部分 专用合同条款</w:t>
      </w:r>
      <w:bookmarkEnd w:id="492"/>
    </w:p>
    <w:p w14:paraId="48B1D5FB">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493" w:name="_Toc351203633"/>
      <w:r>
        <w:rPr>
          <w:rFonts w:hint="eastAsia" w:ascii="宋体" w:hAnsi="宋体" w:eastAsia="宋体" w:cs="宋体"/>
          <w:b/>
          <w:bCs w:val="0"/>
          <w:color w:val="auto"/>
          <w:sz w:val="24"/>
          <w:szCs w:val="24"/>
        </w:rPr>
        <w:t>1</w:t>
      </w:r>
      <w:bookmarkStart w:id="494" w:name="_Toc297120456"/>
      <w:bookmarkStart w:id="495" w:name="_Toc296944495"/>
      <w:bookmarkStart w:id="496" w:name="_Toc296503156"/>
      <w:bookmarkStart w:id="497" w:name="_Toc296890984"/>
      <w:bookmarkStart w:id="498" w:name="_Toc292559361"/>
      <w:bookmarkStart w:id="499" w:name="_Toc296346657"/>
      <w:bookmarkStart w:id="500" w:name="_Toc292559866"/>
      <w:bookmarkStart w:id="501" w:name="_Toc296347155"/>
      <w:bookmarkStart w:id="502" w:name="_Toc296891196"/>
      <w:bookmarkStart w:id="503" w:name="_Toc297048342"/>
      <w:r>
        <w:rPr>
          <w:rFonts w:hint="eastAsia" w:ascii="宋体" w:hAnsi="宋体" w:eastAsia="宋体" w:cs="宋体"/>
          <w:b/>
          <w:bCs w:val="0"/>
          <w:color w:val="auto"/>
          <w:sz w:val="24"/>
          <w:szCs w:val="24"/>
        </w:rPr>
        <w:t>. 一般约定</w:t>
      </w:r>
      <w:bookmarkEnd w:id="493"/>
    </w:p>
    <w:bookmarkEnd w:id="494"/>
    <w:bookmarkEnd w:id="495"/>
    <w:bookmarkEnd w:id="496"/>
    <w:bookmarkEnd w:id="497"/>
    <w:bookmarkEnd w:id="498"/>
    <w:bookmarkEnd w:id="499"/>
    <w:bookmarkEnd w:id="500"/>
    <w:bookmarkEnd w:id="501"/>
    <w:bookmarkEnd w:id="502"/>
    <w:bookmarkEnd w:id="503"/>
    <w:p w14:paraId="64E5B434">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1.1 词语定义</w:t>
      </w:r>
    </w:p>
    <w:p w14:paraId="0166D6DA">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1.1.1合同</w:t>
      </w:r>
    </w:p>
    <w:p w14:paraId="65B66FCF">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1.1.1.10其他合同文件包括：</w:t>
      </w:r>
      <w:r>
        <w:rPr>
          <w:rFonts w:hint="eastAsia" w:ascii="宋体" w:hAnsi="宋体" w:eastAsia="宋体" w:cs="宋体"/>
          <w:color w:val="auto"/>
          <w:sz w:val="24"/>
          <w:szCs w:val="24"/>
          <w:u w:val="single"/>
        </w:rPr>
        <w:t xml:space="preserve">                      </w:t>
      </w:r>
    </w:p>
    <w:p w14:paraId="4FACD95E">
      <w:pPr>
        <w:spacing w:line="360" w:lineRule="auto"/>
        <w:ind w:left="1650" w:hanging="1320" w:hangingChars="55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14:paraId="108CC824">
      <w:pPr>
        <w:spacing w:line="360" w:lineRule="auto"/>
        <w:ind w:left="1650" w:hanging="1320" w:hangingChars="550"/>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2FA6C6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1.1.2 合同当事人及其他相关方</w:t>
      </w:r>
    </w:p>
    <w:p w14:paraId="15F7401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1.1.2.4监理人：</w:t>
      </w:r>
    </w:p>
    <w:p w14:paraId="1E61972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名    称：</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7B1DF53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资质类别和等级：</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E30B63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5CCDEB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DB6A15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B3E5F9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1.1.2.5 设计人：</w:t>
      </w:r>
    </w:p>
    <w:p w14:paraId="05722B8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名    称：</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3ACC11A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资质类别和等级：</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057DE3D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864362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098098F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07DC6CC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1.1.3 工程和设备</w:t>
      </w:r>
    </w:p>
    <w:p w14:paraId="28CE0934">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1.1.3.7 作为施工现场组成部分的其他场所包括：</w:t>
      </w:r>
      <w:r>
        <w:rPr>
          <w:rFonts w:hint="eastAsia" w:ascii="宋体" w:hAnsi="宋体" w:eastAsia="宋体" w:cs="宋体"/>
          <w:color w:val="auto"/>
          <w:sz w:val="24"/>
          <w:szCs w:val="24"/>
          <w:u w:val="single"/>
        </w:rPr>
        <w:t xml:space="preserve">           </w:t>
      </w:r>
    </w:p>
    <w:p w14:paraId="0C816BDD">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5A337625">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1.1.3.9 永久占地包括：</w:t>
      </w:r>
      <w:r>
        <w:rPr>
          <w:rFonts w:hint="eastAsia" w:ascii="宋体" w:hAnsi="宋体" w:eastAsia="宋体" w:cs="宋体"/>
          <w:color w:val="auto"/>
          <w:sz w:val="24"/>
          <w:szCs w:val="24"/>
          <w:u w:val="single"/>
        </w:rPr>
        <w:t xml:space="preserve">                        </w:t>
      </w:r>
      <w:r>
        <w:rPr>
          <w:rFonts w:hint="eastAsia" w:ascii="宋体" w:hAnsi="宋体" w:eastAsia="宋体" w:cs="宋体"/>
          <w:color w:val="auto"/>
          <w:kern w:val="0"/>
          <w:sz w:val="24"/>
          <w:szCs w:val="24"/>
        </w:rPr>
        <w:t>。</w:t>
      </w:r>
    </w:p>
    <w:p w14:paraId="24F772C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1.1.3.10 临时占地包括：</w:t>
      </w:r>
      <w:r>
        <w:rPr>
          <w:rFonts w:hint="eastAsia" w:ascii="宋体" w:hAnsi="宋体" w:eastAsia="宋体" w:cs="宋体"/>
          <w:color w:val="auto"/>
          <w:sz w:val="24"/>
          <w:szCs w:val="24"/>
          <w:u w:val="single"/>
        </w:rPr>
        <w:t xml:space="preserve">                       </w:t>
      </w:r>
      <w:r>
        <w:rPr>
          <w:rFonts w:hint="eastAsia" w:ascii="宋体" w:hAnsi="宋体" w:eastAsia="宋体" w:cs="宋体"/>
          <w:color w:val="auto"/>
          <w:kern w:val="0"/>
          <w:sz w:val="24"/>
          <w:szCs w:val="24"/>
        </w:rPr>
        <w:t>。</w:t>
      </w:r>
    </w:p>
    <w:p w14:paraId="0DE24FF1">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1.3法律 </w:t>
      </w:r>
    </w:p>
    <w:p w14:paraId="72671549">
      <w:pPr>
        <w:autoSpaceDE w:val="0"/>
        <w:autoSpaceDN w:val="0"/>
        <w:adjustRightInd w:val="0"/>
        <w:spacing w:line="360" w:lineRule="auto"/>
        <w:ind w:left="596" w:leftChars="284"/>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适用于合同的其他规范性文件：</w:t>
      </w:r>
      <w:r>
        <w:rPr>
          <w:rFonts w:hint="eastAsia" w:ascii="宋体" w:hAnsi="宋体" w:eastAsia="宋体" w:cs="宋体"/>
          <w:color w:val="auto"/>
          <w:sz w:val="24"/>
          <w:szCs w:val="24"/>
          <w:u w:val="single"/>
        </w:rPr>
        <w:t xml:space="preserve">     </w:t>
      </w:r>
    </w:p>
    <w:p w14:paraId="6DD8D267">
      <w:pPr>
        <w:autoSpaceDE w:val="0"/>
        <w:autoSpaceDN w:val="0"/>
        <w:adjustRightIn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CAD4B44">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 标准和规范</w:t>
      </w:r>
    </w:p>
    <w:p w14:paraId="40A91DDD">
      <w:pPr>
        <w:spacing w:line="360" w:lineRule="auto"/>
        <w:ind w:left="596" w:leftChars="284"/>
        <w:rPr>
          <w:rFonts w:hint="eastAsia" w:ascii="宋体" w:hAnsi="宋体" w:eastAsia="宋体" w:cs="宋体"/>
          <w:color w:val="auto"/>
          <w:sz w:val="24"/>
          <w:szCs w:val="24"/>
        </w:rPr>
      </w:pPr>
      <w:r>
        <w:rPr>
          <w:rFonts w:hint="eastAsia" w:ascii="宋体" w:hAnsi="宋体" w:eastAsia="宋体" w:cs="宋体"/>
          <w:color w:val="auto"/>
          <w:sz w:val="24"/>
          <w:szCs w:val="24"/>
        </w:rPr>
        <w:t>1.4.1适用于工程的标准规范包括：</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 xml:space="preserve"> </w:t>
      </w:r>
    </w:p>
    <w:p w14:paraId="4E1AE12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7A011759">
      <w:pPr>
        <w:spacing w:line="360" w:lineRule="auto"/>
        <w:ind w:firstLine="480" w:firstLineChars="200"/>
        <w:outlineLvl w:val="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1.4.2 发包人提供国外标准、规范的名称：</w:t>
      </w:r>
      <w:r>
        <w:rPr>
          <w:rFonts w:hint="eastAsia" w:ascii="宋体" w:hAnsi="宋体" w:eastAsia="宋体" w:cs="宋体"/>
          <w:color w:val="auto"/>
          <w:kern w:val="0"/>
          <w:sz w:val="24"/>
          <w:szCs w:val="24"/>
          <w:u w:val="single"/>
        </w:rPr>
        <w:t xml:space="preserve">                 </w:t>
      </w:r>
    </w:p>
    <w:p w14:paraId="45284189">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523F2DD6">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发包人提供国外标准、规范的份数：</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2BC250E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发包人提供国外标准、规范的名称：</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6C9BB464">
      <w:pPr>
        <w:spacing w:line="360" w:lineRule="auto"/>
        <w:ind w:left="596" w:leftChars="284"/>
        <w:rPr>
          <w:rFonts w:hint="eastAsia" w:ascii="宋体" w:hAnsi="宋体" w:eastAsia="宋体" w:cs="宋体"/>
          <w:color w:val="auto"/>
          <w:sz w:val="24"/>
          <w:szCs w:val="24"/>
        </w:rPr>
      </w:pPr>
      <w:r>
        <w:rPr>
          <w:rFonts w:hint="eastAsia" w:ascii="宋体" w:hAnsi="宋体" w:eastAsia="宋体" w:cs="宋体"/>
          <w:color w:val="auto"/>
          <w:sz w:val="24"/>
          <w:szCs w:val="24"/>
        </w:rPr>
        <w:t>1.4.3发包人对工程的技术标准和功能要求的特殊要求：</w:t>
      </w:r>
    </w:p>
    <w:p w14:paraId="03A0C5E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0ABC1985">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1.5 合同文件的优先顺序</w:t>
      </w:r>
    </w:p>
    <w:p w14:paraId="761DC78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合同文件组成及优先顺序为：</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                                                 </w:t>
      </w:r>
      <w:r>
        <w:rPr>
          <w:rFonts w:hint="eastAsia" w:ascii="宋体" w:hAnsi="宋体" w:eastAsia="宋体" w:cs="宋体"/>
          <w:color w:val="auto"/>
          <w:sz w:val="24"/>
          <w:szCs w:val="24"/>
        </w:rPr>
        <w:t>。</w:t>
      </w:r>
    </w:p>
    <w:p w14:paraId="06A89440">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1.6 图纸和承包人文件</w:t>
      </w:r>
      <w:r>
        <w:rPr>
          <w:rFonts w:hint="eastAsia" w:ascii="宋体" w:hAnsi="宋体" w:eastAsia="宋体" w:cs="宋体"/>
          <w:color w:val="auto"/>
          <w:sz w:val="24"/>
          <w:szCs w:val="24"/>
        </w:rPr>
        <w:tab/>
      </w:r>
    </w:p>
    <w:p w14:paraId="1FD3DC1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1.6.1 图纸的提供</w:t>
      </w:r>
    </w:p>
    <w:p w14:paraId="0424CFA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发包人向承包人提供图纸的期限：</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4B164A2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发包人向承包人提供图纸的数量：</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5ADE5AA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发包人向承包人提供图纸的内容：</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2CDF432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1.6.4 承包人文件</w:t>
      </w:r>
    </w:p>
    <w:p w14:paraId="169B5723">
      <w:pPr>
        <w:spacing w:line="360" w:lineRule="auto"/>
        <w:ind w:left="596" w:leftChars="284"/>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需要由承包人提供的文件，包括：</w:t>
      </w:r>
      <w:r>
        <w:rPr>
          <w:rFonts w:hint="eastAsia" w:ascii="宋体" w:hAnsi="宋体" w:eastAsia="宋体" w:cs="宋体"/>
          <w:color w:val="auto"/>
          <w:sz w:val="24"/>
          <w:szCs w:val="24"/>
          <w:u w:val="single"/>
        </w:rPr>
        <w:t>          </w:t>
      </w:r>
    </w:p>
    <w:p w14:paraId="7EF3ADED">
      <w:pPr>
        <w:spacing w:line="360" w:lineRule="auto"/>
        <w:ind w:left="596" w:leftChars="284"/>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48EE9EB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承包人提供的文件的期限为：</w:t>
      </w: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7B0BE2C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承包人提供的文件的数量为：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4695D6C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承包人提供的文件的形式为：</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062A11F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发包人审批承包人文件的期限：</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76B5DB4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1.6.5 现场图纸准备</w:t>
      </w:r>
    </w:p>
    <w:p w14:paraId="372041B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关于现场图纸准备的约定：</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5A5082CB">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1.7 联络</w:t>
      </w:r>
    </w:p>
    <w:p w14:paraId="36B149D1">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1.7.1发包人和承包人应当在</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天内将与合同有关的通知、批准、证明、证书、指示、指令、要求、请求、同意、意见、确定和决定等书面函件送达对方当事人。</w:t>
      </w:r>
    </w:p>
    <w:p w14:paraId="70D7A89B">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1.7.2 发包人接收文件的地点：</w:t>
      </w:r>
      <w:r>
        <w:rPr>
          <w:rFonts w:hint="eastAsia" w:ascii="宋体" w:hAnsi="宋体" w:eastAsia="宋体" w:cs="宋体"/>
          <w:color w:val="auto"/>
          <w:sz w:val="24"/>
          <w:szCs w:val="24"/>
          <w:u w:val="single"/>
        </w:rPr>
        <w:t>      </w:t>
      </w:r>
      <w:r>
        <w:rPr>
          <w:rFonts w:hint="eastAsia" w:ascii="宋体" w:hAnsi="宋体" w:eastAsia="宋体" w:cs="宋体"/>
          <w:color w:val="auto"/>
          <w:kern w:val="0"/>
          <w:sz w:val="24"/>
          <w:szCs w:val="24"/>
        </w:rPr>
        <w:t>；</w:t>
      </w:r>
    </w:p>
    <w:p w14:paraId="76920C03">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发包人指定的接收人为：</w:t>
      </w:r>
      <w:r>
        <w:rPr>
          <w:rFonts w:hint="eastAsia" w:ascii="宋体" w:hAnsi="宋体" w:eastAsia="宋体" w:cs="宋体"/>
          <w:color w:val="auto"/>
          <w:sz w:val="24"/>
          <w:szCs w:val="24"/>
          <w:u w:val="single"/>
        </w:rPr>
        <w:t>               </w:t>
      </w:r>
      <w:r>
        <w:rPr>
          <w:rFonts w:hint="eastAsia" w:ascii="宋体" w:hAnsi="宋体" w:eastAsia="宋体" w:cs="宋体"/>
          <w:color w:val="auto"/>
          <w:kern w:val="0"/>
          <w:sz w:val="24"/>
          <w:szCs w:val="24"/>
        </w:rPr>
        <w:t>。</w:t>
      </w:r>
    </w:p>
    <w:p w14:paraId="5FED1FE0">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承包人接收文件的地点：</w:t>
      </w:r>
      <w:r>
        <w:rPr>
          <w:rFonts w:hint="eastAsia" w:ascii="宋体" w:hAnsi="宋体" w:eastAsia="宋体" w:cs="宋体"/>
          <w:color w:val="auto"/>
          <w:sz w:val="24"/>
          <w:szCs w:val="24"/>
          <w:u w:val="single"/>
        </w:rPr>
        <w:t>             </w:t>
      </w:r>
      <w:r>
        <w:rPr>
          <w:rFonts w:hint="eastAsia" w:ascii="宋体" w:hAnsi="宋体" w:eastAsia="宋体" w:cs="宋体"/>
          <w:color w:val="auto"/>
          <w:kern w:val="0"/>
          <w:sz w:val="24"/>
          <w:szCs w:val="24"/>
        </w:rPr>
        <w:t>；</w:t>
      </w:r>
    </w:p>
    <w:p w14:paraId="75E70DBD">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承包人指定的接收人为：</w:t>
      </w:r>
      <w:r>
        <w:rPr>
          <w:rFonts w:hint="eastAsia" w:ascii="宋体" w:hAnsi="宋体" w:eastAsia="宋体" w:cs="宋体"/>
          <w:color w:val="auto"/>
          <w:sz w:val="24"/>
          <w:szCs w:val="24"/>
          <w:u w:val="single"/>
        </w:rPr>
        <w:t>             </w:t>
      </w:r>
      <w:r>
        <w:rPr>
          <w:rFonts w:hint="eastAsia" w:ascii="宋体" w:hAnsi="宋体" w:eastAsia="宋体" w:cs="宋体"/>
          <w:color w:val="auto"/>
          <w:kern w:val="0"/>
          <w:sz w:val="24"/>
          <w:szCs w:val="24"/>
        </w:rPr>
        <w:t>。</w:t>
      </w:r>
    </w:p>
    <w:p w14:paraId="494F26C7">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监理人接收文件的地点：</w:t>
      </w:r>
      <w:r>
        <w:rPr>
          <w:rFonts w:hint="eastAsia" w:ascii="宋体" w:hAnsi="宋体" w:eastAsia="宋体" w:cs="宋体"/>
          <w:color w:val="auto"/>
          <w:sz w:val="24"/>
          <w:szCs w:val="24"/>
          <w:u w:val="single"/>
        </w:rPr>
        <w:t>            </w:t>
      </w:r>
      <w:r>
        <w:rPr>
          <w:rFonts w:hint="eastAsia" w:ascii="宋体" w:hAnsi="宋体" w:eastAsia="宋体" w:cs="宋体"/>
          <w:color w:val="auto"/>
          <w:kern w:val="0"/>
          <w:sz w:val="24"/>
          <w:szCs w:val="24"/>
        </w:rPr>
        <w:t>；</w:t>
      </w:r>
    </w:p>
    <w:p w14:paraId="2FFE6496">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监理人指定的接收人为：</w:t>
      </w:r>
      <w:r>
        <w:rPr>
          <w:rFonts w:hint="eastAsia" w:ascii="宋体" w:hAnsi="宋体" w:eastAsia="宋体" w:cs="宋体"/>
          <w:color w:val="auto"/>
          <w:sz w:val="24"/>
          <w:szCs w:val="24"/>
          <w:u w:val="single"/>
        </w:rPr>
        <w:t>            </w:t>
      </w:r>
      <w:r>
        <w:rPr>
          <w:rFonts w:hint="eastAsia" w:ascii="宋体" w:hAnsi="宋体" w:eastAsia="宋体" w:cs="宋体"/>
          <w:color w:val="auto"/>
          <w:kern w:val="0"/>
          <w:sz w:val="24"/>
          <w:szCs w:val="24"/>
        </w:rPr>
        <w:t>。</w:t>
      </w:r>
    </w:p>
    <w:p w14:paraId="75D0B962">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1.10 交通运输</w:t>
      </w:r>
    </w:p>
    <w:p w14:paraId="68D43124">
      <w:pPr>
        <w:spacing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504" w:name="_Toc312677986"/>
      <w:bookmarkStart w:id="505" w:name="_Toc304295521"/>
      <w:bookmarkStart w:id="506" w:name="_Toc303539100"/>
      <w:bookmarkStart w:id="507" w:name="_Toc318581155"/>
      <w:bookmarkStart w:id="508" w:name="_Toc300934943"/>
      <w:r>
        <w:rPr>
          <w:rFonts w:hint="eastAsia" w:ascii="宋体" w:hAnsi="宋体" w:eastAsia="宋体" w:cs="宋体"/>
          <w:color w:val="auto"/>
          <w:sz w:val="24"/>
          <w:szCs w:val="24"/>
        </w:rPr>
        <w:t>.10.1 出入现场的权利</w:t>
      </w:r>
    </w:p>
    <w:p w14:paraId="5E0A845E">
      <w:pPr>
        <w:spacing w:line="360" w:lineRule="auto"/>
        <w:ind w:left="596" w:leftChars="284"/>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关于出入现场的权利的约定：</w:t>
      </w:r>
      <w:r>
        <w:rPr>
          <w:rFonts w:hint="eastAsia" w:ascii="宋体" w:hAnsi="宋体" w:eastAsia="宋体" w:cs="宋体"/>
          <w:color w:val="auto"/>
          <w:sz w:val="24"/>
          <w:szCs w:val="24"/>
          <w:u w:val="single"/>
        </w:rPr>
        <w:t>  </w:t>
      </w:r>
    </w:p>
    <w:p w14:paraId="2B65C7FC">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         </w:t>
      </w:r>
      <w:r>
        <w:rPr>
          <w:rFonts w:hint="eastAsia" w:ascii="宋体" w:hAnsi="宋体" w:eastAsia="宋体" w:cs="宋体"/>
          <w:color w:val="auto"/>
          <w:sz w:val="24"/>
          <w:szCs w:val="24"/>
        </w:rPr>
        <w:t>。</w:t>
      </w:r>
    </w:p>
    <w:bookmarkEnd w:id="504"/>
    <w:bookmarkEnd w:id="505"/>
    <w:bookmarkEnd w:id="506"/>
    <w:bookmarkEnd w:id="507"/>
    <w:bookmarkEnd w:id="508"/>
    <w:p w14:paraId="0F608FDB">
      <w:pPr>
        <w:spacing w:line="360" w:lineRule="auto"/>
        <w:ind w:firstLine="480" w:firstLineChars="200"/>
        <w:jc w:val="left"/>
        <w:outlineLvl w:val="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509" w:name="_Toc304295522"/>
      <w:bookmarkStart w:id="510" w:name="_Toc303539101"/>
      <w:bookmarkStart w:id="511" w:name="_Toc312677987"/>
      <w:bookmarkStart w:id="512" w:name="_Toc318581156"/>
      <w:bookmarkStart w:id="513" w:name="_Toc300934944"/>
      <w:r>
        <w:rPr>
          <w:rFonts w:hint="eastAsia" w:ascii="宋体" w:hAnsi="宋体" w:eastAsia="宋体" w:cs="宋体"/>
          <w:color w:val="auto"/>
          <w:sz w:val="24"/>
          <w:szCs w:val="24"/>
        </w:rPr>
        <w:t>.10.3 场内交通</w:t>
      </w:r>
    </w:p>
    <w:p w14:paraId="4027071F">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关于场外交通和场内交通的边界的约定：</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952C75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关于发包人向承包人免费提供满足工程施工需要的场内道路和交通设施的约定：</w:t>
      </w:r>
      <w:r>
        <w:rPr>
          <w:rFonts w:hint="eastAsia" w:ascii="宋体" w:hAnsi="宋体" w:eastAsia="宋体" w:cs="宋体"/>
          <w:color w:val="auto"/>
          <w:sz w:val="24"/>
          <w:szCs w:val="24"/>
          <w:u w:val="single"/>
        </w:rPr>
        <w:t>                                        </w:t>
      </w:r>
      <w:r>
        <w:rPr>
          <w:rFonts w:hint="eastAsia" w:ascii="宋体" w:hAnsi="宋体" w:eastAsia="宋体" w:cs="宋体"/>
          <w:color w:val="auto"/>
          <w:sz w:val="24"/>
          <w:szCs w:val="24"/>
        </w:rPr>
        <w:t>。</w:t>
      </w:r>
      <w:bookmarkEnd w:id="509"/>
      <w:bookmarkEnd w:id="510"/>
      <w:bookmarkEnd w:id="511"/>
      <w:bookmarkEnd w:id="512"/>
      <w:bookmarkEnd w:id="513"/>
      <w:r>
        <w:rPr>
          <w:rFonts w:hint="eastAsia" w:ascii="宋体" w:hAnsi="宋体" w:eastAsia="宋体" w:cs="宋体"/>
          <w:color w:val="auto"/>
          <w:sz w:val="24"/>
          <w:szCs w:val="24"/>
        </w:rPr>
        <w:t xml:space="preserve">  </w:t>
      </w:r>
      <w:bookmarkStart w:id="514" w:name="_Toc318581157"/>
    </w:p>
    <w:p w14:paraId="59A4108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1.10.4超大件和超重件的运输</w:t>
      </w:r>
    </w:p>
    <w:p w14:paraId="31000F4E">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运输超大件或超重件所需的道路和桥梁临时加固改造费用和其他有关费用由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承担。</w:t>
      </w:r>
    </w:p>
    <w:bookmarkEnd w:id="514"/>
    <w:p w14:paraId="1C5B25DE">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1.11 知识产权</w:t>
      </w:r>
    </w:p>
    <w:p w14:paraId="3BE09060">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auto"/>
          <w:sz w:val="24"/>
          <w:szCs w:val="24"/>
          <w:u w:val="single"/>
        </w:rPr>
        <w:t>                     </w:t>
      </w:r>
    </w:p>
    <w:p w14:paraId="1AA1170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3C4D2EDF">
      <w:pPr>
        <w:spacing w:line="360" w:lineRule="auto"/>
        <w:ind w:left="596" w:leftChars="284"/>
        <w:rPr>
          <w:rFonts w:hint="eastAsia" w:ascii="宋体" w:hAnsi="宋体" w:eastAsia="宋体" w:cs="宋体"/>
          <w:color w:val="auto"/>
          <w:sz w:val="24"/>
          <w:szCs w:val="24"/>
        </w:rPr>
      </w:pPr>
      <w:r>
        <w:rPr>
          <w:rFonts w:hint="eastAsia" w:ascii="宋体" w:hAnsi="宋体" w:eastAsia="宋体" w:cs="宋体"/>
          <w:color w:val="auto"/>
          <w:sz w:val="24"/>
          <w:szCs w:val="24"/>
        </w:rPr>
        <w:t>关于发包人提供的上述文件的使用限制的要求：</w:t>
      </w:r>
      <w:r>
        <w:rPr>
          <w:rFonts w:hint="eastAsia" w:ascii="宋体" w:hAnsi="宋体" w:eastAsia="宋体" w:cs="宋体"/>
          <w:color w:val="auto"/>
          <w:sz w:val="24"/>
          <w:szCs w:val="24"/>
          <w:u w:val="single"/>
        </w:rPr>
        <w:t xml:space="preserve">             </w:t>
      </w:r>
    </w:p>
    <w:p w14:paraId="58B57C64">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560EF39">
      <w:pPr>
        <w:spacing w:line="360" w:lineRule="auto"/>
        <w:ind w:left="596" w:leftChars="284"/>
        <w:outlineLvl w:val="0"/>
        <w:rPr>
          <w:rFonts w:hint="eastAsia" w:ascii="宋体" w:hAnsi="宋体" w:eastAsia="宋体" w:cs="宋体"/>
          <w:color w:val="auto"/>
          <w:sz w:val="24"/>
          <w:szCs w:val="24"/>
        </w:rPr>
      </w:pPr>
      <w:r>
        <w:rPr>
          <w:rFonts w:hint="eastAsia" w:ascii="宋体" w:hAnsi="宋体" w:eastAsia="宋体" w:cs="宋体"/>
          <w:color w:val="auto"/>
          <w:sz w:val="24"/>
          <w:szCs w:val="24"/>
        </w:rPr>
        <w:t>1.11.2 关于承包人为实施工程所编制文件的著作权的归属：</w:t>
      </w:r>
      <w:r>
        <w:rPr>
          <w:rFonts w:hint="eastAsia" w:ascii="宋体" w:hAnsi="宋体" w:eastAsia="宋体" w:cs="宋体"/>
          <w:color w:val="auto"/>
          <w:sz w:val="24"/>
          <w:szCs w:val="24"/>
          <w:u w:val="single"/>
        </w:rPr>
        <w:t xml:space="preserve">    </w:t>
      </w:r>
    </w:p>
    <w:p w14:paraId="3CA879C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1B6753CE">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关于承包人提供的上述文件的使用限制的要求：</w:t>
      </w:r>
      <w:r>
        <w:rPr>
          <w:rFonts w:hint="eastAsia" w:ascii="宋体" w:hAnsi="宋体" w:eastAsia="宋体" w:cs="宋体"/>
          <w:color w:val="auto"/>
          <w:sz w:val="24"/>
          <w:szCs w:val="24"/>
          <w:u w:val="single"/>
        </w:rPr>
        <w:t>   </w:t>
      </w:r>
    </w:p>
    <w:p w14:paraId="53CB068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782FCD85">
      <w:pPr>
        <w:spacing w:line="360" w:lineRule="auto"/>
        <w:ind w:firstLine="480" w:firstLineChars="200"/>
        <w:outlineLvl w:val="0"/>
        <w:rPr>
          <w:rFonts w:hint="eastAsia" w:ascii="宋体" w:hAnsi="宋体" w:eastAsia="宋体" w:cs="宋体"/>
          <w:color w:val="auto"/>
          <w:kern w:val="0"/>
          <w:sz w:val="24"/>
          <w:szCs w:val="24"/>
        </w:rPr>
      </w:pPr>
      <w:r>
        <w:rPr>
          <w:rFonts w:hint="eastAsia" w:ascii="宋体" w:hAnsi="宋体" w:eastAsia="宋体" w:cs="宋体"/>
          <w:color w:val="auto"/>
          <w:sz w:val="24"/>
          <w:szCs w:val="24"/>
        </w:rPr>
        <w:t>1.11.4 承包人在施工过程中所采用的专利、专有技术、技术秘密的使用费的承担方式：</w:t>
      </w:r>
      <w:r>
        <w:rPr>
          <w:rFonts w:hint="eastAsia" w:ascii="宋体" w:hAnsi="宋体" w:eastAsia="宋体" w:cs="宋体"/>
          <w:color w:val="auto"/>
          <w:sz w:val="24"/>
          <w:szCs w:val="24"/>
          <w:u w:val="single"/>
        </w:rPr>
        <w:t xml:space="preserve">                            </w:t>
      </w:r>
      <w:r>
        <w:rPr>
          <w:rFonts w:hint="eastAsia" w:ascii="宋体" w:hAnsi="宋体" w:eastAsia="宋体" w:cs="宋体"/>
          <w:color w:val="auto"/>
          <w:kern w:val="0"/>
          <w:sz w:val="24"/>
          <w:szCs w:val="24"/>
        </w:rPr>
        <w:t>。</w:t>
      </w:r>
    </w:p>
    <w:p w14:paraId="3B05D404">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1.13工程量清单错误的修正</w:t>
      </w:r>
    </w:p>
    <w:p w14:paraId="46B023C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出现工程量清单错误时，是否调整合同价格：</w:t>
      </w:r>
      <w:r>
        <w:rPr>
          <w:rFonts w:hint="eastAsia" w:ascii="宋体" w:hAnsi="宋体" w:eastAsia="宋体" w:cs="宋体"/>
          <w:color w:val="auto"/>
          <w:sz w:val="24"/>
          <w:szCs w:val="24"/>
          <w:u w:val="single"/>
        </w:rPr>
        <w:t xml:space="preserve">            </w:t>
      </w:r>
      <w:r>
        <w:rPr>
          <w:rFonts w:hint="eastAsia" w:ascii="宋体" w:hAnsi="宋体" w:eastAsia="宋体" w:cs="宋体"/>
          <w:color w:val="auto"/>
          <w:kern w:val="0"/>
          <w:sz w:val="24"/>
          <w:szCs w:val="24"/>
        </w:rPr>
        <w:t>。</w:t>
      </w:r>
    </w:p>
    <w:p w14:paraId="1710C3E8">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允许调整合同价格的工程量偏差范围：</w:t>
      </w:r>
      <w:r>
        <w:rPr>
          <w:rFonts w:hint="eastAsia" w:ascii="宋体" w:hAnsi="宋体" w:eastAsia="宋体" w:cs="宋体"/>
          <w:color w:val="auto"/>
          <w:sz w:val="24"/>
          <w:szCs w:val="24"/>
          <w:u w:val="single"/>
        </w:rPr>
        <w:t xml:space="preserve">                  </w:t>
      </w:r>
    </w:p>
    <w:p w14:paraId="0313C10F">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  </w:t>
      </w:r>
      <w:r>
        <w:rPr>
          <w:rFonts w:hint="eastAsia" w:ascii="宋体" w:hAnsi="宋体" w:eastAsia="宋体" w:cs="宋体"/>
          <w:color w:val="auto"/>
          <w:kern w:val="0"/>
          <w:sz w:val="24"/>
          <w:szCs w:val="24"/>
        </w:rPr>
        <w:t>。</w:t>
      </w:r>
    </w:p>
    <w:p w14:paraId="758BB0ED">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515" w:name="_Toc351203634"/>
      <w:r>
        <w:rPr>
          <w:rFonts w:hint="eastAsia" w:ascii="宋体" w:hAnsi="宋体" w:eastAsia="宋体" w:cs="宋体"/>
          <w:b/>
          <w:bCs w:val="0"/>
          <w:color w:val="auto"/>
          <w:sz w:val="24"/>
          <w:szCs w:val="24"/>
        </w:rPr>
        <w:t>2</w:t>
      </w:r>
      <w:bookmarkStart w:id="516" w:name="_Toc292559362"/>
      <w:bookmarkStart w:id="517" w:name="_Toc296346658"/>
      <w:bookmarkStart w:id="518" w:name="_Toc296944496"/>
      <w:bookmarkStart w:id="519" w:name="_Toc297120457"/>
      <w:bookmarkStart w:id="520" w:name="_Toc296503157"/>
      <w:bookmarkStart w:id="521" w:name="_Toc296347156"/>
      <w:bookmarkStart w:id="522" w:name="_Toc296891197"/>
      <w:bookmarkStart w:id="523" w:name="_Toc296890985"/>
      <w:bookmarkStart w:id="524" w:name="_Toc297048343"/>
      <w:bookmarkStart w:id="525" w:name="_Toc292559867"/>
      <w:r>
        <w:rPr>
          <w:rFonts w:hint="eastAsia" w:ascii="宋体" w:hAnsi="宋体" w:eastAsia="宋体" w:cs="宋体"/>
          <w:b/>
          <w:bCs w:val="0"/>
          <w:color w:val="auto"/>
          <w:sz w:val="24"/>
          <w:szCs w:val="24"/>
        </w:rPr>
        <w:t>. 发包人</w:t>
      </w:r>
      <w:bookmarkEnd w:id="515"/>
    </w:p>
    <w:bookmarkEnd w:id="516"/>
    <w:bookmarkEnd w:id="517"/>
    <w:bookmarkEnd w:id="518"/>
    <w:bookmarkEnd w:id="519"/>
    <w:bookmarkEnd w:id="520"/>
    <w:bookmarkEnd w:id="521"/>
    <w:bookmarkEnd w:id="522"/>
    <w:bookmarkEnd w:id="523"/>
    <w:bookmarkEnd w:id="524"/>
    <w:bookmarkEnd w:id="525"/>
    <w:p w14:paraId="2F0993D4">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2.2 发包人代表</w:t>
      </w:r>
    </w:p>
    <w:p w14:paraId="3E19888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发包人代表：</w:t>
      </w:r>
    </w:p>
    <w:p w14:paraId="311DAAF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    名：</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7281255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身份证号：</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393C779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职    务：</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3AB3FAE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546FB2A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1B94088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0938243C">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发包人对发包人代表的授权范围如下：</w:t>
      </w:r>
      <w:r>
        <w:rPr>
          <w:rFonts w:hint="eastAsia" w:ascii="宋体" w:hAnsi="宋体" w:eastAsia="宋体" w:cs="宋体"/>
          <w:color w:val="auto"/>
          <w:sz w:val="24"/>
          <w:szCs w:val="24"/>
          <w:u w:val="single"/>
        </w:rPr>
        <w:t>     </w:t>
      </w:r>
    </w:p>
    <w:p w14:paraId="2C1A20EA">
      <w:pPr>
        <w:spacing w:line="360" w:lineRule="auto"/>
        <w:rPr>
          <w:rFonts w:hint="eastAsia" w:ascii="宋体" w:hAnsi="宋体" w:eastAsia="宋体" w:cs="宋体"/>
          <w:b/>
          <w:color w:val="auto"/>
          <w:sz w:val="24"/>
          <w:szCs w:val="24"/>
        </w:rPr>
      </w:pP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55D1965A">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2.4 施工现场、施工条件和基础资料的提供</w:t>
      </w:r>
    </w:p>
    <w:p w14:paraId="4CD32E8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2.4.1 提供施工现场</w:t>
      </w:r>
    </w:p>
    <w:p w14:paraId="39626EF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关于发包人移交施工现场的期限要求：</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4E1A3D1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2.4.2 提供施工条件</w:t>
      </w:r>
    </w:p>
    <w:p w14:paraId="428373F2">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关于发包人应负责提供施工所需要的条件，包括：</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75FB6C4E">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2.5 资金来源证明及支付担保</w:t>
      </w:r>
    </w:p>
    <w:p w14:paraId="0DEA15D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发包人提供资金来源证明的期限要求：</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347E0F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发包人是否提供支付担保：</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70DF5E4E">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发包人提供支付担保的形式：</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4F1CFAEC">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526" w:name="_Toc351203635"/>
      <w:r>
        <w:rPr>
          <w:rFonts w:hint="eastAsia" w:ascii="宋体" w:hAnsi="宋体" w:eastAsia="宋体" w:cs="宋体"/>
          <w:b/>
          <w:bCs w:val="0"/>
          <w:color w:val="auto"/>
          <w:sz w:val="24"/>
          <w:szCs w:val="24"/>
        </w:rPr>
        <w:t>3</w:t>
      </w:r>
      <w:bookmarkStart w:id="527" w:name="_Toc297120458"/>
      <w:bookmarkStart w:id="528" w:name="_Toc296347157"/>
      <w:bookmarkStart w:id="529" w:name="_Toc296891198"/>
      <w:bookmarkStart w:id="530" w:name="_Toc297048344"/>
      <w:bookmarkStart w:id="531" w:name="_Toc292559363"/>
      <w:bookmarkStart w:id="532" w:name="_Toc296346659"/>
      <w:bookmarkStart w:id="533" w:name="_Toc296503158"/>
      <w:bookmarkStart w:id="534" w:name="_Toc296944497"/>
      <w:bookmarkStart w:id="535" w:name="_Toc292559868"/>
      <w:bookmarkStart w:id="536" w:name="_Toc296890986"/>
      <w:r>
        <w:rPr>
          <w:rFonts w:hint="eastAsia" w:ascii="宋体" w:hAnsi="宋体" w:eastAsia="宋体" w:cs="宋体"/>
          <w:b/>
          <w:bCs w:val="0"/>
          <w:color w:val="auto"/>
          <w:sz w:val="24"/>
          <w:szCs w:val="24"/>
        </w:rPr>
        <w:t>. 承包人</w:t>
      </w:r>
      <w:bookmarkEnd w:id="526"/>
    </w:p>
    <w:bookmarkEnd w:id="527"/>
    <w:bookmarkEnd w:id="528"/>
    <w:bookmarkEnd w:id="529"/>
    <w:bookmarkEnd w:id="530"/>
    <w:bookmarkEnd w:id="531"/>
    <w:bookmarkEnd w:id="532"/>
    <w:bookmarkEnd w:id="533"/>
    <w:bookmarkEnd w:id="534"/>
    <w:bookmarkEnd w:id="535"/>
    <w:bookmarkEnd w:id="536"/>
    <w:p w14:paraId="4C2C610E">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3.1 承包人的一般义务</w:t>
      </w:r>
    </w:p>
    <w:p w14:paraId="6B43724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（9）</w:t>
      </w:r>
      <w:r>
        <w:rPr>
          <w:rFonts w:hint="eastAsia" w:ascii="宋体" w:hAnsi="宋体" w:eastAsia="宋体" w:cs="宋体"/>
          <w:color w:val="auto"/>
          <w:sz w:val="24"/>
          <w:szCs w:val="24"/>
        </w:rPr>
        <w:t>承包人提交的竣工资料的内容：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C08FBE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6EA6D9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承包人需要提交的竣工资料套数：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FA3241E">
      <w:pPr>
        <w:spacing w:line="360" w:lineRule="auto"/>
        <w:ind w:left="638" w:leftChars="304"/>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承包人提交的竣工资料的费用承担：</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DD582CD">
      <w:pPr>
        <w:spacing w:line="360" w:lineRule="auto"/>
        <w:ind w:left="638" w:leftChars="304"/>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承包人提交的竣工资料移交时间：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B1BD5A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承包人提交的竣工资料形式要求：</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181667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（10）承包人应履行的其他义务：</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1F9D8F84">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 项目经理</w:t>
      </w:r>
    </w:p>
    <w:p w14:paraId="642BF2F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 xml:space="preserve">3.2.1 </w:t>
      </w:r>
      <w:r>
        <w:rPr>
          <w:rFonts w:hint="eastAsia" w:ascii="宋体" w:hAnsi="宋体" w:eastAsia="宋体" w:cs="宋体"/>
          <w:color w:val="auto"/>
          <w:sz w:val="24"/>
          <w:szCs w:val="24"/>
        </w:rPr>
        <w:t>项目经理：</w:t>
      </w:r>
    </w:p>
    <w:p w14:paraId="73DF722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    名：</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4594E11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身份证号：</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2FF54EA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建造师执业资格等级：</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03F890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建造师注册证书号：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875BBA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建造师执业印章号：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34C13D0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安全生产考核合格证书号：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72C2BB8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36506B5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243AC60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2B65BF7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承包人对项目经理的授权范围如下：</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638E53C8">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关于项目经理每月在施工现场的时间要求：</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4A934CA2">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承包人未提交劳动合同，以及没有为项目经理缴纳社会保险证明的违约责任：</w:t>
      </w:r>
      <w:r>
        <w:rPr>
          <w:rFonts w:hint="eastAsia" w:ascii="宋体" w:hAnsi="宋体" w:eastAsia="宋体" w:cs="宋体"/>
          <w:color w:val="auto"/>
          <w:sz w:val="24"/>
          <w:szCs w:val="24"/>
          <w:u w:val="single"/>
        </w:rPr>
        <w:t xml:space="preserve">                                                                                     </w:t>
      </w:r>
      <w:r>
        <w:rPr>
          <w:rFonts w:hint="eastAsia" w:ascii="宋体" w:hAnsi="宋体" w:eastAsia="宋体" w:cs="宋体"/>
          <w:color w:val="auto"/>
          <w:sz w:val="24"/>
          <w:szCs w:val="24"/>
        </w:rPr>
        <w:t>。</w:t>
      </w:r>
    </w:p>
    <w:p w14:paraId="1828A74D">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项目经理未经批准，擅自离开施工现场的违约责任：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                                        </w:t>
      </w:r>
      <w:r>
        <w:rPr>
          <w:rFonts w:hint="eastAsia" w:ascii="宋体" w:hAnsi="宋体" w:eastAsia="宋体" w:cs="宋体"/>
          <w:color w:val="auto"/>
          <w:sz w:val="24"/>
          <w:szCs w:val="24"/>
        </w:rPr>
        <w:t>。</w:t>
      </w:r>
    </w:p>
    <w:p w14:paraId="4F07018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3.2.3 承包人擅自更换项目经理的违约责任：</w:t>
      </w:r>
      <w:r>
        <w:rPr>
          <w:rFonts w:hint="eastAsia" w:ascii="宋体" w:hAnsi="宋体" w:eastAsia="宋体" w:cs="宋体"/>
          <w:color w:val="auto"/>
          <w:sz w:val="24"/>
          <w:szCs w:val="24"/>
          <w:u w:val="single"/>
        </w:rPr>
        <w:t xml:space="preserve">              </w:t>
      </w:r>
    </w:p>
    <w:p w14:paraId="00F65143">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                                    </w:t>
      </w:r>
      <w:r>
        <w:rPr>
          <w:rFonts w:hint="eastAsia" w:ascii="宋体" w:hAnsi="宋体" w:eastAsia="宋体" w:cs="宋体"/>
          <w:color w:val="auto"/>
          <w:sz w:val="24"/>
          <w:szCs w:val="24"/>
        </w:rPr>
        <w:t>。</w:t>
      </w:r>
    </w:p>
    <w:p w14:paraId="4E1651CC">
      <w:pPr>
        <w:spacing w:line="360" w:lineRule="auto"/>
        <w:outlineLvl w:val="0"/>
        <w:rPr>
          <w:rFonts w:hint="eastAsia" w:ascii="宋体" w:hAnsi="宋体" w:eastAsia="宋体" w:cs="宋体"/>
          <w:color w:val="auto"/>
          <w:sz w:val="24"/>
          <w:szCs w:val="24"/>
        </w:rPr>
      </w:pPr>
      <w:r>
        <w:rPr>
          <w:rFonts w:hint="eastAsia" w:ascii="宋体" w:hAnsi="宋体" w:eastAsia="宋体" w:cs="宋体"/>
          <w:color w:val="auto"/>
          <w:sz w:val="24"/>
          <w:szCs w:val="24"/>
        </w:rPr>
        <w:t xml:space="preserve">    3.2.4 承包人无正当理由拒绝更换项目经理的违约责任：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5F5F62FA">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 承包人人员</w:t>
      </w:r>
    </w:p>
    <w:p w14:paraId="1CF27AF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3.3.1 承包人提交项目管理机构及施工现场管理人员安排报告的期限：</w:t>
      </w:r>
      <w:r>
        <w:rPr>
          <w:rFonts w:hint="eastAsia" w:ascii="宋体" w:hAnsi="宋体" w:eastAsia="宋体" w:cs="宋体"/>
          <w:color w:val="auto"/>
          <w:sz w:val="24"/>
          <w:szCs w:val="24"/>
          <w:u w:val="single"/>
        </w:rPr>
        <w:t xml:space="preserve">                                          </w:t>
      </w:r>
      <w:r>
        <w:rPr>
          <w:rFonts w:hint="eastAsia" w:ascii="宋体" w:hAnsi="宋体" w:eastAsia="宋体" w:cs="宋体"/>
          <w:color w:val="auto"/>
          <w:sz w:val="24"/>
          <w:szCs w:val="24"/>
        </w:rPr>
        <w:t>。</w:t>
      </w:r>
    </w:p>
    <w:p w14:paraId="0F2C50C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3.3.3 承包人无正当理由拒绝撤换主要施工管理人员的违约责任：</w:t>
      </w:r>
      <w:r>
        <w:rPr>
          <w:rFonts w:hint="eastAsia" w:ascii="宋体" w:hAnsi="宋体" w:eastAsia="宋体" w:cs="宋体"/>
          <w:color w:val="auto"/>
          <w:sz w:val="24"/>
          <w:szCs w:val="24"/>
          <w:u w:val="single"/>
        </w:rPr>
        <w:t xml:space="preserve">                                              </w:t>
      </w:r>
      <w:r>
        <w:rPr>
          <w:rFonts w:hint="eastAsia" w:ascii="宋体" w:hAnsi="宋体" w:eastAsia="宋体" w:cs="宋体"/>
          <w:color w:val="auto"/>
          <w:sz w:val="24"/>
          <w:szCs w:val="24"/>
        </w:rPr>
        <w:t>。</w:t>
      </w:r>
    </w:p>
    <w:p w14:paraId="28ADD19E">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3.3.4 承包人主要施工管理人员离开施工现场的批准要求：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5552BB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3.3.5承包人擅自更换主要施工管理人员的违约责任：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D463E9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承包人主要施工管理人员擅自离开施工现场的违约责任：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78C2833">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bookmarkStart w:id="537" w:name="_Toc296944498"/>
      <w:bookmarkStart w:id="538" w:name="_Toc292559869"/>
      <w:bookmarkStart w:id="539" w:name="_Toc296891199"/>
      <w:bookmarkStart w:id="540" w:name="_Toc303539102"/>
      <w:bookmarkStart w:id="541" w:name="_Toc296503159"/>
      <w:bookmarkStart w:id="542" w:name="_Toc297216151"/>
      <w:bookmarkStart w:id="543" w:name="_Toc300934945"/>
      <w:bookmarkStart w:id="544" w:name="_Toc304295523"/>
      <w:bookmarkStart w:id="545" w:name="_Toc297120459"/>
      <w:bookmarkStart w:id="546" w:name="_Toc292559364"/>
      <w:bookmarkStart w:id="547" w:name="_Toc296890987"/>
      <w:bookmarkStart w:id="548" w:name="_Toc312677988"/>
      <w:bookmarkStart w:id="549" w:name="_Toc297123492"/>
      <w:bookmarkStart w:id="550" w:name="_Toc296347158"/>
      <w:bookmarkStart w:id="551" w:name="_Toc296346660"/>
      <w:bookmarkStart w:id="552" w:name="_Toc297048345"/>
      <w:r>
        <w:rPr>
          <w:rFonts w:hint="eastAsia" w:ascii="宋体" w:hAnsi="宋体" w:eastAsia="宋体" w:cs="宋体"/>
          <w:color w:val="auto"/>
          <w:sz w:val="24"/>
          <w:szCs w:val="24"/>
        </w:rPr>
        <w:t>.5 分包</w:t>
      </w:r>
    </w:p>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14:paraId="7B265D1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bookmarkStart w:id="553" w:name="_Toc292559870"/>
      <w:bookmarkStart w:id="554" w:name="_Toc296503160"/>
      <w:bookmarkStart w:id="555" w:name="_Toc303539103"/>
      <w:bookmarkStart w:id="556" w:name="_Toc296890988"/>
      <w:bookmarkStart w:id="557" w:name="_Toc300934946"/>
      <w:bookmarkStart w:id="558" w:name="_Toc297120460"/>
      <w:bookmarkStart w:id="559" w:name="_Toc297216152"/>
      <w:bookmarkStart w:id="560" w:name="_Toc297123493"/>
      <w:bookmarkStart w:id="561" w:name="_Toc297048346"/>
      <w:bookmarkStart w:id="562" w:name="_Toc304295524"/>
      <w:bookmarkStart w:id="563" w:name="_Toc296891200"/>
      <w:bookmarkStart w:id="564" w:name="_Toc296944499"/>
      <w:bookmarkStart w:id="565" w:name="_Toc292559365"/>
      <w:bookmarkStart w:id="566" w:name="_Toc296346661"/>
      <w:bookmarkStart w:id="567" w:name="_Toc296347159"/>
      <w:bookmarkStart w:id="568" w:name="_Toc312677989"/>
      <w:bookmarkStart w:id="569" w:name="_Toc318581158"/>
      <w:r>
        <w:rPr>
          <w:rFonts w:hint="eastAsia" w:ascii="宋体" w:hAnsi="宋体" w:eastAsia="宋体" w:cs="宋体"/>
          <w:color w:val="auto"/>
          <w:sz w:val="24"/>
          <w:szCs w:val="24"/>
        </w:rPr>
        <w:t>.5.1 分包的一般约定</w:t>
      </w:r>
    </w:p>
    <w:p w14:paraId="17C1BFD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禁止分包的工程包括：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1DE9E9">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主体结构、关键性工作的范围：</w:t>
      </w:r>
      <w:r>
        <w:rPr>
          <w:rFonts w:hint="eastAsia" w:ascii="宋体" w:hAnsi="宋体" w:eastAsia="宋体" w:cs="宋体"/>
          <w:color w:val="auto"/>
          <w:sz w:val="24"/>
          <w:szCs w:val="24"/>
          <w:u w:val="single"/>
        </w:rPr>
        <w:t xml:space="preserve">                      </w:t>
      </w:r>
    </w:p>
    <w:p w14:paraId="77A560E8">
      <w:pPr>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Start w:id="570" w:name="_Toc296890989"/>
      <w:bookmarkStart w:id="571" w:name="_Toc296944500"/>
      <w:bookmarkStart w:id="572" w:name="_Toc296891201"/>
      <w:bookmarkStart w:id="573" w:name="_Toc303539104"/>
      <w:bookmarkStart w:id="574" w:name="_Toc297048347"/>
      <w:bookmarkStart w:id="575" w:name="_Toc296503161"/>
      <w:bookmarkStart w:id="576" w:name="_Toc296347160"/>
      <w:bookmarkStart w:id="577" w:name="_Toc296346662"/>
      <w:bookmarkStart w:id="578" w:name="_Toc297123494"/>
      <w:bookmarkStart w:id="579" w:name="_Toc297216153"/>
      <w:bookmarkStart w:id="580" w:name="_Toc300934947"/>
      <w:bookmarkStart w:id="581" w:name="_Toc304295525"/>
      <w:bookmarkStart w:id="582" w:name="_Toc297120461"/>
    </w:p>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14:paraId="5A8985A1">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w:t>
      </w:r>
      <w:bookmarkStart w:id="583" w:name="_Toc318581159"/>
      <w:bookmarkStart w:id="584" w:name="_Toc312677990"/>
      <w:r>
        <w:rPr>
          <w:rFonts w:hint="eastAsia" w:ascii="宋体" w:hAnsi="宋体" w:eastAsia="宋体" w:cs="宋体"/>
          <w:color w:val="auto"/>
          <w:sz w:val="24"/>
          <w:szCs w:val="24"/>
        </w:rPr>
        <w:t>.5.2分包的确定</w:t>
      </w:r>
    </w:p>
    <w:p w14:paraId="48662672">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允许分包的专业工程包括：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39DE869">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其他关于分包的约定：</w:t>
      </w:r>
      <w:r>
        <w:rPr>
          <w:rFonts w:hint="eastAsia" w:ascii="宋体" w:hAnsi="宋体" w:eastAsia="宋体" w:cs="宋体"/>
          <w:color w:val="auto"/>
          <w:sz w:val="24"/>
          <w:szCs w:val="24"/>
          <w:u w:val="single"/>
        </w:rPr>
        <w:t xml:space="preserve">                                  </w:t>
      </w:r>
    </w:p>
    <w:p w14:paraId="649D4D6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3D882B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3.5.4 分包合同价款</w:t>
      </w:r>
    </w:p>
    <w:p w14:paraId="58A5918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关于分包合同价款支付的约定：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583"/>
    <w:bookmarkEnd w:id="584"/>
    <w:p w14:paraId="57C84B7F">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3.6 工程照管与成品、半成品保护</w:t>
      </w:r>
    </w:p>
    <w:p w14:paraId="156C54C1">
      <w:pPr>
        <w:spacing w:before="120" w:after="120"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承包人负责照管工程及工程相关的材料、工程设备的起始时间：</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774C69B2">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3.7 履约担保</w:t>
      </w:r>
    </w:p>
    <w:p w14:paraId="2D3C40D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承包人是否提供履约担保：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555529">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承包人提供履约担保的形式、金额及期限的：</w:t>
      </w:r>
      <w:r>
        <w:rPr>
          <w:rFonts w:hint="eastAsia" w:ascii="宋体" w:hAnsi="宋体" w:eastAsia="宋体" w:cs="宋体"/>
          <w:color w:val="auto"/>
          <w:sz w:val="24"/>
          <w:szCs w:val="24"/>
          <w:u w:val="single"/>
        </w:rPr>
        <w:t xml:space="preserve">              </w:t>
      </w:r>
    </w:p>
    <w:p w14:paraId="2BADD566">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A004118">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585" w:name="_Toc351203636"/>
      <w:r>
        <w:rPr>
          <w:rFonts w:hint="eastAsia" w:ascii="宋体" w:hAnsi="宋体" w:eastAsia="宋体" w:cs="宋体"/>
          <w:b/>
          <w:bCs w:val="0"/>
          <w:color w:val="auto"/>
          <w:sz w:val="24"/>
          <w:szCs w:val="24"/>
        </w:rPr>
        <w:t>4</w:t>
      </w:r>
      <w:bookmarkStart w:id="586" w:name="_Toc296944501"/>
      <w:bookmarkStart w:id="587" w:name="_Toc296503162"/>
      <w:bookmarkStart w:id="588" w:name="_Toc292559871"/>
      <w:bookmarkStart w:id="589" w:name="_Toc296890990"/>
      <w:bookmarkStart w:id="590" w:name="_Toc296891202"/>
      <w:bookmarkStart w:id="591" w:name="_Toc297048348"/>
      <w:bookmarkStart w:id="592" w:name="_Toc297120462"/>
      <w:bookmarkStart w:id="593" w:name="_Toc267251413"/>
      <w:bookmarkStart w:id="594" w:name="_Toc296347161"/>
      <w:bookmarkStart w:id="595" w:name="_Toc292559366"/>
      <w:bookmarkStart w:id="596" w:name="_Toc296346663"/>
      <w:r>
        <w:rPr>
          <w:rFonts w:hint="eastAsia" w:ascii="宋体" w:hAnsi="宋体" w:eastAsia="宋体" w:cs="宋体"/>
          <w:b/>
          <w:bCs w:val="0"/>
          <w:color w:val="auto"/>
          <w:sz w:val="24"/>
          <w:szCs w:val="24"/>
        </w:rPr>
        <w:t>. 监</w:t>
      </w:r>
      <w:bookmarkEnd w:id="586"/>
      <w:bookmarkEnd w:id="587"/>
      <w:bookmarkEnd w:id="588"/>
      <w:bookmarkEnd w:id="589"/>
      <w:bookmarkEnd w:id="590"/>
      <w:bookmarkEnd w:id="591"/>
      <w:bookmarkEnd w:id="592"/>
      <w:bookmarkEnd w:id="593"/>
      <w:bookmarkEnd w:id="594"/>
      <w:bookmarkEnd w:id="595"/>
      <w:bookmarkEnd w:id="596"/>
      <w:r>
        <w:rPr>
          <w:rFonts w:hint="eastAsia" w:ascii="宋体" w:hAnsi="宋体" w:eastAsia="宋体" w:cs="宋体"/>
          <w:b/>
          <w:bCs w:val="0"/>
          <w:color w:val="auto"/>
          <w:sz w:val="24"/>
          <w:szCs w:val="24"/>
        </w:rPr>
        <w:t>理人</w:t>
      </w:r>
      <w:bookmarkEnd w:id="585"/>
    </w:p>
    <w:p w14:paraId="161C6FB9">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4.1监理人的一般规定</w:t>
      </w:r>
    </w:p>
    <w:p w14:paraId="7812FF0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关于监理人的监理内容：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8CB3C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关于监理人的监理权限：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36914E3B">
      <w:pPr>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关于监理人在施工现场的办公场所、生活场所的提供和费用承担的约定：</w:t>
      </w:r>
      <w:r>
        <w:rPr>
          <w:rFonts w:hint="eastAsia" w:ascii="宋体" w:hAnsi="宋体" w:eastAsia="宋体" w:cs="宋体"/>
          <w:color w:val="auto"/>
          <w:sz w:val="24"/>
          <w:szCs w:val="24"/>
          <w:u w:val="single"/>
        </w:rPr>
        <w:t xml:space="preserve">                                                </w:t>
      </w:r>
    </w:p>
    <w:p w14:paraId="6DEDBF25">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1A4CB3C">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4.2 监理人员</w:t>
      </w:r>
    </w:p>
    <w:p w14:paraId="5E0BCFC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总监理工程师：</w:t>
      </w:r>
    </w:p>
    <w:p w14:paraId="3BD8586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    名：</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33016B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职    务：</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8B2BC2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监理工程师执业资格证书号：</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14:paraId="22B9C7E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746463B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电子信箱：</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63C4061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通信地址：</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1D3C80D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关于监理人的其他约定：</w:t>
      </w:r>
      <w:r>
        <w:rPr>
          <w:rFonts w:hint="eastAsia" w:ascii="宋体" w:hAnsi="宋体" w:eastAsia="宋体" w:cs="宋体"/>
          <w:color w:val="auto"/>
          <w:sz w:val="24"/>
          <w:szCs w:val="24"/>
          <w:u w:val="single"/>
        </w:rPr>
        <w:t>   </w:t>
      </w:r>
      <w:r>
        <w:rPr>
          <w:rFonts w:hint="eastAsia" w:ascii="宋体" w:hAnsi="宋体" w:eastAsia="宋体" w:cs="宋体"/>
          <w:color w:val="auto"/>
          <w:sz w:val="24"/>
          <w:szCs w:val="24"/>
        </w:rPr>
        <w:t>。</w:t>
      </w:r>
    </w:p>
    <w:p w14:paraId="5F4CBD18">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4.4 商定或确定</w:t>
      </w:r>
    </w:p>
    <w:p w14:paraId="13016078">
      <w:pPr>
        <w:spacing w:line="360" w:lineRule="auto"/>
        <w:ind w:firstLine="480" w:firstLineChars="200"/>
        <w:rPr>
          <w:rFonts w:hint="eastAsia" w:ascii="宋体" w:hAnsi="宋体" w:eastAsia="宋体" w:cs="宋体"/>
          <w:color w:val="auto"/>
          <w:sz w:val="24"/>
          <w:szCs w:val="24"/>
        </w:rPr>
      </w:pPr>
      <w:bookmarkStart w:id="597" w:name="_Toc267251418"/>
      <w:r>
        <w:rPr>
          <w:rFonts w:hint="eastAsia" w:ascii="宋体" w:hAnsi="宋体" w:eastAsia="宋体" w:cs="宋体"/>
          <w:color w:val="auto"/>
          <w:sz w:val="24"/>
          <w:szCs w:val="24"/>
        </w:rPr>
        <w:t>在发包人和承包人不能通过协商达成一致意见时，发包人授权监理人对以下事项进行确定：</w:t>
      </w:r>
    </w:p>
    <w:p w14:paraId="0F85D0CD">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58EEF56">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6D3FD8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DED75E">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598" w:name="_Toc351203637"/>
      <w:r>
        <w:rPr>
          <w:rFonts w:hint="eastAsia" w:ascii="宋体" w:hAnsi="宋体" w:eastAsia="宋体" w:cs="宋体"/>
          <w:b/>
          <w:bCs w:val="0"/>
          <w:color w:val="auto"/>
          <w:sz w:val="24"/>
          <w:szCs w:val="24"/>
        </w:rPr>
        <w:t>5</w:t>
      </w:r>
      <w:bookmarkEnd w:id="597"/>
      <w:bookmarkStart w:id="599" w:name="_Toc296503163"/>
      <w:bookmarkStart w:id="600" w:name="_Toc297048349"/>
      <w:bookmarkStart w:id="601" w:name="_Toc292559872"/>
      <w:bookmarkStart w:id="602" w:name="_Toc296944502"/>
      <w:bookmarkStart w:id="603" w:name="_Toc296347162"/>
      <w:bookmarkStart w:id="604" w:name="_Toc296890991"/>
      <w:bookmarkStart w:id="605" w:name="_Toc292559367"/>
      <w:bookmarkStart w:id="606" w:name="_Toc297120463"/>
      <w:bookmarkStart w:id="607" w:name="_Toc296346664"/>
      <w:bookmarkStart w:id="608" w:name="_Toc296891203"/>
      <w:r>
        <w:rPr>
          <w:rFonts w:hint="eastAsia" w:ascii="宋体" w:hAnsi="宋体" w:eastAsia="宋体" w:cs="宋体"/>
          <w:b/>
          <w:bCs w:val="0"/>
          <w:color w:val="auto"/>
          <w:sz w:val="24"/>
          <w:szCs w:val="24"/>
        </w:rPr>
        <w:t>. 工程质量</w:t>
      </w:r>
      <w:bookmarkEnd w:id="598"/>
    </w:p>
    <w:p w14:paraId="4A29B560">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5.1 质量要求</w:t>
      </w:r>
    </w:p>
    <w:p w14:paraId="73F5F485">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5</w:t>
      </w:r>
      <w:bookmarkStart w:id="609" w:name="_Toc304295527"/>
      <w:bookmarkStart w:id="610" w:name="_Toc318581164"/>
      <w:bookmarkStart w:id="611" w:name="_Toc297123496"/>
      <w:bookmarkStart w:id="612" w:name="_Toc297216155"/>
      <w:bookmarkStart w:id="613" w:name="_Toc303539106"/>
      <w:bookmarkStart w:id="614" w:name="_Toc312677997"/>
      <w:bookmarkStart w:id="615" w:name="_Toc300934949"/>
      <w:r>
        <w:rPr>
          <w:rFonts w:hint="eastAsia" w:ascii="宋体" w:hAnsi="宋体" w:eastAsia="宋体" w:cs="宋体"/>
          <w:color w:val="auto"/>
          <w:sz w:val="24"/>
          <w:szCs w:val="24"/>
        </w:rPr>
        <w:t>.1.1 特殊质量标准和要求：</w:t>
      </w:r>
      <w:r>
        <w:rPr>
          <w:rFonts w:hint="eastAsia" w:ascii="宋体" w:hAnsi="宋体" w:eastAsia="宋体" w:cs="宋体"/>
          <w:color w:val="auto"/>
          <w:sz w:val="24"/>
          <w:szCs w:val="24"/>
          <w:u w:val="single"/>
        </w:rPr>
        <w:t xml:space="preserve">                             </w:t>
      </w:r>
    </w:p>
    <w:p w14:paraId="03B0BD4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6219840">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关于工程奖项的约定：</w:t>
      </w:r>
      <w:r>
        <w:rPr>
          <w:rFonts w:hint="eastAsia" w:ascii="宋体" w:hAnsi="宋体" w:eastAsia="宋体" w:cs="宋体"/>
          <w:color w:val="auto"/>
          <w:sz w:val="24"/>
          <w:szCs w:val="24"/>
          <w:u w:val="single"/>
        </w:rPr>
        <w:t xml:space="preserve">                                  </w:t>
      </w:r>
    </w:p>
    <w:p w14:paraId="58ADA0B8">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29AF72B">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5.3 隐蔽工程检查</w:t>
      </w:r>
    </w:p>
    <w:p w14:paraId="174A6D8B">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5.3.2承包人提前通知监理人隐蔽工程检查的期限的约定：</w:t>
      </w:r>
      <w:r>
        <w:rPr>
          <w:rFonts w:hint="eastAsia" w:ascii="宋体" w:hAnsi="宋体" w:eastAsia="宋体" w:cs="宋体"/>
          <w:color w:val="auto"/>
          <w:sz w:val="24"/>
          <w:szCs w:val="24"/>
          <w:u w:val="single"/>
        </w:rPr>
        <w:t xml:space="preserve">    </w:t>
      </w:r>
    </w:p>
    <w:p w14:paraId="28456E41">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D47ABD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监理人不能按时进行检查时，应提前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小时提交书面延期要求。</w:t>
      </w:r>
    </w:p>
    <w:p w14:paraId="4438CFA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关于延期最长不得超过：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w:t>
      </w:r>
    </w:p>
    <w:p w14:paraId="54868DD4">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616" w:name="_Toc351203638"/>
      <w:r>
        <w:rPr>
          <w:rFonts w:hint="eastAsia" w:ascii="宋体" w:hAnsi="宋体" w:eastAsia="宋体" w:cs="宋体"/>
          <w:b/>
          <w:bCs w:val="0"/>
          <w:color w:val="auto"/>
          <w:sz w:val="24"/>
          <w:szCs w:val="24"/>
        </w:rPr>
        <w:t>6. 安全文明施工与环境保护</w:t>
      </w:r>
      <w:bookmarkEnd w:id="616"/>
    </w:p>
    <w:p w14:paraId="142D8D38">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6.1安全文明施工</w:t>
      </w:r>
    </w:p>
    <w:p w14:paraId="4F4F7B2F">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6.1.1 项目安全生产的达标目标及相应事项的约定：</w:t>
      </w:r>
      <w:r>
        <w:rPr>
          <w:rFonts w:hint="eastAsia" w:ascii="宋体" w:hAnsi="宋体" w:eastAsia="宋体" w:cs="宋体"/>
          <w:color w:val="auto"/>
          <w:sz w:val="24"/>
          <w:szCs w:val="24"/>
          <w:u w:val="single"/>
        </w:rPr>
        <w:t xml:space="preserve">         </w:t>
      </w:r>
    </w:p>
    <w:p w14:paraId="3E056198">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4ADE17B">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6.1.4 关于治安保卫的特别约定：</w:t>
      </w:r>
      <w:r>
        <w:rPr>
          <w:rFonts w:hint="eastAsia" w:ascii="宋体" w:hAnsi="宋体" w:eastAsia="宋体" w:cs="宋体"/>
          <w:color w:val="auto"/>
          <w:sz w:val="24"/>
          <w:szCs w:val="24"/>
          <w:u w:val="single"/>
        </w:rPr>
        <w:t xml:space="preserve">                         </w:t>
      </w:r>
    </w:p>
    <w:p w14:paraId="1A8DF7C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6ED823F">
      <w:pPr>
        <w:spacing w:line="360" w:lineRule="auto"/>
        <w:ind w:firstLine="480" w:firstLineChars="200"/>
        <w:jc w:val="left"/>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rPr>
        <w:t>关于编制施工场地治安管理计划的约定：</w:t>
      </w:r>
      <w:r>
        <w:rPr>
          <w:rFonts w:hint="eastAsia" w:ascii="宋体" w:hAnsi="宋体" w:eastAsia="宋体" w:cs="宋体"/>
          <w:color w:val="auto"/>
          <w:sz w:val="24"/>
          <w:szCs w:val="24"/>
          <w:u w:val="single"/>
        </w:rPr>
        <w:t xml:space="preserve">                  </w:t>
      </w:r>
    </w:p>
    <w:p w14:paraId="6CE7D82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F0A004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6.1.5 文明施工</w:t>
      </w:r>
    </w:p>
    <w:p w14:paraId="36414DFD">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合同当事人对文明施工的要求：</w:t>
      </w:r>
      <w:r>
        <w:rPr>
          <w:rFonts w:hint="eastAsia" w:ascii="宋体" w:hAnsi="宋体" w:eastAsia="宋体" w:cs="宋体"/>
          <w:color w:val="auto"/>
          <w:sz w:val="24"/>
          <w:szCs w:val="24"/>
          <w:u w:val="single"/>
        </w:rPr>
        <w:t xml:space="preserve">                          </w:t>
      </w:r>
    </w:p>
    <w:p w14:paraId="3FBD452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B2579B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6.1.6 关于安全文明施工费支付比例和支付期限的约定：</w:t>
      </w:r>
      <w:r>
        <w:rPr>
          <w:rFonts w:hint="eastAsia" w:ascii="宋体" w:hAnsi="宋体" w:eastAsia="宋体" w:cs="宋体"/>
          <w:color w:val="auto"/>
          <w:sz w:val="24"/>
          <w:szCs w:val="24"/>
          <w:u w:val="single"/>
        </w:rPr>
        <w:t xml:space="preserve">     </w:t>
      </w:r>
    </w:p>
    <w:p w14:paraId="2FC8A007">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609"/>
    <w:bookmarkEnd w:id="610"/>
    <w:bookmarkEnd w:id="611"/>
    <w:bookmarkEnd w:id="612"/>
    <w:bookmarkEnd w:id="613"/>
    <w:bookmarkEnd w:id="614"/>
    <w:bookmarkEnd w:id="615"/>
    <w:p w14:paraId="176FF20F">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617" w:name="_Toc351203639"/>
      <w:r>
        <w:rPr>
          <w:rFonts w:hint="eastAsia" w:ascii="宋体" w:hAnsi="宋体" w:eastAsia="宋体" w:cs="宋体"/>
          <w:b/>
          <w:bCs w:val="0"/>
          <w:color w:val="auto"/>
          <w:sz w:val="24"/>
          <w:szCs w:val="24"/>
        </w:rPr>
        <w:t>7. 工期和进度</w:t>
      </w:r>
      <w:bookmarkEnd w:id="617"/>
    </w:p>
    <w:p w14:paraId="1A1FE32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7.1 施工组织设计</w:t>
      </w:r>
    </w:p>
    <w:p w14:paraId="6BD3007B">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7.1.1 合</w:t>
      </w:r>
      <w:r>
        <w:rPr>
          <w:rFonts w:hint="eastAsia" w:ascii="宋体" w:hAnsi="宋体" w:eastAsia="宋体" w:cs="宋体"/>
          <w:color w:val="auto"/>
          <w:kern w:val="0"/>
          <w:sz w:val="24"/>
          <w:szCs w:val="24"/>
        </w:rPr>
        <w:t>同当事人约定的施工组织设计应包括的其他内容：</w:t>
      </w:r>
      <w:r>
        <w:rPr>
          <w:rFonts w:hint="eastAsia" w:ascii="宋体" w:hAnsi="宋体" w:eastAsia="宋体" w:cs="宋体"/>
          <w:color w:val="auto"/>
          <w:sz w:val="24"/>
          <w:szCs w:val="24"/>
          <w:u w:val="single"/>
        </w:rPr>
        <w:t xml:space="preserve">   </w:t>
      </w:r>
    </w:p>
    <w:p w14:paraId="2C314E60">
      <w:pPr>
        <w:autoSpaceDE w:val="0"/>
        <w:autoSpaceDN w:val="0"/>
        <w:adjustRightInd w:val="0"/>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0F5EC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 xml:space="preserve">7.1.2 </w:t>
      </w:r>
      <w:r>
        <w:rPr>
          <w:rFonts w:hint="eastAsia" w:ascii="宋体" w:hAnsi="宋体" w:eastAsia="宋体" w:cs="宋体"/>
          <w:color w:val="auto"/>
          <w:kern w:val="0"/>
          <w:sz w:val="24"/>
          <w:szCs w:val="24"/>
        </w:rPr>
        <w:t>施工组织设计的提交和修改</w:t>
      </w:r>
    </w:p>
    <w:p w14:paraId="588D63E9">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承包人提交详细施工组织设计的期限的约定：</w:t>
      </w:r>
      <w:r>
        <w:rPr>
          <w:rFonts w:hint="eastAsia" w:ascii="宋体" w:hAnsi="宋体" w:eastAsia="宋体" w:cs="宋体"/>
          <w:color w:val="auto"/>
          <w:sz w:val="24"/>
          <w:szCs w:val="24"/>
          <w:u w:val="single"/>
        </w:rPr>
        <w:t xml:space="preserve">              </w:t>
      </w:r>
    </w:p>
    <w:p w14:paraId="4D21D17D">
      <w:pPr>
        <w:autoSpaceDE w:val="0"/>
        <w:autoSpaceDN w:val="0"/>
        <w:adjustRightIn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04E660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发包人和监理人在收到详细的施工组织设计后确认或提出修改意见的期限：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70DB20F">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18" w:name="_Toc312678005"/>
      <w:bookmarkStart w:id="619" w:name="_Toc304295541"/>
      <w:bookmarkStart w:id="620" w:name="_Toc300934966"/>
      <w:bookmarkStart w:id="621" w:name="_Toc312677479"/>
      <w:bookmarkStart w:id="622" w:name="_Toc297216173"/>
      <w:bookmarkStart w:id="623" w:name="_Toc297123514"/>
      <w:bookmarkStart w:id="624" w:name="_Toc303539123"/>
      <w:r>
        <w:rPr>
          <w:rFonts w:hint="eastAsia" w:ascii="宋体" w:hAnsi="宋体" w:eastAsia="宋体" w:cs="宋体"/>
          <w:color w:val="auto"/>
          <w:sz w:val="24"/>
          <w:szCs w:val="24"/>
        </w:rPr>
        <w:t>.2 施工进度计划</w:t>
      </w:r>
    </w:p>
    <w:p w14:paraId="0DBA0B2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7.2.2 施工进度计划的修订</w:t>
      </w:r>
    </w:p>
    <w:p w14:paraId="33753B3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发包人和监理人在收到修订的施工进度计划后确认或提出修改意见的期限：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30E230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7.3 开工</w:t>
      </w:r>
    </w:p>
    <w:p w14:paraId="2B2EEBFC">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7.3.1 开工准备</w:t>
      </w:r>
    </w:p>
    <w:p w14:paraId="626B0103">
      <w:pPr>
        <w:spacing w:line="360" w:lineRule="auto"/>
        <w:ind w:firstLine="645"/>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关于承包人提交</w:t>
      </w:r>
      <w:r>
        <w:rPr>
          <w:rFonts w:hint="eastAsia" w:ascii="宋体" w:hAnsi="宋体" w:eastAsia="宋体" w:cs="宋体"/>
          <w:color w:val="auto"/>
          <w:kern w:val="0"/>
          <w:sz w:val="24"/>
          <w:szCs w:val="24"/>
        </w:rPr>
        <w:t>工程开工报审表的期限：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E4D0B11">
      <w:pPr>
        <w:spacing w:line="360" w:lineRule="auto"/>
        <w:ind w:firstLine="645"/>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关于发包人应完成的其他开工准备工作及期限：</w:t>
      </w:r>
      <w:r>
        <w:rPr>
          <w:rFonts w:hint="eastAsia" w:ascii="宋体" w:hAnsi="宋体" w:eastAsia="宋体" w:cs="宋体"/>
          <w:color w:val="auto"/>
          <w:sz w:val="24"/>
          <w:szCs w:val="24"/>
          <w:u w:val="single"/>
        </w:rPr>
        <w:t xml:space="preserve">             </w:t>
      </w:r>
    </w:p>
    <w:p w14:paraId="5CF2F36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0F5B7B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关于承包人应完成的其他开工准备工作及期限：</w:t>
      </w:r>
      <w:r>
        <w:rPr>
          <w:rFonts w:hint="eastAsia" w:ascii="宋体" w:hAnsi="宋体" w:eastAsia="宋体" w:cs="宋体"/>
          <w:color w:val="auto"/>
          <w:sz w:val="24"/>
          <w:szCs w:val="24"/>
          <w:u w:val="single"/>
        </w:rPr>
        <w:t xml:space="preserve">            </w:t>
      </w:r>
    </w:p>
    <w:p w14:paraId="41FB9CF2">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05550B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7.3.2开工通知</w:t>
      </w:r>
    </w:p>
    <w:p w14:paraId="07305BA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因发包人原因造成监理人未能在计划开工日期之日起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天内发出开工通知的，承包人有权提出价格调整要求，或者解除合同。</w:t>
      </w:r>
    </w:p>
    <w:bookmarkEnd w:id="618"/>
    <w:bookmarkEnd w:id="619"/>
    <w:bookmarkEnd w:id="620"/>
    <w:bookmarkEnd w:id="621"/>
    <w:bookmarkEnd w:id="622"/>
    <w:bookmarkEnd w:id="623"/>
    <w:bookmarkEnd w:id="624"/>
    <w:p w14:paraId="562F7709">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7.4 测量放线</w:t>
      </w:r>
    </w:p>
    <w:p w14:paraId="58A7A437">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7.4.1发包人通过监理人向承包人提供测量基准点、基准线和水准点及其书面资料的期限：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8534327">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25" w:name="_Toc297123516"/>
      <w:bookmarkStart w:id="626" w:name="_Toc303539125"/>
      <w:bookmarkStart w:id="627" w:name="_Toc304295546"/>
      <w:bookmarkStart w:id="628" w:name="_Toc300934968"/>
      <w:bookmarkStart w:id="629" w:name="_Toc312677484"/>
      <w:bookmarkStart w:id="630" w:name="_Toc297216175"/>
      <w:bookmarkStart w:id="631" w:name="_Toc312678010"/>
      <w:r>
        <w:rPr>
          <w:rFonts w:hint="eastAsia" w:ascii="宋体" w:hAnsi="宋体" w:eastAsia="宋体" w:cs="宋体"/>
          <w:color w:val="auto"/>
          <w:sz w:val="24"/>
          <w:szCs w:val="24"/>
        </w:rPr>
        <w:t>.5 工期延误</w:t>
      </w:r>
    </w:p>
    <w:bookmarkEnd w:id="625"/>
    <w:bookmarkEnd w:id="626"/>
    <w:bookmarkEnd w:id="627"/>
    <w:bookmarkEnd w:id="628"/>
    <w:bookmarkEnd w:id="629"/>
    <w:bookmarkEnd w:id="630"/>
    <w:bookmarkEnd w:id="631"/>
    <w:p w14:paraId="733B03F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7.5.1 因发包人原因导致工期延误</w:t>
      </w:r>
    </w:p>
    <w:p w14:paraId="552895EE">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（7）因发包人原因导致工期延误的其他情形：</w:t>
      </w:r>
      <w:r>
        <w:rPr>
          <w:rFonts w:hint="eastAsia" w:ascii="宋体" w:hAnsi="宋体" w:eastAsia="宋体" w:cs="宋体"/>
          <w:color w:val="auto"/>
          <w:sz w:val="24"/>
          <w:szCs w:val="24"/>
          <w:u w:val="single"/>
        </w:rPr>
        <w:t xml:space="preserve">              </w:t>
      </w:r>
    </w:p>
    <w:p w14:paraId="7337C57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124ABF4">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32" w:name="_Toc312677486"/>
      <w:bookmarkStart w:id="633" w:name="_Toc312678012"/>
      <w:bookmarkStart w:id="634" w:name="_Toc318581169"/>
      <w:bookmarkStart w:id="635" w:name="_Toc297216177"/>
      <w:bookmarkStart w:id="636" w:name="_Toc297123518"/>
      <w:bookmarkStart w:id="637" w:name="_Toc304295548"/>
      <w:bookmarkStart w:id="638" w:name="_Toc303539127"/>
      <w:bookmarkStart w:id="639" w:name="_Toc300934970"/>
      <w:r>
        <w:rPr>
          <w:rFonts w:hint="eastAsia" w:ascii="宋体" w:hAnsi="宋体" w:eastAsia="宋体" w:cs="宋体"/>
          <w:color w:val="auto"/>
          <w:sz w:val="24"/>
          <w:szCs w:val="24"/>
        </w:rPr>
        <w:t>.5.2 因承包人原因导致工期延误</w:t>
      </w:r>
    </w:p>
    <w:bookmarkEnd w:id="632"/>
    <w:bookmarkEnd w:id="633"/>
    <w:bookmarkEnd w:id="634"/>
    <w:p w14:paraId="1D2B13D8">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因</w:t>
      </w:r>
      <w:bookmarkStart w:id="640" w:name="_Toc312678013"/>
      <w:bookmarkStart w:id="641" w:name="_Toc312677487"/>
      <w:bookmarkStart w:id="642" w:name="_Toc318581170"/>
      <w:r>
        <w:rPr>
          <w:rFonts w:hint="eastAsia" w:ascii="宋体" w:hAnsi="宋体" w:eastAsia="宋体" w:cs="宋体"/>
          <w:color w:val="auto"/>
          <w:sz w:val="24"/>
          <w:szCs w:val="24"/>
        </w:rPr>
        <w:t>承包人原因造成工期延误，逾期竣工违约金的计算方法为：</w:t>
      </w:r>
    </w:p>
    <w:p w14:paraId="0262BB21">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bookmarkEnd w:id="635"/>
      <w:bookmarkEnd w:id="636"/>
      <w:bookmarkEnd w:id="637"/>
      <w:bookmarkEnd w:id="638"/>
      <w:bookmarkEnd w:id="639"/>
      <w:bookmarkEnd w:id="640"/>
      <w:bookmarkEnd w:id="641"/>
    </w:p>
    <w:bookmarkEnd w:id="642"/>
    <w:p w14:paraId="6A28523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因承包人原因造成工期延误，逾</w:t>
      </w:r>
      <w:bookmarkStart w:id="643" w:name="_Toc312678014"/>
      <w:bookmarkStart w:id="644" w:name="_Toc318581171"/>
      <w:r>
        <w:rPr>
          <w:rFonts w:hint="eastAsia" w:ascii="宋体" w:hAnsi="宋体" w:eastAsia="宋体" w:cs="宋体"/>
          <w:color w:val="auto"/>
          <w:sz w:val="24"/>
          <w:szCs w:val="24"/>
        </w:rPr>
        <w:t>期竣工违约金的上限：</w:t>
      </w:r>
      <w:r>
        <w:rPr>
          <w:rFonts w:hint="eastAsia" w:ascii="宋体" w:hAnsi="宋体" w:eastAsia="宋体" w:cs="宋体"/>
          <w:color w:val="auto"/>
          <w:sz w:val="24"/>
          <w:szCs w:val="24"/>
          <w:u w:val="single"/>
        </w:rPr>
        <w:t xml:space="preserve">       </w:t>
      </w:r>
    </w:p>
    <w:p w14:paraId="29A6945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643"/>
    <w:bookmarkEnd w:id="644"/>
    <w:p w14:paraId="771EBAF3">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45" w:name="_Toc304295549"/>
      <w:bookmarkStart w:id="646" w:name="_Toc303539128"/>
      <w:bookmarkStart w:id="647" w:name="_Toc297216178"/>
      <w:bookmarkStart w:id="648" w:name="_Toc300934971"/>
      <w:bookmarkStart w:id="649" w:name="_Toc312678015"/>
      <w:bookmarkStart w:id="650" w:name="_Toc297123519"/>
      <w:r>
        <w:rPr>
          <w:rFonts w:hint="eastAsia" w:ascii="宋体" w:hAnsi="宋体" w:eastAsia="宋体" w:cs="宋体"/>
          <w:color w:val="auto"/>
          <w:sz w:val="24"/>
          <w:szCs w:val="24"/>
        </w:rPr>
        <w:t>.6 不</w:t>
      </w:r>
      <w:bookmarkEnd w:id="645"/>
      <w:bookmarkEnd w:id="646"/>
      <w:bookmarkEnd w:id="647"/>
      <w:bookmarkEnd w:id="648"/>
      <w:bookmarkEnd w:id="649"/>
      <w:bookmarkEnd w:id="650"/>
      <w:r>
        <w:rPr>
          <w:rFonts w:hint="eastAsia" w:ascii="宋体" w:hAnsi="宋体" w:eastAsia="宋体" w:cs="宋体"/>
          <w:color w:val="auto"/>
          <w:sz w:val="24"/>
          <w:szCs w:val="24"/>
        </w:rPr>
        <w:t>利物质条件</w:t>
      </w:r>
    </w:p>
    <w:p w14:paraId="5DC38F4E">
      <w:pPr>
        <w:spacing w:line="360" w:lineRule="auto"/>
        <w:ind w:firstLine="480" w:firstLineChars="200"/>
        <w:jc w:val="left"/>
        <w:rPr>
          <w:rFonts w:hint="eastAsia" w:ascii="宋体" w:hAnsi="宋体" w:eastAsia="宋体" w:cs="宋体"/>
          <w:color w:val="auto"/>
          <w:sz w:val="24"/>
          <w:szCs w:val="24"/>
          <w:u w:val="single"/>
        </w:rPr>
      </w:pPr>
      <w:bookmarkStart w:id="651" w:name="_Toc318581172"/>
      <w:bookmarkStart w:id="652" w:name="_Toc297123520"/>
      <w:bookmarkStart w:id="653" w:name="_Toc304295550"/>
      <w:bookmarkStart w:id="654" w:name="_Toc297216179"/>
      <w:bookmarkStart w:id="655" w:name="_Toc300934972"/>
      <w:bookmarkStart w:id="656" w:name="_Toc303539129"/>
      <w:bookmarkStart w:id="657" w:name="_Toc312678016"/>
      <w:r>
        <w:rPr>
          <w:rFonts w:hint="eastAsia" w:ascii="宋体" w:hAnsi="宋体" w:eastAsia="宋体" w:cs="宋体"/>
          <w:color w:val="auto"/>
          <w:sz w:val="24"/>
          <w:szCs w:val="24"/>
        </w:rPr>
        <w:t>不利物质条件的其他情形和有关约定：</w:t>
      </w:r>
      <w:r>
        <w:rPr>
          <w:rFonts w:hint="eastAsia" w:ascii="宋体" w:hAnsi="宋体" w:eastAsia="宋体" w:cs="宋体"/>
          <w:color w:val="auto"/>
          <w:sz w:val="24"/>
          <w:szCs w:val="24"/>
          <w:u w:val="single"/>
        </w:rPr>
        <w:t xml:space="preserve">                    </w:t>
      </w:r>
    </w:p>
    <w:p w14:paraId="550DBFE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651"/>
    <w:bookmarkEnd w:id="652"/>
    <w:bookmarkEnd w:id="653"/>
    <w:bookmarkEnd w:id="654"/>
    <w:bookmarkEnd w:id="655"/>
    <w:bookmarkEnd w:id="656"/>
    <w:bookmarkEnd w:id="657"/>
    <w:p w14:paraId="4DAE9C6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w:t>
      </w:r>
      <w:bookmarkStart w:id="658" w:name="_Toc304295551"/>
      <w:bookmarkStart w:id="659" w:name="_Toc300934973"/>
      <w:bookmarkStart w:id="660" w:name="_Toc297123521"/>
      <w:bookmarkStart w:id="661" w:name="_Toc297216180"/>
      <w:bookmarkStart w:id="662" w:name="_Toc303539130"/>
      <w:bookmarkStart w:id="663" w:name="_Toc312678017"/>
      <w:r>
        <w:rPr>
          <w:rFonts w:hint="eastAsia" w:ascii="宋体" w:hAnsi="宋体" w:eastAsia="宋体" w:cs="宋体"/>
          <w:color w:val="auto"/>
          <w:sz w:val="24"/>
          <w:szCs w:val="24"/>
        </w:rPr>
        <w:t>.7异常恶劣的气候条件</w:t>
      </w:r>
    </w:p>
    <w:bookmarkEnd w:id="658"/>
    <w:bookmarkEnd w:id="659"/>
    <w:bookmarkEnd w:id="660"/>
    <w:bookmarkEnd w:id="661"/>
    <w:bookmarkEnd w:id="662"/>
    <w:bookmarkEnd w:id="663"/>
    <w:p w14:paraId="0759379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发包人和承包人同意以下情形视为异常恶劣的气候条件：</w:t>
      </w:r>
    </w:p>
    <w:p w14:paraId="5257CF2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23B6F7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FF1071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9BC685D">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7.9 提前竣工的奖励</w:t>
      </w:r>
    </w:p>
    <w:p w14:paraId="74DF324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7.9.2提前竣工的奖励：</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BF8A7F0">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664" w:name="_Toc351203640"/>
      <w:r>
        <w:rPr>
          <w:rFonts w:hint="eastAsia" w:ascii="宋体" w:hAnsi="宋体" w:eastAsia="宋体" w:cs="宋体"/>
          <w:b/>
          <w:bCs w:val="0"/>
          <w:color w:val="auto"/>
          <w:sz w:val="24"/>
          <w:szCs w:val="24"/>
        </w:rPr>
        <w:t>8. 材料与设备</w:t>
      </w:r>
      <w:bookmarkEnd w:id="664"/>
    </w:p>
    <w:bookmarkEnd w:id="599"/>
    <w:bookmarkEnd w:id="600"/>
    <w:bookmarkEnd w:id="601"/>
    <w:bookmarkEnd w:id="602"/>
    <w:bookmarkEnd w:id="603"/>
    <w:bookmarkEnd w:id="604"/>
    <w:bookmarkEnd w:id="605"/>
    <w:bookmarkEnd w:id="606"/>
    <w:bookmarkEnd w:id="607"/>
    <w:bookmarkEnd w:id="608"/>
    <w:p w14:paraId="2F703B4A">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w:t>
      </w:r>
      <w:bookmarkStart w:id="665" w:name="_Toc312677493"/>
      <w:bookmarkStart w:id="666" w:name="_Toc303539136"/>
      <w:bookmarkStart w:id="667" w:name="_Toc292559372"/>
      <w:bookmarkStart w:id="668" w:name="_Toc312678019"/>
      <w:bookmarkStart w:id="669" w:name="_Toc297123527"/>
      <w:bookmarkStart w:id="670" w:name="_Toc304295556"/>
      <w:bookmarkStart w:id="671" w:name="_Toc296503167"/>
      <w:bookmarkStart w:id="672" w:name="_Toc297216186"/>
      <w:bookmarkStart w:id="673" w:name="_Toc296346668"/>
      <w:bookmarkStart w:id="674" w:name="_Toc296347166"/>
      <w:bookmarkStart w:id="675" w:name="_Toc280868654"/>
      <w:bookmarkStart w:id="676" w:name="_Toc296891207"/>
      <w:bookmarkStart w:id="677" w:name="_Toc296890995"/>
      <w:bookmarkStart w:id="678" w:name="_Toc292559877"/>
      <w:bookmarkStart w:id="679" w:name="_Toc300934979"/>
      <w:bookmarkStart w:id="680" w:name="_Toc296944506"/>
      <w:bookmarkStart w:id="681" w:name="_Toc297120467"/>
      <w:bookmarkStart w:id="682" w:name="_Toc297048353"/>
      <w:bookmarkStart w:id="683" w:name="_Toc280868656"/>
      <w:bookmarkStart w:id="684" w:name="_Toc267251424"/>
      <w:bookmarkStart w:id="685" w:name="_Toc280868655"/>
      <w:r>
        <w:rPr>
          <w:rFonts w:hint="eastAsia" w:ascii="宋体" w:hAnsi="宋体" w:eastAsia="宋体" w:cs="宋体"/>
          <w:color w:val="auto"/>
          <w:sz w:val="24"/>
          <w:szCs w:val="24"/>
        </w:rPr>
        <w:t>.4材料与工程设备的保管与使用</w:t>
      </w:r>
    </w:p>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14:paraId="21A882BF">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8</w:t>
      </w:r>
      <w:bookmarkStart w:id="686" w:name="_Toc292559878"/>
      <w:bookmarkStart w:id="687" w:name="_Toc292559373"/>
      <w:bookmarkStart w:id="688" w:name="_Toc312678020"/>
      <w:bookmarkStart w:id="689" w:name="_Toc296503168"/>
      <w:bookmarkStart w:id="690" w:name="_Toc297048354"/>
      <w:bookmarkStart w:id="691" w:name="_Toc300934980"/>
      <w:bookmarkStart w:id="692" w:name="_Toc297120468"/>
      <w:bookmarkStart w:id="693" w:name="_Toc312677494"/>
      <w:bookmarkStart w:id="694" w:name="_Toc297123528"/>
      <w:bookmarkStart w:id="695" w:name="_Toc304295557"/>
      <w:bookmarkStart w:id="696" w:name="_Toc296346669"/>
      <w:bookmarkStart w:id="697" w:name="_Toc318581173"/>
      <w:bookmarkStart w:id="698" w:name="_Toc303539137"/>
      <w:bookmarkStart w:id="699" w:name="_Toc296891208"/>
      <w:bookmarkStart w:id="700" w:name="_Toc296890996"/>
      <w:bookmarkStart w:id="701" w:name="_Toc297216187"/>
      <w:bookmarkStart w:id="702" w:name="_Toc296347167"/>
      <w:bookmarkStart w:id="703" w:name="_Toc296944507"/>
      <w:r>
        <w:rPr>
          <w:rFonts w:hint="eastAsia" w:ascii="宋体" w:hAnsi="宋体" w:eastAsia="宋体" w:cs="宋体"/>
          <w:color w:val="auto"/>
          <w:sz w:val="24"/>
          <w:szCs w:val="24"/>
        </w:rPr>
        <w:t>.4.1发包人供应的材料设备的保管费用的承担：</w:t>
      </w:r>
      <w:r>
        <w:rPr>
          <w:rFonts w:hint="eastAsia" w:ascii="宋体" w:hAnsi="宋体" w:eastAsia="宋体" w:cs="宋体"/>
          <w:color w:val="auto"/>
          <w:sz w:val="24"/>
          <w:szCs w:val="24"/>
          <w:u w:val="single"/>
        </w:rPr>
        <w:t xml:space="preserve">            </w:t>
      </w:r>
    </w:p>
    <w:p w14:paraId="1F5CF5F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bookmarkEnd w:id="686"/>
      <w:bookmarkEnd w:id="687"/>
    </w:p>
    <w:p w14:paraId="5180B0F5">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8.6 样品</w:t>
      </w:r>
    </w:p>
    <w:p w14:paraId="333F8F78">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8.6.1</w:t>
      </w:r>
      <w:r>
        <w:rPr>
          <w:rFonts w:hint="eastAsia" w:ascii="宋体" w:hAnsi="宋体" w:eastAsia="宋体" w:cs="宋体"/>
          <w:color w:val="auto"/>
          <w:kern w:val="0"/>
          <w:sz w:val="24"/>
          <w:szCs w:val="24"/>
        </w:rPr>
        <w:tab/>
      </w:r>
      <w:r>
        <w:rPr>
          <w:rFonts w:hint="eastAsia" w:ascii="宋体" w:hAnsi="宋体" w:eastAsia="宋体" w:cs="宋体"/>
          <w:color w:val="auto"/>
          <w:kern w:val="0"/>
          <w:sz w:val="24"/>
          <w:szCs w:val="24"/>
        </w:rPr>
        <w:t>样品的报送与封存</w:t>
      </w:r>
    </w:p>
    <w:p w14:paraId="05DF7E46">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需要承包人报送样品的材料或工程设备，样品的种类、名称、规格、数量要求：</w:t>
      </w:r>
      <w:r>
        <w:rPr>
          <w:rFonts w:hint="eastAsia" w:ascii="宋体" w:hAnsi="宋体" w:eastAsia="宋体" w:cs="宋体"/>
          <w:color w:val="auto"/>
          <w:sz w:val="24"/>
          <w:szCs w:val="24"/>
          <w:u w:val="single"/>
        </w:rPr>
        <w:t xml:space="preserve">                                          </w:t>
      </w:r>
    </w:p>
    <w:p w14:paraId="68487E6A">
      <w:pPr>
        <w:autoSpaceDE w:val="0"/>
        <w:autoSpaceDN w:val="0"/>
        <w:adjustRightIn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80F894">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8.8 施工设备和临时设施</w:t>
      </w:r>
    </w:p>
    <w:p w14:paraId="77BBF543">
      <w:pPr>
        <w:autoSpaceDE w:val="0"/>
        <w:autoSpaceDN w:val="0"/>
        <w:adjustRightInd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8.8.1 承包人提供的施工设备和临时设施</w:t>
      </w:r>
    </w:p>
    <w:p w14:paraId="3FB2352A">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关于修建临时设施费用承担的约定：</w:t>
      </w:r>
      <w:r>
        <w:rPr>
          <w:rFonts w:hint="eastAsia" w:ascii="宋体" w:hAnsi="宋体" w:eastAsia="宋体" w:cs="宋体"/>
          <w:color w:val="auto"/>
          <w:sz w:val="24"/>
          <w:szCs w:val="24"/>
          <w:u w:val="single"/>
        </w:rPr>
        <w:t xml:space="preserve">                     </w:t>
      </w:r>
    </w:p>
    <w:p w14:paraId="50AFDD81">
      <w:pPr>
        <w:autoSpaceDE w:val="0"/>
        <w:autoSpaceDN w:val="0"/>
        <w:adjustRightInd w:val="0"/>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14:paraId="1E355CE0">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704" w:name="_Toc351203641"/>
      <w:r>
        <w:rPr>
          <w:rFonts w:hint="eastAsia" w:ascii="宋体" w:hAnsi="宋体" w:eastAsia="宋体" w:cs="宋体"/>
          <w:b/>
          <w:bCs w:val="0"/>
          <w:color w:val="auto"/>
          <w:sz w:val="24"/>
          <w:szCs w:val="24"/>
        </w:rPr>
        <w:t>9</w:t>
      </w:r>
      <w:bookmarkEnd w:id="683"/>
      <w:bookmarkEnd w:id="684"/>
      <w:bookmarkEnd w:id="685"/>
      <w:bookmarkStart w:id="705" w:name="_Toc312677495"/>
      <w:bookmarkStart w:id="706" w:name="_Toc297216192"/>
      <w:bookmarkStart w:id="707" w:name="_Toc300934982"/>
      <w:bookmarkStart w:id="708" w:name="_Toc297123533"/>
      <w:bookmarkStart w:id="709" w:name="_Toc312678021"/>
      <w:bookmarkStart w:id="710" w:name="_Toc303539139"/>
      <w:bookmarkStart w:id="711" w:name="_Toc304295559"/>
      <w:bookmarkStart w:id="712" w:name="_Toc296503173"/>
      <w:bookmarkStart w:id="713" w:name="_Toc296891213"/>
      <w:bookmarkStart w:id="714" w:name="_Toc296944512"/>
      <w:bookmarkStart w:id="715" w:name="_Toc296347172"/>
      <w:bookmarkStart w:id="716" w:name="_Toc292559378"/>
      <w:bookmarkStart w:id="717" w:name="_Toc297120473"/>
      <w:bookmarkStart w:id="718" w:name="_Toc297048359"/>
      <w:bookmarkStart w:id="719" w:name="_Toc296346674"/>
      <w:bookmarkStart w:id="720" w:name="_Toc267251427"/>
      <w:bookmarkStart w:id="721" w:name="_Toc267251428"/>
      <w:bookmarkStart w:id="722" w:name="_Toc296891001"/>
      <w:bookmarkStart w:id="723" w:name="_Toc292559883"/>
      <w:r>
        <w:rPr>
          <w:rFonts w:hint="eastAsia" w:ascii="宋体" w:hAnsi="宋体" w:eastAsia="宋体" w:cs="宋体"/>
          <w:b/>
          <w:bCs w:val="0"/>
          <w:color w:val="auto"/>
          <w:sz w:val="24"/>
          <w:szCs w:val="24"/>
        </w:rPr>
        <w:t>. 试验与检验</w:t>
      </w:r>
      <w:bookmarkEnd w:id="704"/>
    </w:p>
    <w:bookmarkEnd w:id="705"/>
    <w:bookmarkEnd w:id="706"/>
    <w:bookmarkEnd w:id="707"/>
    <w:bookmarkEnd w:id="708"/>
    <w:bookmarkEnd w:id="709"/>
    <w:bookmarkEnd w:id="710"/>
    <w:bookmarkEnd w:id="711"/>
    <w:p w14:paraId="4BE3C216">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w:t>
      </w:r>
      <w:bookmarkStart w:id="724" w:name="_Toc300934983"/>
      <w:bookmarkStart w:id="725" w:name="_Toc297123534"/>
      <w:bookmarkStart w:id="726" w:name="_Toc304295560"/>
      <w:bookmarkStart w:id="727" w:name="_Toc303539140"/>
      <w:bookmarkStart w:id="728" w:name="_Toc312677496"/>
      <w:bookmarkStart w:id="729" w:name="_Toc297216193"/>
      <w:bookmarkStart w:id="730" w:name="_Toc312678022"/>
      <w:r>
        <w:rPr>
          <w:rFonts w:hint="eastAsia" w:ascii="宋体" w:hAnsi="宋体" w:eastAsia="宋体" w:cs="宋体"/>
          <w:color w:val="auto"/>
          <w:sz w:val="24"/>
          <w:szCs w:val="24"/>
        </w:rPr>
        <w:t>.1试验设备与试验人员</w:t>
      </w:r>
    </w:p>
    <w:bookmarkEnd w:id="724"/>
    <w:bookmarkEnd w:id="725"/>
    <w:bookmarkEnd w:id="726"/>
    <w:bookmarkEnd w:id="727"/>
    <w:bookmarkEnd w:id="728"/>
    <w:bookmarkEnd w:id="729"/>
    <w:bookmarkEnd w:id="730"/>
    <w:p w14:paraId="6389BC8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9</w:t>
      </w:r>
      <w:bookmarkStart w:id="731" w:name="_Toc300934984"/>
      <w:bookmarkStart w:id="732" w:name="_Toc297123535"/>
      <w:bookmarkStart w:id="733" w:name="_Toc312677497"/>
      <w:bookmarkStart w:id="734" w:name="_Toc304295561"/>
      <w:bookmarkStart w:id="735" w:name="_Toc312678023"/>
      <w:bookmarkStart w:id="736" w:name="_Toc303539141"/>
      <w:bookmarkStart w:id="737" w:name="_Toc297216194"/>
      <w:bookmarkStart w:id="738" w:name="_Toc318581174"/>
      <w:r>
        <w:rPr>
          <w:rFonts w:hint="eastAsia" w:ascii="宋体" w:hAnsi="宋体" w:eastAsia="宋体" w:cs="宋体"/>
          <w:color w:val="auto"/>
          <w:sz w:val="24"/>
          <w:szCs w:val="24"/>
        </w:rPr>
        <w:t>.1.2 试验设备</w:t>
      </w:r>
    </w:p>
    <w:p w14:paraId="42174E9E">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施工现场需要配置的试验场所：</w:t>
      </w:r>
      <w:bookmarkEnd w:id="731"/>
      <w:bookmarkEnd w:id="732"/>
      <w:bookmarkEnd w:id="733"/>
      <w:bookmarkEnd w:id="734"/>
      <w:bookmarkEnd w:id="735"/>
      <w:bookmarkEnd w:id="736"/>
      <w:bookmarkEnd w:id="737"/>
      <w:bookmarkStart w:id="739" w:name="_Toc304295562"/>
      <w:bookmarkStart w:id="740" w:name="_Toc297123536"/>
      <w:bookmarkStart w:id="741" w:name="_Toc303539142"/>
      <w:bookmarkStart w:id="742" w:name="_Toc312678024"/>
      <w:bookmarkStart w:id="743" w:name="_Toc297216195"/>
      <w:bookmarkStart w:id="744" w:name="_Toc300934985"/>
      <w:bookmarkStart w:id="745" w:name="_Toc312677498"/>
      <w:r>
        <w:rPr>
          <w:rFonts w:hint="eastAsia" w:ascii="宋体" w:hAnsi="宋体" w:eastAsia="宋体" w:cs="宋体"/>
          <w:color w:val="auto"/>
          <w:sz w:val="24"/>
          <w:szCs w:val="24"/>
          <w:u w:val="single"/>
        </w:rPr>
        <w:t xml:space="preserve">                           </w:t>
      </w:r>
    </w:p>
    <w:p w14:paraId="48356E4D">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21BF4750">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施工现场需要配备的试验设备：</w:t>
      </w:r>
      <w:r>
        <w:rPr>
          <w:rFonts w:hint="eastAsia" w:ascii="宋体" w:hAnsi="宋体" w:eastAsia="宋体" w:cs="宋体"/>
          <w:color w:val="auto"/>
          <w:sz w:val="24"/>
          <w:szCs w:val="24"/>
          <w:u w:val="single"/>
        </w:rPr>
        <w:t xml:space="preserve">                           </w:t>
      </w:r>
    </w:p>
    <w:p w14:paraId="426C3AFF">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A278582">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施工现场需要具备的其他试验条件：</w:t>
      </w:r>
      <w:r>
        <w:rPr>
          <w:rFonts w:hint="eastAsia" w:ascii="宋体" w:hAnsi="宋体" w:eastAsia="宋体" w:cs="宋体"/>
          <w:color w:val="auto"/>
          <w:sz w:val="24"/>
          <w:szCs w:val="24"/>
          <w:u w:val="single"/>
        </w:rPr>
        <w:t xml:space="preserve">                      </w:t>
      </w:r>
    </w:p>
    <w:p w14:paraId="6C53EBD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896D376">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 xml:space="preserve">9.4 现场工艺试验 </w:t>
      </w:r>
    </w:p>
    <w:p w14:paraId="5458148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现场工艺试验的有关约定：</w:t>
      </w:r>
      <w:r>
        <w:rPr>
          <w:rFonts w:hint="eastAsia" w:ascii="宋体" w:hAnsi="宋体" w:eastAsia="宋体" w:cs="宋体"/>
          <w:color w:val="auto"/>
          <w:sz w:val="24"/>
          <w:szCs w:val="24"/>
          <w:u w:val="single"/>
        </w:rPr>
        <w:t xml:space="preserve">                              </w:t>
      </w:r>
    </w:p>
    <w:p w14:paraId="6BB27C5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738"/>
    <w:bookmarkEnd w:id="739"/>
    <w:bookmarkEnd w:id="740"/>
    <w:bookmarkEnd w:id="741"/>
    <w:bookmarkEnd w:id="742"/>
    <w:bookmarkEnd w:id="743"/>
    <w:bookmarkEnd w:id="744"/>
    <w:bookmarkEnd w:id="745"/>
    <w:p w14:paraId="4B5A9821">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746" w:name="_Toc351203642"/>
      <w:r>
        <w:rPr>
          <w:rFonts w:hint="eastAsia" w:ascii="宋体" w:hAnsi="宋体" w:eastAsia="宋体" w:cs="宋体"/>
          <w:b/>
          <w:bCs w:val="0"/>
          <w:color w:val="auto"/>
          <w:sz w:val="24"/>
          <w:szCs w:val="24"/>
        </w:rPr>
        <w:t>1</w:t>
      </w:r>
      <w:bookmarkEnd w:id="712"/>
      <w:bookmarkEnd w:id="713"/>
      <w:bookmarkEnd w:id="714"/>
      <w:bookmarkEnd w:id="715"/>
      <w:bookmarkEnd w:id="716"/>
      <w:bookmarkEnd w:id="717"/>
      <w:bookmarkEnd w:id="718"/>
      <w:bookmarkEnd w:id="719"/>
      <w:bookmarkEnd w:id="720"/>
      <w:bookmarkEnd w:id="721"/>
      <w:bookmarkEnd w:id="722"/>
      <w:bookmarkEnd w:id="723"/>
      <w:bookmarkStart w:id="747" w:name="_Toc304295566"/>
      <w:bookmarkStart w:id="748" w:name="_Toc292559903"/>
      <w:bookmarkStart w:id="749" w:name="_Toc296891233"/>
      <w:bookmarkStart w:id="750" w:name="_Toc297120493"/>
      <w:bookmarkStart w:id="751" w:name="_Toc292559398"/>
      <w:bookmarkStart w:id="752" w:name="_Toc296503193"/>
      <w:bookmarkStart w:id="753" w:name="_Toc297123540"/>
      <w:bookmarkStart w:id="754" w:name="_Toc296346694"/>
      <w:bookmarkStart w:id="755" w:name="_Toc296944532"/>
      <w:bookmarkStart w:id="756" w:name="_Toc297216199"/>
      <w:bookmarkStart w:id="757" w:name="_Toc297048379"/>
      <w:bookmarkStart w:id="758" w:name="_Toc303539146"/>
      <w:bookmarkStart w:id="759" w:name="_Toc296891021"/>
      <w:bookmarkStart w:id="760" w:name="_Toc296347192"/>
      <w:bookmarkStart w:id="761" w:name="_Toc300934989"/>
      <w:bookmarkStart w:id="762" w:name="_Toc312678025"/>
      <w:bookmarkStart w:id="763" w:name="_Toc312677499"/>
      <w:bookmarkStart w:id="764" w:name="_Toc267251435"/>
      <w:bookmarkStart w:id="765" w:name="_Toc267251439"/>
      <w:bookmarkStart w:id="766" w:name="_Toc267251440"/>
      <w:bookmarkStart w:id="767" w:name="_Toc267251441"/>
      <w:bookmarkStart w:id="768" w:name="_Toc267251437"/>
      <w:bookmarkStart w:id="769" w:name="_Toc267251433"/>
      <w:bookmarkStart w:id="770" w:name="_Toc267251442"/>
      <w:r>
        <w:rPr>
          <w:rFonts w:hint="eastAsia" w:ascii="宋体" w:hAnsi="宋体" w:eastAsia="宋体" w:cs="宋体"/>
          <w:b/>
          <w:bCs w:val="0"/>
          <w:color w:val="auto"/>
          <w:sz w:val="24"/>
          <w:szCs w:val="24"/>
        </w:rPr>
        <w:t>0. 变更</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bookmarkEnd w:id="762"/>
    <w:bookmarkEnd w:id="763"/>
    <w:p w14:paraId="61C304C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771" w:name="_Toc296944533"/>
      <w:bookmarkStart w:id="772" w:name="_Toc303539147"/>
      <w:bookmarkStart w:id="773" w:name="_Toc292559904"/>
      <w:bookmarkStart w:id="774" w:name="_Toc312677500"/>
      <w:bookmarkStart w:id="775" w:name="_Toc292559399"/>
      <w:bookmarkStart w:id="776" w:name="_Toc296346695"/>
      <w:bookmarkStart w:id="777" w:name="_Toc297048380"/>
      <w:bookmarkStart w:id="778" w:name="_Toc296891022"/>
      <w:bookmarkStart w:id="779" w:name="_Toc296503194"/>
      <w:bookmarkStart w:id="780" w:name="_Toc296891234"/>
      <w:bookmarkStart w:id="781" w:name="_Toc296347193"/>
      <w:bookmarkStart w:id="782" w:name="_Toc297123541"/>
      <w:bookmarkStart w:id="783" w:name="_Toc312678026"/>
      <w:bookmarkStart w:id="784" w:name="_Toc297216200"/>
      <w:bookmarkStart w:id="785" w:name="_Toc297120494"/>
      <w:bookmarkStart w:id="786" w:name="_Toc300934990"/>
      <w:bookmarkStart w:id="787" w:name="_Toc304295567"/>
      <w:r>
        <w:rPr>
          <w:rFonts w:hint="eastAsia" w:ascii="宋体" w:hAnsi="宋体" w:eastAsia="宋体" w:cs="宋体"/>
          <w:color w:val="auto"/>
          <w:sz w:val="24"/>
          <w:szCs w:val="24"/>
        </w:rPr>
        <w:t>0.1变更的范围</w:t>
      </w:r>
    </w:p>
    <w:p w14:paraId="778AB30B">
      <w:pPr>
        <w:spacing w:line="360" w:lineRule="auto"/>
        <w:ind w:firstLine="6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关于变更的范围的约定：</w:t>
      </w:r>
      <w:r>
        <w:rPr>
          <w:rFonts w:hint="eastAsia" w:ascii="宋体" w:hAnsi="宋体" w:eastAsia="宋体" w:cs="宋体"/>
          <w:color w:val="auto"/>
          <w:sz w:val="24"/>
          <w:szCs w:val="24"/>
          <w:u w:val="single"/>
        </w:rPr>
        <w:t xml:space="preserve">                                </w:t>
      </w:r>
    </w:p>
    <w:p w14:paraId="13A4886B">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D845772">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10.4 变更估价</w:t>
      </w:r>
    </w:p>
    <w:p w14:paraId="0D6D017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10.4.1 变更估价原则</w:t>
      </w:r>
    </w:p>
    <w:p w14:paraId="4EB35BE1">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 xml:space="preserve">关于变更估价的约定: </w:t>
      </w:r>
      <w:r>
        <w:rPr>
          <w:rFonts w:hint="eastAsia" w:ascii="宋体" w:hAnsi="宋体" w:eastAsia="宋体" w:cs="宋体"/>
          <w:color w:val="auto"/>
          <w:sz w:val="24"/>
          <w:szCs w:val="24"/>
          <w:u w:val="single"/>
        </w:rPr>
        <w:t xml:space="preserve">                                   </w:t>
      </w:r>
    </w:p>
    <w:p w14:paraId="47BED94C">
      <w:pPr>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9A77FDD">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Start w:id="788" w:name="_Toc300934993"/>
      <w:bookmarkStart w:id="789" w:name="_Toc297048383"/>
      <w:bookmarkStart w:id="790" w:name="_Toc296347196"/>
      <w:bookmarkStart w:id="791" w:name="_Toc292559907"/>
      <w:bookmarkStart w:id="792" w:name="_Toc296891025"/>
      <w:bookmarkStart w:id="793" w:name="_Toc297123544"/>
      <w:bookmarkStart w:id="794" w:name="_Toc296944536"/>
      <w:bookmarkStart w:id="795" w:name="_Toc292559402"/>
      <w:bookmarkStart w:id="796" w:name="_Toc296346698"/>
      <w:bookmarkStart w:id="797" w:name="_Toc296503197"/>
      <w:bookmarkStart w:id="798" w:name="_Toc297120497"/>
      <w:bookmarkStart w:id="799" w:name="_Toc297216203"/>
      <w:bookmarkStart w:id="800" w:name="_Toc296891237"/>
      <w:bookmarkStart w:id="801" w:name="_Toc303539150"/>
      <w:bookmarkStart w:id="802" w:name="_Toc304295570"/>
      <w:bookmarkStart w:id="803" w:name="_Toc312678029"/>
      <w:bookmarkStart w:id="804" w:name="_Toc312677503"/>
      <w:r>
        <w:rPr>
          <w:rFonts w:hint="eastAsia" w:ascii="宋体" w:hAnsi="宋体" w:eastAsia="宋体" w:cs="宋体"/>
          <w:color w:val="auto"/>
          <w:sz w:val="24"/>
          <w:szCs w:val="24"/>
        </w:rPr>
        <w:t>0.5承</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Start w:id="805" w:name="_Toc296944542"/>
      <w:bookmarkStart w:id="806" w:name="_Toc303539151"/>
      <w:bookmarkStart w:id="807" w:name="_Toc296891243"/>
      <w:bookmarkStart w:id="808" w:name="_Toc297216204"/>
      <w:bookmarkStart w:id="809" w:name="_Toc297048389"/>
      <w:bookmarkStart w:id="810" w:name="_Toc296346704"/>
      <w:bookmarkStart w:id="811" w:name="_Toc292559913"/>
      <w:bookmarkStart w:id="812" w:name="_Toc296347202"/>
      <w:bookmarkStart w:id="813" w:name="_Toc292559408"/>
      <w:bookmarkStart w:id="814" w:name="_Toc297120503"/>
      <w:bookmarkStart w:id="815" w:name="_Toc300934994"/>
      <w:bookmarkStart w:id="816" w:name="_Toc296503203"/>
      <w:bookmarkStart w:id="817" w:name="_Toc296891031"/>
      <w:bookmarkStart w:id="818" w:name="_Toc297123545"/>
      <w:r>
        <w:rPr>
          <w:rFonts w:hint="eastAsia" w:ascii="宋体" w:hAnsi="宋体" w:eastAsia="宋体" w:cs="宋体"/>
          <w:color w:val="auto"/>
          <w:sz w:val="24"/>
          <w:szCs w:val="24"/>
        </w:rPr>
        <w:t>包人的合理化建议</w:t>
      </w:r>
    </w:p>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14:paraId="172D8A8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监理人审查承包人合理化建议的期限：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E1E7B9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发包人审批承包人合理化建议的期限：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EC11016">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w:t>
      </w:r>
      <w:bookmarkStart w:id="819" w:name="_Toc292559914"/>
      <w:bookmarkStart w:id="820" w:name="_Toc312678030"/>
      <w:bookmarkStart w:id="821" w:name="_Toc292559409"/>
      <w:bookmarkStart w:id="822" w:name="_Toc296503204"/>
      <w:bookmarkStart w:id="823" w:name="_Toc318581175"/>
      <w:bookmarkStart w:id="824" w:name="_Toc312677504"/>
      <w:bookmarkStart w:id="825" w:name="_Toc297048390"/>
      <w:bookmarkStart w:id="826" w:name="_Toc296346705"/>
      <w:bookmarkStart w:id="827" w:name="_Toc300934995"/>
      <w:bookmarkStart w:id="828" w:name="_Toc304295571"/>
      <w:bookmarkStart w:id="829" w:name="_Toc303539152"/>
      <w:bookmarkStart w:id="830" w:name="_Toc297120504"/>
      <w:bookmarkStart w:id="831" w:name="_Toc297216205"/>
      <w:bookmarkStart w:id="832" w:name="_Toc297123546"/>
      <w:bookmarkStart w:id="833" w:name="_Toc296944543"/>
      <w:bookmarkStart w:id="834" w:name="_Toc296891032"/>
      <w:bookmarkStart w:id="835" w:name="_Toc296347203"/>
      <w:bookmarkStart w:id="836" w:name="_Toc296891244"/>
      <w:r>
        <w:rPr>
          <w:rFonts w:hint="eastAsia" w:ascii="宋体" w:hAnsi="宋体" w:eastAsia="宋体" w:cs="宋体"/>
          <w:color w:val="auto"/>
          <w:sz w:val="24"/>
          <w:szCs w:val="24"/>
        </w:rPr>
        <w:t>包人提出的合理化建议降低了合同价格或者提高了工程经济效益的奖励的方法和金额为：</w:t>
      </w:r>
      <w:r>
        <w:rPr>
          <w:rFonts w:hint="eastAsia" w:ascii="宋体" w:hAnsi="宋体" w:eastAsia="宋体" w:cs="宋体"/>
          <w:color w:val="auto"/>
          <w:sz w:val="24"/>
          <w:szCs w:val="24"/>
          <w:u w:val="single"/>
        </w:rPr>
        <w:t xml:space="preserve">                                </w:t>
      </w:r>
    </w:p>
    <w:p w14:paraId="752D7862">
      <w:pPr>
        <w:spacing w:line="360" w:lineRule="auto"/>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14:paraId="51F5EC4C">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837" w:name="_Toc296944538"/>
      <w:bookmarkStart w:id="838" w:name="_Toc296503199"/>
      <w:bookmarkStart w:id="839" w:name="_Toc303539154"/>
      <w:bookmarkStart w:id="840" w:name="_Toc292559909"/>
      <w:bookmarkStart w:id="841" w:name="_Toc297120499"/>
      <w:bookmarkStart w:id="842" w:name="_Toc304295574"/>
      <w:bookmarkStart w:id="843" w:name="_Toc297123548"/>
      <w:bookmarkStart w:id="844" w:name="_Toc297048385"/>
      <w:bookmarkStart w:id="845" w:name="_Toc312678033"/>
      <w:bookmarkStart w:id="846" w:name="_Toc312677507"/>
      <w:bookmarkStart w:id="847" w:name="_Toc292559404"/>
      <w:bookmarkStart w:id="848" w:name="_Toc296891027"/>
      <w:bookmarkStart w:id="849" w:name="_Toc296891239"/>
      <w:bookmarkStart w:id="850" w:name="_Toc296347198"/>
      <w:bookmarkStart w:id="851" w:name="_Toc300934997"/>
      <w:bookmarkStart w:id="852" w:name="_Toc296346700"/>
      <w:bookmarkStart w:id="853" w:name="_Toc297216207"/>
      <w:r>
        <w:rPr>
          <w:rFonts w:hint="eastAsia" w:ascii="宋体" w:hAnsi="宋体" w:eastAsia="宋体" w:cs="宋体"/>
          <w:color w:val="auto"/>
          <w:sz w:val="24"/>
          <w:szCs w:val="24"/>
        </w:rPr>
        <w:t>0.7 暂估价</w:t>
      </w:r>
    </w:p>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14:paraId="51DF991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暂</w:t>
      </w:r>
      <w:bookmarkStart w:id="854" w:name="_Toc312678034"/>
      <w:bookmarkStart w:id="855" w:name="_Toc312677508"/>
      <w:bookmarkStart w:id="856" w:name="_Toc318581176"/>
      <w:r>
        <w:rPr>
          <w:rFonts w:hint="eastAsia" w:ascii="宋体" w:hAnsi="宋体" w:eastAsia="宋体" w:cs="宋体"/>
          <w:color w:val="auto"/>
          <w:kern w:val="0"/>
          <w:sz w:val="24"/>
          <w:szCs w:val="24"/>
        </w:rPr>
        <w:t>估价材料和工程设备的明细详见附件11：《</w:t>
      </w:r>
      <w:r>
        <w:rPr>
          <w:rFonts w:hint="eastAsia" w:ascii="宋体" w:hAnsi="宋体" w:eastAsia="宋体" w:cs="宋体"/>
          <w:color w:val="auto"/>
          <w:sz w:val="24"/>
          <w:szCs w:val="24"/>
        </w:rPr>
        <w:t>暂估价一览表》</w:t>
      </w:r>
      <w:r>
        <w:rPr>
          <w:rFonts w:hint="eastAsia" w:ascii="宋体" w:hAnsi="宋体" w:eastAsia="宋体" w:cs="宋体"/>
          <w:color w:val="auto"/>
          <w:kern w:val="0"/>
          <w:sz w:val="24"/>
          <w:szCs w:val="24"/>
        </w:rPr>
        <w:t>。</w:t>
      </w:r>
    </w:p>
    <w:bookmarkEnd w:id="854"/>
    <w:bookmarkEnd w:id="855"/>
    <w:bookmarkEnd w:id="856"/>
    <w:p w14:paraId="2E1F331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bookmarkStart w:id="857" w:name="_Toc312677509"/>
      <w:bookmarkStart w:id="858" w:name="_Toc312678035"/>
      <w:bookmarkStart w:id="859" w:name="_Toc318581177"/>
      <w:r>
        <w:rPr>
          <w:rFonts w:hint="eastAsia" w:ascii="宋体" w:hAnsi="宋体" w:eastAsia="宋体" w:cs="宋体"/>
          <w:color w:val="auto"/>
          <w:sz w:val="24"/>
          <w:szCs w:val="24"/>
        </w:rPr>
        <w:t>0.7.1 依法必须招标的暂估价项目</w:t>
      </w:r>
    </w:p>
    <w:bookmarkEnd w:id="857"/>
    <w:bookmarkEnd w:id="858"/>
    <w:bookmarkEnd w:id="859"/>
    <w:p w14:paraId="722F64A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对于依法必须招标的暂估价项目的确认和批准采取第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种方式确定。</w:t>
      </w:r>
    </w:p>
    <w:p w14:paraId="7C776A0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10.7.2 不属于依法必须招标的暂估价项目</w:t>
      </w:r>
    </w:p>
    <w:p w14:paraId="66BE494E">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对于不属于依法必须招标的暂估价项目的确认和批准采取第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种方式确定。</w:t>
      </w:r>
    </w:p>
    <w:p w14:paraId="64CCD0D9">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第3种方式：</w:t>
      </w:r>
      <w:r>
        <w:rPr>
          <w:rFonts w:hint="eastAsia" w:ascii="宋体" w:hAnsi="宋体" w:eastAsia="宋体" w:cs="宋体"/>
          <w:color w:val="auto"/>
          <w:kern w:val="0"/>
          <w:sz w:val="24"/>
          <w:szCs w:val="24"/>
        </w:rPr>
        <w:t>承包人直接实施的暂估价项目</w:t>
      </w:r>
    </w:p>
    <w:p w14:paraId="46D93CB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承包人直接实施的暂估价项目的约定：</w:t>
      </w:r>
      <w:r>
        <w:rPr>
          <w:rFonts w:hint="eastAsia" w:ascii="宋体" w:hAnsi="宋体" w:eastAsia="宋体" w:cs="宋体"/>
          <w:color w:val="auto"/>
          <w:sz w:val="24"/>
          <w:szCs w:val="24"/>
          <w:u w:val="single"/>
        </w:rPr>
        <w:t xml:space="preserve">                     </w:t>
      </w:r>
    </w:p>
    <w:p w14:paraId="1E3F1519">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B756F9">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10.8 暂列金额</w:t>
      </w:r>
    </w:p>
    <w:p w14:paraId="05860226">
      <w:pPr>
        <w:autoSpaceDE w:val="0"/>
        <w:autoSpaceDN w:val="0"/>
        <w:adjustRightInd w:val="0"/>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合同当事人关于暂列金额使用的约定：</w:t>
      </w:r>
      <w:r>
        <w:rPr>
          <w:rFonts w:hint="eastAsia" w:ascii="宋体" w:hAnsi="宋体" w:eastAsia="宋体" w:cs="宋体"/>
          <w:color w:val="auto"/>
          <w:sz w:val="24"/>
          <w:szCs w:val="24"/>
          <w:u w:val="single"/>
        </w:rPr>
        <w:t xml:space="preserve">                     </w:t>
      </w:r>
    </w:p>
    <w:p w14:paraId="6DA4E60B">
      <w:pPr>
        <w:autoSpaceDE w:val="0"/>
        <w:autoSpaceDN w:val="0"/>
        <w:adjustRightInd w:val="0"/>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w:t>
      </w:r>
    </w:p>
    <w:p w14:paraId="759051C8">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860" w:name="_Toc351203643"/>
      <w:r>
        <w:rPr>
          <w:rFonts w:hint="eastAsia" w:ascii="宋体" w:hAnsi="宋体" w:eastAsia="宋体" w:cs="宋体"/>
          <w:b/>
          <w:bCs w:val="0"/>
          <w:color w:val="auto"/>
          <w:sz w:val="24"/>
          <w:szCs w:val="24"/>
        </w:rPr>
        <w:t>11. 价格调整</w:t>
      </w:r>
      <w:bookmarkEnd w:id="860"/>
    </w:p>
    <w:p w14:paraId="11B53F78">
      <w:pPr>
        <w:spacing w:after="120" w:line="360" w:lineRule="auto"/>
        <w:ind w:firstLine="480" w:firstLineChars="200"/>
        <w:rPr>
          <w:rFonts w:hint="eastAsia" w:ascii="宋体" w:hAnsi="宋体" w:eastAsia="宋体" w:cs="宋体"/>
          <w:color w:val="auto"/>
          <w:sz w:val="24"/>
          <w:szCs w:val="24"/>
        </w:rPr>
      </w:pPr>
      <w:bookmarkStart w:id="861" w:name="_Toc303539157"/>
      <w:bookmarkStart w:id="862" w:name="_Toc304295577"/>
      <w:bookmarkStart w:id="863" w:name="_Toc296503201"/>
      <w:bookmarkStart w:id="864" w:name="_Toc296944540"/>
      <w:bookmarkStart w:id="865" w:name="_Toc312678039"/>
      <w:bookmarkStart w:id="866" w:name="_Toc300935000"/>
      <w:bookmarkStart w:id="867" w:name="_Toc297216209"/>
      <w:bookmarkStart w:id="868" w:name="_Toc296347200"/>
      <w:bookmarkStart w:id="869" w:name="_Toc297120501"/>
      <w:bookmarkStart w:id="870" w:name="_Toc296891029"/>
      <w:bookmarkStart w:id="871" w:name="_Toc296891241"/>
      <w:bookmarkStart w:id="872" w:name="_Toc297123550"/>
      <w:bookmarkStart w:id="873" w:name="_Toc297048387"/>
      <w:bookmarkStart w:id="874" w:name="_Toc292559911"/>
      <w:bookmarkStart w:id="875" w:name="_Toc292559406"/>
      <w:bookmarkStart w:id="876" w:name="_Toc296346702"/>
      <w:r>
        <w:rPr>
          <w:rFonts w:hint="eastAsia" w:ascii="宋体" w:hAnsi="宋体" w:eastAsia="宋体" w:cs="宋体"/>
          <w:color w:val="auto"/>
          <w:sz w:val="24"/>
          <w:szCs w:val="24"/>
        </w:rPr>
        <w:t>11.1 市场价格波动引起的调整</w:t>
      </w:r>
    </w:p>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14:paraId="5C6648B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市场价格波动是否调整合同价格的约定：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80E0D3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因市场价格波动调整合同价格，采用以下第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种方式对合同价格进行调整：</w:t>
      </w:r>
    </w:p>
    <w:p w14:paraId="458BAEF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第1种方式：采用价格指数进行价格调整。</w:t>
      </w:r>
    </w:p>
    <w:p w14:paraId="23297475">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关于各可调因子、定值和变值权重，以及基本价格指数及其来源的约定：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1950D6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第2种方式：采用造价信息进行价格调整。</w:t>
      </w:r>
    </w:p>
    <w:p w14:paraId="023C8E6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（2）关于基准价格的约定：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E771A9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专用合同条款①承包人在已标价工程量清单或预算书中载明的材料单价低于基准价格的：专用合同条款合同履行期间材料单价涨幅以基准价格为基础超过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%时，或材料单价跌幅以已标价工程量清单或预算书中载明材料单价为基础超过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%时，其超过部分据实调整。</w:t>
      </w:r>
    </w:p>
    <w:p w14:paraId="01D0F96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②承包人在已标价工程量清单或预算书中载明的材料单价高于基准价格的：专用合同条款合同履行期间材料单价跌幅以基准价格为基础超过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%时，材料单价涨幅以已标价工程量清单或预算书中载明材料单价为基础超过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%时，其超过部分据实调整。</w:t>
      </w:r>
    </w:p>
    <w:p w14:paraId="628573A4">
      <w:pPr>
        <w:spacing w:line="360" w:lineRule="auto"/>
        <w:ind w:firstLine="645"/>
        <w:jc w:val="left"/>
        <w:rPr>
          <w:rFonts w:hint="eastAsia" w:ascii="宋体" w:hAnsi="宋体" w:eastAsia="宋体" w:cs="宋体"/>
          <w:color w:val="auto"/>
          <w:sz w:val="24"/>
          <w:szCs w:val="24"/>
        </w:rPr>
      </w:pPr>
      <w:r>
        <w:rPr>
          <w:rFonts w:hint="eastAsia" w:ascii="宋体" w:hAnsi="宋体" w:eastAsia="宋体" w:cs="宋体"/>
          <w:color w:val="auto"/>
          <w:sz w:val="24"/>
          <w:szCs w:val="24"/>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%时，其超过部分据实调整。</w:t>
      </w:r>
    </w:p>
    <w:p w14:paraId="78B68330">
      <w:pPr>
        <w:spacing w:line="360" w:lineRule="auto"/>
        <w:ind w:firstLine="645"/>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第3种方式：其他价格调整方式：</w:t>
      </w:r>
      <w:r>
        <w:rPr>
          <w:rFonts w:hint="eastAsia" w:ascii="宋体" w:hAnsi="宋体" w:eastAsia="宋体" w:cs="宋体"/>
          <w:color w:val="auto"/>
          <w:sz w:val="24"/>
          <w:szCs w:val="24"/>
          <w:u w:val="single"/>
        </w:rPr>
        <w:t xml:space="preserve">                        </w:t>
      </w:r>
    </w:p>
    <w:p w14:paraId="339D7944">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764"/>
    <w:bookmarkEnd w:id="765"/>
    <w:bookmarkEnd w:id="766"/>
    <w:bookmarkEnd w:id="767"/>
    <w:bookmarkEnd w:id="768"/>
    <w:bookmarkEnd w:id="769"/>
    <w:p w14:paraId="2C597310">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877" w:name="_Toc296891245"/>
      <w:bookmarkStart w:id="878" w:name="_Toc296503205"/>
      <w:bookmarkStart w:id="879" w:name="_Toc296944544"/>
      <w:bookmarkStart w:id="880" w:name="_Toc296347204"/>
      <w:bookmarkStart w:id="881" w:name="_Toc296346706"/>
      <w:bookmarkStart w:id="882" w:name="_Toc292559915"/>
      <w:bookmarkStart w:id="883" w:name="_Toc297048391"/>
      <w:bookmarkStart w:id="884" w:name="_Toc296891033"/>
      <w:bookmarkStart w:id="885" w:name="_Toc297120505"/>
      <w:bookmarkStart w:id="886" w:name="_Toc292559410"/>
      <w:bookmarkStart w:id="887" w:name="_Toc351203644"/>
      <w:bookmarkStart w:id="888" w:name="_Toc303539159"/>
      <w:bookmarkStart w:id="889" w:name="_Toc297216211"/>
      <w:bookmarkStart w:id="890" w:name="_Toc304295579"/>
      <w:bookmarkStart w:id="891" w:name="_Toc312678040"/>
      <w:bookmarkStart w:id="892" w:name="_Toc297123552"/>
      <w:bookmarkStart w:id="893" w:name="_Toc300935002"/>
      <w:r>
        <w:rPr>
          <w:rFonts w:hint="eastAsia" w:ascii="宋体" w:hAnsi="宋体" w:eastAsia="宋体" w:cs="宋体"/>
          <w:b/>
          <w:bCs w:val="0"/>
          <w:color w:val="auto"/>
          <w:sz w:val="24"/>
          <w:szCs w:val="24"/>
        </w:rPr>
        <w:t xml:space="preserve">12. </w:t>
      </w:r>
      <w:bookmarkEnd w:id="877"/>
      <w:bookmarkEnd w:id="878"/>
      <w:bookmarkEnd w:id="879"/>
      <w:bookmarkEnd w:id="880"/>
      <w:bookmarkEnd w:id="881"/>
      <w:bookmarkEnd w:id="882"/>
      <w:bookmarkEnd w:id="883"/>
      <w:bookmarkEnd w:id="884"/>
      <w:bookmarkEnd w:id="885"/>
      <w:bookmarkEnd w:id="886"/>
      <w:r>
        <w:rPr>
          <w:rFonts w:hint="eastAsia" w:ascii="宋体" w:hAnsi="宋体" w:eastAsia="宋体" w:cs="宋体"/>
          <w:b/>
          <w:bCs w:val="0"/>
          <w:color w:val="auto"/>
          <w:sz w:val="24"/>
          <w:szCs w:val="24"/>
        </w:rPr>
        <w:t>合同价格、计量与支付</w:t>
      </w:r>
      <w:bookmarkEnd w:id="887"/>
    </w:p>
    <w:bookmarkEnd w:id="888"/>
    <w:bookmarkEnd w:id="889"/>
    <w:bookmarkEnd w:id="890"/>
    <w:bookmarkEnd w:id="891"/>
    <w:bookmarkEnd w:id="892"/>
    <w:bookmarkEnd w:id="893"/>
    <w:p w14:paraId="50720981">
      <w:pPr>
        <w:spacing w:after="120" w:line="360" w:lineRule="auto"/>
        <w:ind w:firstLine="480" w:firstLineChars="200"/>
        <w:rPr>
          <w:rFonts w:hint="eastAsia" w:ascii="宋体" w:hAnsi="宋体" w:eastAsia="宋体" w:cs="宋体"/>
          <w:color w:val="auto"/>
          <w:sz w:val="24"/>
          <w:szCs w:val="24"/>
        </w:rPr>
      </w:pPr>
      <w:bookmarkStart w:id="894" w:name="_Toc267251461"/>
      <w:bookmarkStart w:id="895" w:name="_Toc292559916"/>
      <w:bookmarkStart w:id="896" w:name="_Toc292559411"/>
      <w:bookmarkStart w:id="897" w:name="_Toc296944545"/>
      <w:bookmarkStart w:id="898" w:name="_Toc296891246"/>
      <w:bookmarkStart w:id="899" w:name="_Toc296346707"/>
      <w:bookmarkStart w:id="900" w:name="_Toc296891034"/>
      <w:bookmarkStart w:id="901" w:name="_Toc297120506"/>
      <w:bookmarkStart w:id="902" w:name="_Toc296503206"/>
      <w:bookmarkStart w:id="903" w:name="_Toc297048392"/>
      <w:bookmarkStart w:id="904" w:name="_Toc296347205"/>
      <w:bookmarkStart w:id="905" w:name="_Toc303539160"/>
      <w:bookmarkStart w:id="906" w:name="_Toc304295580"/>
      <w:bookmarkStart w:id="907" w:name="_Toc300935003"/>
      <w:bookmarkStart w:id="908" w:name="_Toc312678041"/>
      <w:bookmarkStart w:id="909" w:name="_Toc297123553"/>
      <w:bookmarkStart w:id="910" w:name="_Toc297216212"/>
      <w:r>
        <w:rPr>
          <w:rFonts w:hint="eastAsia" w:ascii="宋体" w:hAnsi="宋体" w:eastAsia="宋体" w:cs="宋体"/>
          <w:color w:val="auto"/>
          <w:sz w:val="24"/>
          <w:szCs w:val="24"/>
        </w:rPr>
        <w:t>12.1 合</w:t>
      </w:r>
      <w:bookmarkEnd w:id="894"/>
      <w:bookmarkEnd w:id="895"/>
      <w:bookmarkEnd w:id="896"/>
      <w:r>
        <w:rPr>
          <w:rFonts w:hint="eastAsia" w:ascii="宋体" w:hAnsi="宋体" w:eastAsia="宋体" w:cs="宋体"/>
          <w:color w:val="auto"/>
          <w:sz w:val="24"/>
          <w:szCs w:val="24"/>
        </w:rPr>
        <w:t>同价</w:t>
      </w:r>
      <w:bookmarkEnd w:id="897"/>
      <w:bookmarkEnd w:id="898"/>
      <w:bookmarkEnd w:id="899"/>
      <w:bookmarkEnd w:id="900"/>
      <w:bookmarkEnd w:id="901"/>
      <w:bookmarkEnd w:id="902"/>
      <w:bookmarkEnd w:id="903"/>
      <w:bookmarkEnd w:id="904"/>
      <w:r>
        <w:rPr>
          <w:rFonts w:hint="eastAsia" w:ascii="宋体" w:hAnsi="宋体" w:eastAsia="宋体" w:cs="宋体"/>
          <w:color w:val="auto"/>
          <w:sz w:val="24"/>
          <w:szCs w:val="24"/>
        </w:rPr>
        <w:t>格形式</w:t>
      </w:r>
    </w:p>
    <w:bookmarkEnd w:id="905"/>
    <w:bookmarkEnd w:id="906"/>
    <w:bookmarkEnd w:id="907"/>
    <w:bookmarkEnd w:id="908"/>
    <w:bookmarkEnd w:id="909"/>
    <w:bookmarkEnd w:id="910"/>
    <w:p w14:paraId="48168B0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1、单价合同。</w:t>
      </w:r>
    </w:p>
    <w:p w14:paraId="5D62B0EB">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综合单价包含的风险范围：</w:t>
      </w:r>
      <w:r>
        <w:rPr>
          <w:rFonts w:hint="eastAsia" w:ascii="宋体" w:hAnsi="宋体" w:eastAsia="宋体" w:cs="宋体"/>
          <w:color w:val="auto"/>
          <w:sz w:val="24"/>
          <w:szCs w:val="24"/>
          <w:u w:val="single"/>
        </w:rPr>
        <w:t xml:space="preserve">                               </w:t>
      </w:r>
    </w:p>
    <w:p w14:paraId="137F9C1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E255CD8">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风险费用的计算方法：</w:t>
      </w:r>
      <w:r>
        <w:rPr>
          <w:rFonts w:hint="eastAsia" w:ascii="宋体" w:hAnsi="宋体" w:eastAsia="宋体" w:cs="宋体"/>
          <w:color w:val="auto"/>
          <w:sz w:val="24"/>
          <w:szCs w:val="24"/>
          <w:u w:val="single"/>
        </w:rPr>
        <w:t xml:space="preserve">                                  </w:t>
      </w:r>
    </w:p>
    <w:p w14:paraId="02C3694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F91E10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风险范围以外合同价格的调整方法：</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2CD83D9E">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E664AC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2、总价合同。</w:t>
      </w:r>
    </w:p>
    <w:p w14:paraId="27001F26">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总价包含的风险范围：</w:t>
      </w:r>
      <w:r>
        <w:rPr>
          <w:rFonts w:hint="eastAsia" w:ascii="宋体" w:hAnsi="宋体" w:eastAsia="宋体" w:cs="宋体"/>
          <w:color w:val="auto"/>
          <w:sz w:val="24"/>
          <w:szCs w:val="24"/>
          <w:u w:val="single"/>
        </w:rPr>
        <w:t xml:space="preserve">                                   </w:t>
      </w:r>
    </w:p>
    <w:p w14:paraId="4F2809D1">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4A85A5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风险费用的计算方法：</w:t>
      </w:r>
      <w:r>
        <w:rPr>
          <w:rFonts w:hint="eastAsia" w:ascii="宋体" w:hAnsi="宋体" w:eastAsia="宋体" w:cs="宋体"/>
          <w:color w:val="auto"/>
          <w:sz w:val="24"/>
          <w:szCs w:val="24"/>
          <w:u w:val="single"/>
        </w:rPr>
        <w:t xml:space="preserve">                                   </w:t>
      </w:r>
    </w:p>
    <w:p w14:paraId="580D11D6">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B25B524">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风险范围以外合同价格的调整方法：</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67A53DDA">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2F6757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3、其他价格方式：</w:t>
      </w:r>
      <w:r>
        <w:rPr>
          <w:rFonts w:hint="eastAsia" w:ascii="宋体" w:hAnsi="宋体" w:eastAsia="宋体" w:cs="宋体"/>
          <w:color w:val="auto"/>
          <w:sz w:val="24"/>
          <w:szCs w:val="24"/>
          <w:u w:val="single"/>
        </w:rPr>
        <w:t xml:space="preserve">                                     </w:t>
      </w:r>
    </w:p>
    <w:p w14:paraId="00EED015">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6560427">
      <w:pPr>
        <w:spacing w:after="120" w:line="360" w:lineRule="auto"/>
        <w:ind w:firstLine="480" w:firstLineChars="200"/>
        <w:rPr>
          <w:rFonts w:hint="eastAsia" w:ascii="宋体" w:hAnsi="宋体" w:eastAsia="宋体" w:cs="宋体"/>
          <w:color w:val="auto"/>
          <w:sz w:val="24"/>
          <w:szCs w:val="24"/>
        </w:rPr>
      </w:pPr>
      <w:bookmarkStart w:id="911" w:name="_Toc303539161"/>
      <w:bookmarkStart w:id="912" w:name="_Toc297123554"/>
      <w:bookmarkStart w:id="913" w:name="_Toc304295581"/>
      <w:bookmarkStart w:id="914" w:name="_Toc312678042"/>
      <w:bookmarkStart w:id="915" w:name="_Toc297216213"/>
      <w:bookmarkStart w:id="916" w:name="_Toc300935004"/>
      <w:bookmarkStart w:id="917" w:name="_Toc296891247"/>
      <w:bookmarkStart w:id="918" w:name="_Toc297048393"/>
      <w:bookmarkStart w:id="919" w:name="_Toc296347206"/>
      <w:bookmarkStart w:id="920" w:name="_Toc296503207"/>
      <w:bookmarkStart w:id="921" w:name="_Toc297120507"/>
      <w:bookmarkStart w:id="922" w:name="_Toc292559917"/>
      <w:bookmarkStart w:id="923" w:name="_Toc292559412"/>
      <w:bookmarkStart w:id="924" w:name="_Toc296346708"/>
      <w:bookmarkStart w:id="925" w:name="_Toc296944546"/>
      <w:bookmarkStart w:id="926" w:name="_Toc296891035"/>
      <w:r>
        <w:rPr>
          <w:rFonts w:hint="eastAsia" w:ascii="宋体" w:hAnsi="宋体" w:eastAsia="宋体" w:cs="宋体"/>
          <w:color w:val="auto"/>
          <w:sz w:val="24"/>
          <w:szCs w:val="24"/>
        </w:rPr>
        <w:t>12.2 预付款</w:t>
      </w:r>
    </w:p>
    <w:bookmarkEnd w:id="911"/>
    <w:bookmarkEnd w:id="912"/>
    <w:bookmarkEnd w:id="913"/>
    <w:bookmarkEnd w:id="914"/>
    <w:bookmarkEnd w:id="915"/>
    <w:bookmarkEnd w:id="916"/>
    <w:p w14:paraId="07BBCDA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12.2.1 预付款的支付</w:t>
      </w:r>
    </w:p>
    <w:p w14:paraId="22020AAA">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预付款支付比例或金额：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ED9F97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预付款支付期限：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4498B61">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预付款扣回的方式：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F1283A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12.2.2 预付款担保</w:t>
      </w:r>
    </w:p>
    <w:p w14:paraId="46D38D3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承包人提交预付款担保的期限：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FBB4F0C">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预付款担保的形式为：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17"/>
    <w:bookmarkEnd w:id="918"/>
    <w:bookmarkEnd w:id="919"/>
    <w:bookmarkEnd w:id="920"/>
    <w:bookmarkEnd w:id="921"/>
    <w:bookmarkEnd w:id="922"/>
    <w:bookmarkEnd w:id="923"/>
    <w:bookmarkEnd w:id="924"/>
    <w:bookmarkEnd w:id="925"/>
    <w:bookmarkEnd w:id="926"/>
    <w:p w14:paraId="2B558950">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12.3 计量</w:t>
      </w:r>
    </w:p>
    <w:p w14:paraId="29D97B5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12.3.1 计量原则</w:t>
      </w:r>
    </w:p>
    <w:p w14:paraId="42F6AE7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工程量计算规则：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B1454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12.3.2 计量周期</w:t>
      </w:r>
    </w:p>
    <w:p w14:paraId="56F9855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关于计量周期的约定：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B5E8511">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12.3.3 单价合同的计量</w:t>
      </w:r>
    </w:p>
    <w:p w14:paraId="7703AFB4">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关于单价合同计量的约定：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868521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12.3.4 总价合同的计量</w:t>
      </w:r>
    </w:p>
    <w:p w14:paraId="092814F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关于总价合同计量的约定：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6DFFD9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12.3.5总价合同采用支付分解表计量支付的，是否适用第</w:t>
      </w:r>
      <w:r>
        <w:rPr>
          <w:rFonts w:hint="eastAsia" w:ascii="宋体" w:hAnsi="宋体" w:eastAsia="宋体" w:cs="宋体"/>
          <w:color w:val="auto"/>
          <w:kern w:val="0"/>
          <w:sz w:val="24"/>
          <w:szCs w:val="24"/>
        </w:rPr>
        <w:t xml:space="preserve">12.3.4 </w:t>
      </w:r>
      <w:r>
        <w:rPr>
          <w:rFonts w:hint="eastAsia" w:ascii="宋体" w:hAnsi="宋体" w:eastAsia="宋体" w:cs="宋体"/>
          <w:color w:val="auto"/>
          <w:sz w:val="24"/>
          <w:szCs w:val="24"/>
        </w:rPr>
        <w:t>项</w:t>
      </w:r>
      <w:r>
        <w:rPr>
          <w:rFonts w:hint="eastAsia" w:ascii="宋体" w:hAnsi="宋体" w:eastAsia="宋体" w:cs="宋体"/>
          <w:color w:val="auto"/>
          <w:kern w:val="0"/>
          <w:sz w:val="24"/>
          <w:szCs w:val="24"/>
        </w:rPr>
        <w:t>〔总价合同的计量〕</w:t>
      </w:r>
      <w:r>
        <w:rPr>
          <w:rFonts w:hint="eastAsia" w:ascii="宋体" w:hAnsi="宋体" w:eastAsia="宋体" w:cs="宋体"/>
          <w:color w:val="auto"/>
          <w:sz w:val="24"/>
          <w:szCs w:val="24"/>
        </w:rPr>
        <w:t>约定进行计量：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180CFA1">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12.3.6 其他价格形式合同的计量</w:t>
      </w:r>
    </w:p>
    <w:p w14:paraId="46F1F860">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其他价格形式的计量方式和程序：</w:t>
      </w:r>
      <w:r>
        <w:rPr>
          <w:rFonts w:hint="eastAsia" w:ascii="宋体" w:hAnsi="宋体" w:eastAsia="宋体" w:cs="宋体"/>
          <w:color w:val="auto"/>
          <w:sz w:val="24"/>
          <w:szCs w:val="24"/>
          <w:u w:val="single"/>
        </w:rPr>
        <w:t xml:space="preserve">                         </w:t>
      </w:r>
    </w:p>
    <w:p w14:paraId="252B0EAC">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E659E3B">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12.4 工程进度款支付</w:t>
      </w:r>
    </w:p>
    <w:p w14:paraId="26310EF0">
      <w:pPr>
        <w:spacing w:line="360" w:lineRule="auto"/>
        <w:ind w:firstLine="480" w:firstLineChars="200"/>
        <w:jc w:val="left"/>
        <w:rPr>
          <w:rFonts w:hint="eastAsia" w:ascii="宋体" w:hAnsi="宋体" w:eastAsia="宋体" w:cs="宋体"/>
          <w:color w:val="auto"/>
          <w:sz w:val="24"/>
          <w:szCs w:val="24"/>
        </w:rPr>
      </w:pPr>
      <w:bookmarkStart w:id="927" w:name="_Toc296891039"/>
      <w:bookmarkStart w:id="928" w:name="_Toc292559416"/>
      <w:bookmarkStart w:id="929" w:name="_Toc297120511"/>
      <w:bookmarkStart w:id="930" w:name="_Toc303539163"/>
      <w:bookmarkStart w:id="931" w:name="_Toc296891251"/>
      <w:bookmarkStart w:id="932" w:name="_Toc296503211"/>
      <w:bookmarkStart w:id="933" w:name="_Toc296944550"/>
      <w:bookmarkStart w:id="934" w:name="_Toc292559921"/>
      <w:bookmarkStart w:id="935" w:name="_Toc297123556"/>
      <w:bookmarkStart w:id="936" w:name="_Toc297216215"/>
      <w:bookmarkStart w:id="937" w:name="_Toc297048397"/>
      <w:bookmarkStart w:id="938" w:name="_Toc296347210"/>
      <w:bookmarkStart w:id="939" w:name="_Toc296346712"/>
      <w:bookmarkStart w:id="940" w:name="_Toc300935006"/>
      <w:r>
        <w:rPr>
          <w:rFonts w:hint="eastAsia" w:ascii="宋体" w:hAnsi="宋体" w:eastAsia="宋体" w:cs="宋体"/>
          <w:color w:val="auto"/>
          <w:sz w:val="24"/>
          <w:szCs w:val="24"/>
        </w:rPr>
        <w:t>12.4.1 付款周期</w:t>
      </w:r>
    </w:p>
    <w:p w14:paraId="46D3C11C">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关于付款周期的约定：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ABC01AE">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12.4.2 进度付款申请单的编制</w:t>
      </w:r>
    </w:p>
    <w:p w14:paraId="05F6E949">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关于进度付款申请单编制的约定：</w:t>
      </w:r>
      <w:r>
        <w:rPr>
          <w:rFonts w:hint="eastAsia" w:ascii="宋体" w:hAnsi="宋体" w:eastAsia="宋体" w:cs="宋体"/>
          <w:color w:val="auto"/>
          <w:sz w:val="24"/>
          <w:szCs w:val="24"/>
          <w:u w:val="single"/>
        </w:rPr>
        <w:t xml:space="preserve">                       </w:t>
      </w:r>
    </w:p>
    <w:p w14:paraId="5D9CD1C4">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D79E7F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r>
        <w:rPr>
          <w:rFonts w:hint="eastAsia" w:ascii="宋体" w:hAnsi="宋体" w:eastAsia="宋体" w:cs="宋体"/>
          <w:color w:val="auto"/>
          <w:sz w:val="24"/>
          <w:szCs w:val="24"/>
        </w:rPr>
        <w:t>2.4.3 进度付款申请单的提交</w:t>
      </w:r>
    </w:p>
    <w:p w14:paraId="4EBADAD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（1）单价合同进度付款申请单提交的约定：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64CB0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（2）总价合同进度付款申请单提交的约定：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E70D6CE">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（3）其他价格形式合同进度付款申请单提交的约定：</w:t>
      </w:r>
      <w:r>
        <w:rPr>
          <w:rFonts w:hint="eastAsia" w:ascii="宋体" w:hAnsi="宋体" w:eastAsia="宋体" w:cs="宋体"/>
          <w:color w:val="auto"/>
          <w:sz w:val="24"/>
          <w:szCs w:val="24"/>
          <w:u w:val="single"/>
        </w:rPr>
        <w:t xml:space="preserve">       </w:t>
      </w:r>
    </w:p>
    <w:p w14:paraId="0C5C025F">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B9A9396">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12.4.4 进度款审核和支付</w:t>
      </w:r>
    </w:p>
    <w:p w14:paraId="40FC4F48">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（1）监理人审查并报送发包人的期限：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E27C9B7">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发包人完成审批并签发进度款支付证书的期限：</w:t>
      </w:r>
      <w:r>
        <w:rPr>
          <w:rFonts w:hint="eastAsia" w:ascii="宋体" w:hAnsi="宋体" w:eastAsia="宋体" w:cs="宋体"/>
          <w:color w:val="auto"/>
          <w:sz w:val="24"/>
          <w:szCs w:val="24"/>
          <w:u w:val="single"/>
        </w:rPr>
        <w:t xml:space="preserve">           </w:t>
      </w:r>
    </w:p>
    <w:p w14:paraId="59088FA6">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C02350F">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（2）发包人支付进度款的期限：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31E73D8">
      <w:pPr>
        <w:spacing w:line="360" w:lineRule="auto"/>
        <w:ind w:firstLine="600" w:firstLineChars="25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发包人逾期支付进度款的违约金的计算方式：</w:t>
      </w:r>
      <w:r>
        <w:rPr>
          <w:rFonts w:hint="eastAsia" w:ascii="宋体" w:hAnsi="宋体" w:eastAsia="宋体" w:cs="宋体"/>
          <w:color w:val="auto"/>
          <w:sz w:val="24"/>
          <w:szCs w:val="24"/>
          <w:u w:val="single"/>
        </w:rPr>
        <w:t xml:space="preserve">            </w:t>
      </w:r>
    </w:p>
    <w:p w14:paraId="5D75135B">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F300A6">
      <w:pPr>
        <w:spacing w:line="360" w:lineRule="auto"/>
        <w:ind w:firstLine="600" w:firstLineChars="250"/>
        <w:jc w:val="left"/>
        <w:rPr>
          <w:rFonts w:hint="eastAsia" w:ascii="宋体" w:hAnsi="宋体" w:eastAsia="宋体" w:cs="宋体"/>
          <w:color w:val="auto"/>
          <w:sz w:val="24"/>
          <w:szCs w:val="24"/>
        </w:rPr>
      </w:pPr>
      <w:r>
        <w:rPr>
          <w:rFonts w:hint="eastAsia" w:ascii="宋体" w:hAnsi="宋体" w:eastAsia="宋体" w:cs="宋体"/>
          <w:color w:val="auto"/>
          <w:sz w:val="24"/>
          <w:szCs w:val="24"/>
        </w:rPr>
        <w:t>12.4.6 支付分解表的编制</w:t>
      </w:r>
    </w:p>
    <w:p w14:paraId="60F18DD9">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2、总价合同支付分解表的编制与审批：</w:t>
      </w:r>
      <w:r>
        <w:rPr>
          <w:rFonts w:hint="eastAsia" w:ascii="宋体" w:hAnsi="宋体" w:eastAsia="宋体" w:cs="宋体"/>
          <w:color w:val="auto"/>
          <w:sz w:val="24"/>
          <w:szCs w:val="24"/>
          <w:u w:val="single"/>
        </w:rPr>
        <w:t xml:space="preserve">                  </w:t>
      </w:r>
    </w:p>
    <w:p w14:paraId="39C5E974">
      <w:pPr>
        <w:spacing w:line="360" w:lineRule="auto"/>
        <w:ind w:left="6000" w:hanging="4800" w:hangingChars="2000"/>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949545E">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3、单价合同的总价项目支付分解表的编制与审批：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4D01599D">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770"/>
    <w:p w14:paraId="23D33B43">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941" w:name="_Toc351203645"/>
      <w:bookmarkStart w:id="942" w:name="_Toc296503219"/>
      <w:bookmarkStart w:id="943" w:name="_Toc292559424"/>
      <w:bookmarkStart w:id="944" w:name="_Toc303539172"/>
      <w:bookmarkStart w:id="945" w:name="_Toc296944558"/>
      <w:bookmarkStart w:id="946" w:name="_Toc312678053"/>
      <w:bookmarkStart w:id="947" w:name="_Toc296891259"/>
      <w:bookmarkStart w:id="948" w:name="_Toc296891047"/>
      <w:bookmarkStart w:id="949" w:name="_Toc297216223"/>
      <w:bookmarkStart w:id="950" w:name="_Toc297120519"/>
      <w:bookmarkStart w:id="951" w:name="_Toc304295593"/>
      <w:bookmarkStart w:id="952" w:name="_Toc297048405"/>
      <w:bookmarkStart w:id="953" w:name="_Toc296346720"/>
      <w:bookmarkStart w:id="954" w:name="_Toc300935015"/>
      <w:bookmarkStart w:id="955" w:name="_Toc296347218"/>
      <w:bookmarkStart w:id="956" w:name="_Toc292559929"/>
      <w:bookmarkStart w:id="957" w:name="_Toc297123564"/>
      <w:r>
        <w:rPr>
          <w:rFonts w:hint="eastAsia" w:ascii="宋体" w:hAnsi="宋体" w:eastAsia="宋体" w:cs="宋体"/>
          <w:b/>
          <w:bCs w:val="0"/>
          <w:color w:val="auto"/>
          <w:sz w:val="24"/>
          <w:szCs w:val="24"/>
        </w:rPr>
        <w:t>13. 验收和工程试车</w:t>
      </w:r>
      <w:bookmarkEnd w:id="941"/>
    </w:p>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14:paraId="4F956499">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13.1 分部分项工程验收</w:t>
      </w:r>
    </w:p>
    <w:p w14:paraId="157C390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13.1.2监理人不能按时进行验收时，应提前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小时提交书面延期要求。</w:t>
      </w:r>
    </w:p>
    <w:p w14:paraId="063F706B">
      <w:pPr>
        <w:spacing w:line="360" w:lineRule="auto"/>
        <w:ind w:firstLine="480" w:firstLineChars="200"/>
        <w:jc w:val="left"/>
        <w:rPr>
          <w:rFonts w:hint="eastAsia" w:ascii="宋体" w:hAnsi="宋体" w:eastAsia="宋体" w:cs="宋体"/>
          <w:b/>
          <w:color w:val="auto"/>
          <w:sz w:val="24"/>
          <w:szCs w:val="24"/>
        </w:rPr>
      </w:pPr>
      <w:r>
        <w:rPr>
          <w:rFonts w:hint="eastAsia" w:ascii="宋体" w:hAnsi="宋体" w:eastAsia="宋体" w:cs="宋体"/>
          <w:color w:val="auto"/>
          <w:sz w:val="24"/>
          <w:szCs w:val="24"/>
        </w:rPr>
        <w:t>关于延期最长不得超过：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小时。</w:t>
      </w:r>
    </w:p>
    <w:p w14:paraId="01C5FC03">
      <w:pPr>
        <w:spacing w:after="120" w:line="360" w:lineRule="auto"/>
        <w:ind w:firstLine="480" w:firstLineChars="200"/>
        <w:rPr>
          <w:rFonts w:hint="eastAsia" w:ascii="宋体" w:hAnsi="宋体" w:eastAsia="宋体" w:cs="宋体"/>
          <w:color w:val="auto"/>
          <w:sz w:val="24"/>
          <w:szCs w:val="24"/>
        </w:rPr>
      </w:pPr>
      <w:bookmarkStart w:id="958" w:name="_Toc296503223"/>
      <w:bookmarkStart w:id="959" w:name="_Toc296347222"/>
      <w:bookmarkStart w:id="960" w:name="_Toc296891263"/>
      <w:bookmarkStart w:id="961" w:name="_Toc303539173"/>
      <w:bookmarkStart w:id="962" w:name="_Toc296346724"/>
      <w:bookmarkStart w:id="963" w:name="_Toc297120523"/>
      <w:bookmarkStart w:id="964" w:name="_Toc300935016"/>
      <w:bookmarkStart w:id="965" w:name="_Toc292559428"/>
      <w:bookmarkStart w:id="966" w:name="_Toc304295596"/>
      <w:bookmarkStart w:id="967" w:name="_Toc296944562"/>
      <w:bookmarkStart w:id="968" w:name="_Toc297216224"/>
      <w:bookmarkStart w:id="969" w:name="_Toc297048409"/>
      <w:bookmarkStart w:id="970" w:name="_Toc296891051"/>
      <w:bookmarkStart w:id="971" w:name="_Toc292559933"/>
      <w:bookmarkStart w:id="972" w:name="_Toc297123565"/>
      <w:bookmarkStart w:id="973" w:name="_Toc312678056"/>
      <w:bookmarkStart w:id="974" w:name="_Toc267251476"/>
      <w:bookmarkStart w:id="975" w:name="_Toc267251471"/>
      <w:bookmarkStart w:id="976" w:name="_Toc267251470"/>
      <w:bookmarkStart w:id="977" w:name="_Toc267251475"/>
      <w:bookmarkStart w:id="978" w:name="_Toc267251472"/>
      <w:bookmarkStart w:id="979" w:name="_Toc267251474"/>
      <w:bookmarkStart w:id="980" w:name="_Toc267251473"/>
      <w:r>
        <w:rPr>
          <w:rFonts w:hint="eastAsia" w:ascii="宋体" w:hAnsi="宋体" w:eastAsia="宋体" w:cs="宋体"/>
          <w:color w:val="auto"/>
          <w:sz w:val="24"/>
          <w:szCs w:val="24"/>
        </w:rPr>
        <w:t>13.2 竣工验收</w:t>
      </w:r>
    </w:p>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14:paraId="139B093E">
      <w:pPr>
        <w:spacing w:line="360" w:lineRule="auto"/>
        <w:ind w:firstLine="480" w:firstLineChars="200"/>
        <w:jc w:val="left"/>
        <w:rPr>
          <w:rFonts w:hint="eastAsia" w:ascii="宋体" w:hAnsi="宋体" w:eastAsia="宋体" w:cs="宋体"/>
          <w:color w:val="auto"/>
          <w:sz w:val="24"/>
          <w:szCs w:val="24"/>
        </w:rPr>
      </w:pPr>
      <w:bookmarkStart w:id="981" w:name="_Toc280868704"/>
      <w:bookmarkStart w:id="982" w:name="_Toc280868705"/>
      <w:bookmarkStart w:id="983" w:name="_Toc280868706"/>
      <w:bookmarkStart w:id="984" w:name="_Toc280868707"/>
      <w:bookmarkStart w:id="985" w:name="_Toc280868708"/>
      <w:bookmarkStart w:id="986" w:name="_Toc280868709"/>
      <w:r>
        <w:rPr>
          <w:rFonts w:hint="eastAsia" w:ascii="宋体" w:hAnsi="宋体" w:eastAsia="宋体" w:cs="宋体"/>
          <w:color w:val="auto"/>
          <w:sz w:val="24"/>
          <w:szCs w:val="24"/>
        </w:rPr>
        <w:t>13.2.2竣工验收程序</w:t>
      </w:r>
    </w:p>
    <w:bookmarkEnd w:id="981"/>
    <w:p w14:paraId="40BBF4E2">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关于竣工验收程序的约定：</w:t>
      </w:r>
      <w:r>
        <w:rPr>
          <w:rFonts w:hint="eastAsia" w:ascii="宋体" w:hAnsi="宋体" w:eastAsia="宋体" w:cs="宋体"/>
          <w:color w:val="auto"/>
          <w:sz w:val="24"/>
          <w:szCs w:val="24"/>
          <w:u w:val="single"/>
        </w:rPr>
        <w:t xml:space="preserve">                              </w:t>
      </w:r>
    </w:p>
    <w:p w14:paraId="44597A8B">
      <w:pPr>
        <w:spacing w:line="360" w:lineRule="auto"/>
        <w:ind w:left="6000" w:hanging="4800" w:hangingChars="2000"/>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699D836">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发包人不按照本项约定组织竣工验收、颁发工程接收证书的违约金的计算方法：</w:t>
      </w:r>
      <w:r>
        <w:rPr>
          <w:rFonts w:hint="eastAsia" w:ascii="宋体" w:hAnsi="宋体" w:eastAsia="宋体" w:cs="宋体"/>
          <w:color w:val="auto"/>
          <w:sz w:val="24"/>
          <w:szCs w:val="24"/>
          <w:u w:val="single"/>
        </w:rPr>
        <w:t xml:space="preserve">                                         </w:t>
      </w:r>
    </w:p>
    <w:p w14:paraId="7F542B49">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82"/>
    <w:p w14:paraId="70C52111">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13.2.5移交、接收全部与部分工程</w:t>
      </w:r>
    </w:p>
    <w:bookmarkEnd w:id="983"/>
    <w:p w14:paraId="15D8A375">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承包人向发包人移交工程的期限：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4F0405A8">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发包人未按本合同约定接收全部或部分工程的，违约金的计算方法为：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84"/>
    <w:p w14:paraId="548D07E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承包人未按时移交工程的，违约金的计算方法为：</w:t>
      </w:r>
      <w:r>
        <w:rPr>
          <w:rFonts w:hint="eastAsia" w:ascii="宋体" w:hAnsi="宋体" w:eastAsia="宋体" w:cs="宋体"/>
          <w:color w:val="auto"/>
          <w:sz w:val="24"/>
          <w:szCs w:val="24"/>
          <w:u w:val="single"/>
        </w:rPr>
        <w:t xml:space="preserve">          </w:t>
      </w:r>
    </w:p>
    <w:p w14:paraId="674D7D20">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008937">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13.3 工程试车</w:t>
      </w:r>
    </w:p>
    <w:bookmarkEnd w:id="985"/>
    <w:p w14:paraId="4A6E2CAD">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13.3.1 试车程序</w:t>
      </w:r>
    </w:p>
    <w:p w14:paraId="70F34A3F">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工程试车内容：</w:t>
      </w:r>
      <w:r>
        <w:rPr>
          <w:rFonts w:hint="eastAsia" w:ascii="宋体" w:hAnsi="宋体" w:eastAsia="宋体" w:cs="宋体"/>
          <w:color w:val="auto"/>
          <w:sz w:val="24"/>
          <w:szCs w:val="24"/>
          <w:u w:val="single"/>
        </w:rPr>
        <w:t xml:space="preserve">                                        </w:t>
      </w:r>
    </w:p>
    <w:p w14:paraId="4CB6F336">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C95AE3D">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（1）单机无负荷试车费用由</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承担；</w:t>
      </w:r>
    </w:p>
    <w:p w14:paraId="1EF41551">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（2）无负荷联动试车费用由</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承担。</w:t>
      </w:r>
    </w:p>
    <w:p w14:paraId="3D85EBC5">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13.3.3 投料试车</w:t>
      </w:r>
    </w:p>
    <w:p w14:paraId="4D470EF0">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关于投料试车相关事项的约定：</w:t>
      </w:r>
      <w:r>
        <w:rPr>
          <w:rFonts w:hint="eastAsia" w:ascii="宋体" w:hAnsi="宋体" w:eastAsia="宋体" w:cs="宋体"/>
          <w:color w:val="auto"/>
          <w:sz w:val="24"/>
          <w:szCs w:val="24"/>
          <w:u w:val="single"/>
        </w:rPr>
        <w:t xml:space="preserve">                           </w:t>
      </w:r>
    </w:p>
    <w:p w14:paraId="4A0EBF10">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F4A02AF">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13.6 竣工退场</w:t>
      </w:r>
    </w:p>
    <w:p w14:paraId="1F70F594">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13.6.1 竣工退场</w:t>
      </w:r>
    </w:p>
    <w:p w14:paraId="62A440CF">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承包人完成竣工退场的期限：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kern w:val="0"/>
          <w:sz w:val="24"/>
          <w:szCs w:val="24"/>
        </w:rPr>
        <w:t>。</w:t>
      </w:r>
    </w:p>
    <w:p w14:paraId="0659FD1F">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987" w:name="_Toc351203646"/>
      <w:r>
        <w:rPr>
          <w:rFonts w:hint="eastAsia" w:ascii="宋体" w:hAnsi="宋体" w:eastAsia="宋体" w:cs="宋体"/>
          <w:b/>
          <w:bCs w:val="0"/>
          <w:color w:val="auto"/>
          <w:sz w:val="24"/>
          <w:szCs w:val="24"/>
        </w:rPr>
        <w:t>14. 竣工结算</w:t>
      </w:r>
      <w:bookmarkEnd w:id="987"/>
    </w:p>
    <w:p w14:paraId="7AA7A80F">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14.1 竣工结算申请</w:t>
      </w:r>
    </w:p>
    <w:p w14:paraId="53A31B6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承包人提交竣工结算申请单的期限：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3DC9DF3">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竣工结算申请单应包括的内容：</w:t>
      </w:r>
      <w:r>
        <w:rPr>
          <w:rFonts w:hint="eastAsia" w:ascii="宋体" w:hAnsi="宋体" w:eastAsia="宋体" w:cs="宋体"/>
          <w:color w:val="auto"/>
          <w:sz w:val="24"/>
          <w:szCs w:val="24"/>
          <w:u w:val="single"/>
        </w:rPr>
        <w:t xml:space="preserve">                        </w:t>
      </w:r>
    </w:p>
    <w:p w14:paraId="3C65093D">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9195050">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14.2 竣工结算审核</w:t>
      </w:r>
    </w:p>
    <w:p w14:paraId="0C17E27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发包人审批竣工付款申请单的期限：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6283C854">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发包人完成竣工付款的期限：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DCDA176">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关于竣工付款证书异议部分复核的方式和程序：</w:t>
      </w:r>
      <w:r>
        <w:rPr>
          <w:rFonts w:hint="eastAsia" w:ascii="宋体" w:hAnsi="宋体" w:eastAsia="宋体" w:cs="宋体"/>
          <w:color w:val="auto"/>
          <w:sz w:val="24"/>
          <w:szCs w:val="24"/>
          <w:u w:val="single"/>
        </w:rPr>
        <w:t xml:space="preserve">          </w:t>
      </w:r>
    </w:p>
    <w:p w14:paraId="2A414494">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384DC7A">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14.4 最终结清</w:t>
      </w:r>
    </w:p>
    <w:p w14:paraId="307512AB">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14.4.1 最终结清申请单</w:t>
      </w:r>
    </w:p>
    <w:p w14:paraId="5744D1AB">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承包人提交最终结清申请单的份数：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D6EC2E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rPr>
        <w:t>承包人提交最终结算申请单的期限：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579FE6D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14.4.2 最终结清证书和支付</w:t>
      </w:r>
    </w:p>
    <w:p w14:paraId="1248A12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（1）发包人完成最终结清申请单的审批并颁发最终结清证书的期限：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6FD0E90">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（2）发包人完成支付的期限：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74"/>
    <w:bookmarkEnd w:id="975"/>
    <w:bookmarkEnd w:id="976"/>
    <w:bookmarkEnd w:id="977"/>
    <w:bookmarkEnd w:id="978"/>
    <w:bookmarkEnd w:id="979"/>
    <w:bookmarkEnd w:id="980"/>
    <w:bookmarkEnd w:id="986"/>
    <w:p w14:paraId="5421E91E">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988" w:name="_Toc351203647"/>
      <w:bookmarkStart w:id="989" w:name="_Toc267251483"/>
      <w:bookmarkStart w:id="990" w:name="_Toc267251484"/>
      <w:bookmarkStart w:id="991" w:name="_Toc267251482"/>
      <w:bookmarkStart w:id="992" w:name="_Toc267251485"/>
      <w:bookmarkStart w:id="993" w:name="_Toc267251489"/>
      <w:bookmarkStart w:id="994" w:name="_Toc267251486"/>
      <w:bookmarkStart w:id="995" w:name="_Toc267251488"/>
      <w:bookmarkStart w:id="996" w:name="_Toc267251490"/>
      <w:bookmarkStart w:id="997" w:name="_Toc267251503"/>
      <w:bookmarkStart w:id="998" w:name="_Toc267251501"/>
      <w:bookmarkStart w:id="999" w:name="_Toc267251493"/>
      <w:bookmarkStart w:id="1000" w:name="_Toc267251496"/>
      <w:bookmarkStart w:id="1001" w:name="_Toc267251492"/>
      <w:bookmarkStart w:id="1002" w:name="_Toc267251502"/>
      <w:bookmarkStart w:id="1003" w:name="_Toc267251495"/>
      <w:bookmarkStart w:id="1004" w:name="_Toc267251494"/>
      <w:bookmarkStart w:id="1005" w:name="_Toc267251491"/>
      <w:bookmarkStart w:id="1006" w:name="_Toc267251498"/>
      <w:bookmarkStart w:id="1007" w:name="_Toc267251497"/>
      <w:bookmarkStart w:id="1008" w:name="_Toc267251499"/>
      <w:bookmarkStart w:id="1009" w:name="_Toc267251504"/>
      <w:bookmarkStart w:id="1010" w:name="_Toc267251506"/>
      <w:bookmarkStart w:id="1011" w:name="_Toc267251507"/>
      <w:bookmarkStart w:id="1012" w:name="_Toc267251508"/>
      <w:bookmarkStart w:id="1013" w:name="_Toc267251515"/>
      <w:bookmarkStart w:id="1014" w:name="_Toc267251514"/>
      <w:bookmarkStart w:id="1015" w:name="_Toc267251513"/>
      <w:bookmarkStart w:id="1016" w:name="_Toc267251509"/>
      <w:bookmarkStart w:id="1017" w:name="_Toc267251510"/>
      <w:bookmarkStart w:id="1018" w:name="_Toc267251511"/>
      <w:r>
        <w:rPr>
          <w:rFonts w:hint="eastAsia" w:ascii="宋体" w:hAnsi="宋体" w:eastAsia="宋体" w:cs="宋体"/>
          <w:b/>
          <w:bCs w:val="0"/>
          <w:color w:val="auto"/>
          <w:sz w:val="24"/>
          <w:szCs w:val="24"/>
        </w:rPr>
        <w:t>15. 缺陷责任期与保修</w:t>
      </w:r>
      <w:bookmarkEnd w:id="988"/>
    </w:p>
    <w:p w14:paraId="6EE44912">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15.2缺陷责任期</w:t>
      </w:r>
      <w:bookmarkEnd w:id="989"/>
    </w:p>
    <w:p w14:paraId="727A15AC">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缺陷责任期的具体期限：</w:t>
      </w:r>
      <w:r>
        <w:rPr>
          <w:rFonts w:hint="eastAsia" w:ascii="宋体" w:hAnsi="宋体" w:eastAsia="宋体" w:cs="宋体"/>
          <w:color w:val="auto"/>
          <w:sz w:val="24"/>
          <w:szCs w:val="24"/>
          <w:u w:val="single"/>
        </w:rPr>
        <w:t xml:space="preserve">                                </w:t>
      </w:r>
    </w:p>
    <w:p w14:paraId="3BC8C4F6">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255BE998">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15.3 质量保证金</w:t>
      </w:r>
    </w:p>
    <w:p w14:paraId="4153FAA7">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关于是否扣留质量保证金的约定：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。在工程项目竣工前，承包人按专用合同条款第3.7条提供履约担保的，发包人不得同时预留工程质量保证金。</w:t>
      </w:r>
    </w:p>
    <w:p w14:paraId="3219FF44">
      <w:pPr>
        <w:spacing w:line="360" w:lineRule="auto"/>
        <w:ind w:firstLine="480" w:firstLineChars="200"/>
        <w:jc w:val="left"/>
        <w:rPr>
          <w:rFonts w:hint="eastAsia" w:ascii="宋体" w:hAnsi="宋体" w:eastAsia="宋体" w:cs="宋体"/>
          <w:color w:val="auto"/>
          <w:sz w:val="24"/>
          <w:szCs w:val="24"/>
        </w:rPr>
      </w:pPr>
    </w:p>
    <w:p w14:paraId="5B81A474">
      <w:pPr>
        <w:spacing w:line="360" w:lineRule="auto"/>
        <w:ind w:firstLine="480" w:firstLineChars="200"/>
        <w:jc w:val="left"/>
        <w:outlineLvl w:val="0"/>
        <w:rPr>
          <w:rFonts w:hint="eastAsia" w:ascii="宋体" w:hAnsi="宋体" w:eastAsia="宋体" w:cs="宋体"/>
          <w:color w:val="auto"/>
          <w:sz w:val="24"/>
          <w:szCs w:val="24"/>
        </w:rPr>
      </w:pPr>
      <w:r>
        <w:rPr>
          <w:rFonts w:hint="eastAsia" w:ascii="宋体" w:hAnsi="宋体" w:eastAsia="宋体" w:cs="宋体"/>
          <w:color w:val="auto"/>
          <w:sz w:val="24"/>
          <w:szCs w:val="24"/>
        </w:rPr>
        <w:t>15.3.1 承包人提供质量保证金的方式</w:t>
      </w:r>
    </w:p>
    <w:p w14:paraId="0118AA1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质量保证金采用以下第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w:t>
      </w:r>
    </w:p>
    <w:p w14:paraId="53582A0B">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（1）质量保证金保函，保证金额为：</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 xml:space="preserve">； </w:t>
      </w:r>
    </w:p>
    <w:p w14:paraId="5A64BD2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%的工程款；</w:t>
      </w:r>
    </w:p>
    <w:p w14:paraId="6B4BECEF">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（3）其他方式:</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65433193">
      <w:pPr>
        <w:spacing w:line="360" w:lineRule="auto"/>
        <w:ind w:firstLine="480" w:firstLineChars="200"/>
        <w:jc w:val="left"/>
        <w:outlineLvl w:val="0"/>
        <w:rPr>
          <w:rFonts w:hint="eastAsia" w:ascii="宋体" w:hAnsi="宋体" w:eastAsia="宋体" w:cs="宋体"/>
          <w:color w:val="auto"/>
          <w:sz w:val="24"/>
          <w:szCs w:val="24"/>
        </w:rPr>
      </w:pPr>
      <w:r>
        <w:rPr>
          <w:rFonts w:hint="eastAsia" w:ascii="宋体" w:hAnsi="宋体" w:eastAsia="宋体" w:cs="宋体"/>
          <w:color w:val="auto"/>
          <w:sz w:val="24"/>
          <w:szCs w:val="24"/>
        </w:rPr>
        <w:t xml:space="preserve">15.3.2 质量保证金的扣留 </w:t>
      </w:r>
    </w:p>
    <w:p w14:paraId="50EB377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质量保证金的扣留采取以下第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w:t>
      </w:r>
    </w:p>
    <w:p w14:paraId="37C93FF2">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（1）在支付工程进度款时逐次扣留，在此情形下，质量保证金的计算基数不包括预付款的支付、扣回以及价格调整的金额；</w:t>
      </w:r>
    </w:p>
    <w:p w14:paraId="5F26D4D6">
      <w:pPr>
        <w:autoSpaceDE w:val="0"/>
        <w:autoSpaceDN w:val="0"/>
        <w:adjustRightInd w:val="0"/>
        <w:spacing w:line="360" w:lineRule="auto"/>
        <w:ind w:firstLine="480" w:firstLineChars="200"/>
        <w:jc w:val="left"/>
        <w:outlineLvl w:val="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（2）工程竣工结算时一次性扣留质量保证金；</w:t>
      </w:r>
    </w:p>
    <w:p w14:paraId="4C6AB0E4">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（3）其他扣留方式:</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1F082775">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关于质量保证金的补充约定：</w:t>
      </w:r>
      <w:r>
        <w:rPr>
          <w:rFonts w:hint="eastAsia" w:ascii="宋体" w:hAnsi="宋体" w:eastAsia="宋体" w:cs="宋体"/>
          <w:color w:val="auto"/>
          <w:kern w:val="0"/>
          <w:sz w:val="24"/>
          <w:szCs w:val="24"/>
          <w:u w:val="single"/>
        </w:rPr>
        <w:t xml:space="preserve">                            </w:t>
      </w:r>
    </w:p>
    <w:p w14:paraId="542C8A23">
      <w:pPr>
        <w:spacing w:line="36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bookmarkEnd w:id="990"/>
    <w:bookmarkEnd w:id="991"/>
    <w:p w14:paraId="3475D1F5">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15.4保修</w:t>
      </w:r>
    </w:p>
    <w:bookmarkEnd w:id="992"/>
    <w:p w14:paraId="658AD799">
      <w:pPr>
        <w:spacing w:line="360" w:lineRule="auto"/>
        <w:ind w:firstLine="468" w:firstLineChars="195"/>
        <w:jc w:val="left"/>
        <w:rPr>
          <w:rFonts w:hint="eastAsia" w:ascii="宋体" w:hAnsi="宋体" w:eastAsia="宋体" w:cs="宋体"/>
          <w:color w:val="auto"/>
          <w:sz w:val="24"/>
          <w:szCs w:val="24"/>
        </w:rPr>
      </w:pPr>
      <w:r>
        <w:rPr>
          <w:rFonts w:hint="eastAsia" w:ascii="宋体" w:hAnsi="宋体" w:eastAsia="宋体" w:cs="宋体"/>
          <w:color w:val="auto"/>
          <w:sz w:val="24"/>
          <w:szCs w:val="24"/>
        </w:rPr>
        <w:t>15.4.1 保修责任</w:t>
      </w:r>
    </w:p>
    <w:p w14:paraId="36C316CB">
      <w:pPr>
        <w:spacing w:line="360" w:lineRule="auto"/>
        <w:ind w:firstLine="468" w:firstLineChars="195"/>
        <w:jc w:val="left"/>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工程保修期为：</w:t>
      </w:r>
      <w:r>
        <w:rPr>
          <w:rFonts w:hint="eastAsia" w:ascii="宋体" w:hAnsi="宋体" w:eastAsia="宋体" w:cs="宋体"/>
          <w:color w:val="auto"/>
          <w:kern w:val="0"/>
          <w:sz w:val="24"/>
          <w:szCs w:val="24"/>
          <w:u w:val="single"/>
        </w:rPr>
        <w:t xml:space="preserve">                                        </w:t>
      </w:r>
    </w:p>
    <w:p w14:paraId="4F0B322A">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6D729F87">
      <w:pPr>
        <w:spacing w:line="360" w:lineRule="auto"/>
        <w:ind w:firstLine="468" w:firstLineChars="195"/>
        <w:jc w:val="left"/>
        <w:rPr>
          <w:rFonts w:hint="eastAsia" w:ascii="宋体" w:hAnsi="宋体" w:eastAsia="宋体" w:cs="宋体"/>
          <w:color w:val="auto"/>
          <w:sz w:val="24"/>
          <w:szCs w:val="24"/>
        </w:rPr>
      </w:pPr>
      <w:r>
        <w:rPr>
          <w:rFonts w:hint="eastAsia" w:ascii="宋体" w:hAnsi="宋体" w:eastAsia="宋体" w:cs="宋体"/>
          <w:color w:val="auto"/>
          <w:sz w:val="24"/>
          <w:szCs w:val="24"/>
        </w:rPr>
        <w:t>15.4.3 修复通知</w:t>
      </w:r>
    </w:p>
    <w:p w14:paraId="544DC9E7">
      <w:pPr>
        <w:spacing w:line="360" w:lineRule="auto"/>
        <w:ind w:firstLine="468" w:firstLineChars="195"/>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承包人收到保修通知并到达工程现场的合理时间：</w:t>
      </w:r>
      <w:r>
        <w:rPr>
          <w:rFonts w:hint="eastAsia" w:ascii="宋体" w:hAnsi="宋体" w:eastAsia="宋体" w:cs="宋体"/>
          <w:color w:val="auto"/>
          <w:kern w:val="0"/>
          <w:sz w:val="24"/>
          <w:szCs w:val="24"/>
          <w:u w:val="single"/>
        </w:rPr>
        <w:t xml:space="preserve">          </w:t>
      </w:r>
    </w:p>
    <w:p w14:paraId="01ED946A">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bookmarkEnd w:id="993"/>
    <w:bookmarkEnd w:id="994"/>
    <w:bookmarkEnd w:id="995"/>
    <w:bookmarkEnd w:id="996"/>
    <w:p w14:paraId="6B1F2B33">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1019" w:name="_Toc351203648"/>
      <w:bookmarkStart w:id="1020" w:name="_Toc280868717"/>
      <w:bookmarkStart w:id="1021" w:name="_Toc280868718"/>
      <w:r>
        <w:rPr>
          <w:rFonts w:hint="eastAsia" w:ascii="宋体" w:hAnsi="宋体" w:eastAsia="宋体" w:cs="宋体"/>
          <w:b/>
          <w:bCs w:val="0"/>
          <w:color w:val="auto"/>
          <w:sz w:val="24"/>
          <w:szCs w:val="24"/>
        </w:rPr>
        <w:t>16. 违约</w:t>
      </w:r>
      <w:bookmarkEnd w:id="1019"/>
    </w:p>
    <w:p w14:paraId="394C63D2">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16.1 发包人违约</w:t>
      </w:r>
    </w:p>
    <w:p w14:paraId="1633F2A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16.1.1发包人违约的情形</w:t>
      </w:r>
    </w:p>
    <w:p w14:paraId="748B1EB2">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发包人违约的其他情形：</w:t>
      </w:r>
      <w:r>
        <w:rPr>
          <w:rFonts w:hint="eastAsia" w:ascii="宋体" w:hAnsi="宋体" w:eastAsia="宋体" w:cs="宋体"/>
          <w:color w:val="auto"/>
          <w:kern w:val="0"/>
          <w:sz w:val="24"/>
          <w:szCs w:val="24"/>
          <w:u w:val="single"/>
        </w:rPr>
        <w:t xml:space="preserve">                                </w:t>
      </w:r>
    </w:p>
    <w:p w14:paraId="039D28FF">
      <w:pPr>
        <w:spacing w:line="360" w:lineRule="auto"/>
        <w:ind w:left="1500" w:hanging="1200" w:hangingChars="5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4183A46F">
      <w:pPr>
        <w:spacing w:line="360" w:lineRule="auto"/>
        <w:ind w:left="1500" w:hanging="1200" w:hangingChars="5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    16.1.2 发包人违约的责任</w:t>
      </w:r>
    </w:p>
    <w:p w14:paraId="5D5D4D7D">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发包人违约责任的承担方式和计算方法：</w:t>
      </w:r>
    </w:p>
    <w:p w14:paraId="61D90C53">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（1）因发包人原因未能在计划开工日期前7天内下达开工通知的违约责任：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1390CAAD">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（2）因发包人原因未能按合同约定支付合同价款的违约责任：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2F017F5A">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（3）发包人违反第10.1款〔变更的范围〕第（2）项约定，自行实施被取消的工作或转由他人实施的违约责任：</w:t>
      </w:r>
      <w:r>
        <w:rPr>
          <w:rFonts w:hint="eastAsia" w:ascii="宋体" w:hAnsi="宋体" w:eastAsia="宋体" w:cs="宋体"/>
          <w:color w:val="auto"/>
          <w:kern w:val="0"/>
          <w:sz w:val="24"/>
          <w:szCs w:val="24"/>
          <w:u w:val="single"/>
        </w:rPr>
        <w:t xml:space="preserve">              </w:t>
      </w:r>
    </w:p>
    <w:p w14:paraId="7CBAE235">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1108CCBB">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（4）发包人提供的材料、工程设备的规格、数量或质量不符合合同约定，或因发包人原因导致交货日期延误或交货地点变更等情况的违约责任：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207BFAB5">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（5）因发包人违反合同约定造成暂停施工的违约责任：</w:t>
      </w:r>
      <w:r>
        <w:rPr>
          <w:rFonts w:hint="eastAsia" w:ascii="宋体" w:hAnsi="宋体" w:eastAsia="宋体" w:cs="宋体"/>
          <w:color w:val="auto"/>
          <w:kern w:val="0"/>
          <w:sz w:val="24"/>
          <w:szCs w:val="24"/>
          <w:u w:val="single"/>
        </w:rPr>
        <w:t xml:space="preserve">     </w:t>
      </w:r>
    </w:p>
    <w:p w14:paraId="0E0AE359">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7AED7B3A">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（6）发包人无正当理由没有在约定期限内发出复工指示，导致承包人无法复工的违约责任：</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0BAB7E17">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（7）其他：</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0B20720D">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16.1.3 因发包人违约解除合同</w:t>
      </w:r>
    </w:p>
    <w:p w14:paraId="2ABE698A">
      <w:pPr>
        <w:autoSpaceDE w:val="0"/>
        <w:autoSpaceDN w:val="0"/>
        <w:adjustRightInd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承包人按16.1.1项〔发包人违约的情形〕约定暂停施工满</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天后发包人仍不纠正其违约行为并致使合同目的不能实现的，承包人有权解除合同。</w:t>
      </w:r>
    </w:p>
    <w:p w14:paraId="22FB21C6">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16.2 承包人违约</w:t>
      </w:r>
    </w:p>
    <w:p w14:paraId="0FD59D11">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16.2.1 承包人违约的情形</w:t>
      </w:r>
    </w:p>
    <w:p w14:paraId="5296DB82">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承包人违约的其他情形：</w:t>
      </w:r>
      <w:r>
        <w:rPr>
          <w:rFonts w:hint="eastAsia" w:ascii="宋体" w:hAnsi="宋体" w:eastAsia="宋体" w:cs="宋体"/>
          <w:color w:val="auto"/>
          <w:kern w:val="0"/>
          <w:sz w:val="24"/>
          <w:szCs w:val="24"/>
          <w:u w:val="single"/>
        </w:rPr>
        <w:t xml:space="preserve">                                </w:t>
      </w:r>
    </w:p>
    <w:p w14:paraId="4C0CF96C">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3E7D7841">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16.2.2承包人违约的责任</w:t>
      </w:r>
    </w:p>
    <w:p w14:paraId="20B20052">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承包人违约责任的承担方式和计算方法：</w:t>
      </w:r>
      <w:r>
        <w:rPr>
          <w:rFonts w:hint="eastAsia" w:ascii="宋体" w:hAnsi="宋体" w:eastAsia="宋体" w:cs="宋体"/>
          <w:color w:val="auto"/>
          <w:kern w:val="0"/>
          <w:sz w:val="24"/>
          <w:szCs w:val="24"/>
          <w:u w:val="single"/>
        </w:rPr>
        <w:t xml:space="preserve">                  </w:t>
      </w:r>
    </w:p>
    <w:p w14:paraId="07A514D9">
      <w:pPr>
        <w:spacing w:line="360" w:lineRule="auto"/>
        <w:ind w:left="1500" w:hanging="1200" w:hangingChars="500"/>
        <w:jc w:val="left"/>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r>
        <w:rPr>
          <w:rFonts w:hint="eastAsia" w:ascii="宋体" w:hAnsi="宋体" w:eastAsia="宋体" w:cs="宋体"/>
          <w:color w:val="auto"/>
          <w:sz w:val="24"/>
          <w:szCs w:val="24"/>
        </w:rPr>
        <w:t xml:space="preserve">    </w:t>
      </w:r>
    </w:p>
    <w:p w14:paraId="09A3EE8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16.2.3 因承包人违约解除合同</w:t>
      </w:r>
    </w:p>
    <w:p w14:paraId="033464D6">
      <w:pPr>
        <w:spacing w:before="120" w:after="120" w:line="360" w:lineRule="auto"/>
        <w:ind w:firstLine="480" w:firstLineChars="200"/>
        <w:rPr>
          <w:rFonts w:hint="eastAsia" w:ascii="宋体" w:hAnsi="宋体" w:eastAsia="宋体" w:cs="宋体"/>
          <w:color w:val="auto"/>
          <w:kern w:val="0"/>
          <w:sz w:val="24"/>
          <w:szCs w:val="24"/>
          <w:u w:val="single"/>
        </w:rPr>
      </w:pPr>
      <w:r>
        <w:rPr>
          <w:rFonts w:hint="eastAsia" w:ascii="宋体" w:hAnsi="宋体" w:eastAsia="宋体" w:cs="宋体"/>
          <w:color w:val="auto"/>
          <w:kern w:val="0"/>
          <w:sz w:val="24"/>
          <w:szCs w:val="24"/>
        </w:rPr>
        <w:t>关于承包人违约解除合同的特别约定：</w:t>
      </w:r>
      <w:r>
        <w:rPr>
          <w:rFonts w:hint="eastAsia" w:ascii="宋体" w:hAnsi="宋体" w:eastAsia="宋体" w:cs="宋体"/>
          <w:color w:val="auto"/>
          <w:kern w:val="0"/>
          <w:sz w:val="24"/>
          <w:szCs w:val="24"/>
          <w:u w:val="single"/>
        </w:rPr>
        <w:t xml:space="preserve">                    </w:t>
      </w:r>
    </w:p>
    <w:p w14:paraId="25129B45">
      <w:pPr>
        <w:spacing w:before="120" w:after="120"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375FF122">
      <w:pPr>
        <w:spacing w:before="120" w:after="120"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发包人继续使用承包人在施工现场的材料、设备、临时工程、承包人文件和由承包人或以其名义编制的其他文件的费用承担方式：</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4E469E30">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1022" w:name="_Toc351203649"/>
      <w:r>
        <w:rPr>
          <w:rFonts w:hint="eastAsia" w:ascii="宋体" w:hAnsi="宋体" w:eastAsia="宋体" w:cs="宋体"/>
          <w:b/>
          <w:bCs w:val="0"/>
          <w:color w:val="auto"/>
          <w:sz w:val="24"/>
          <w:szCs w:val="24"/>
        </w:rPr>
        <w:t>17. 不可抗力</w:t>
      </w:r>
      <w:bookmarkEnd w:id="1022"/>
      <w:r>
        <w:rPr>
          <w:rFonts w:hint="eastAsia" w:ascii="宋体" w:hAnsi="宋体" w:eastAsia="宋体" w:cs="宋体"/>
          <w:b/>
          <w:bCs w:val="0"/>
          <w:color w:val="auto"/>
          <w:sz w:val="24"/>
          <w:szCs w:val="24"/>
        </w:rPr>
        <w:t xml:space="preserve"> </w:t>
      </w:r>
      <w:bookmarkEnd w:id="1020"/>
    </w:p>
    <w:p w14:paraId="12EF0EEF">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17.1 不可抗力的确认</w:t>
      </w:r>
    </w:p>
    <w:p w14:paraId="2CA353DC">
      <w:pPr>
        <w:spacing w:line="360" w:lineRule="auto"/>
        <w:ind w:firstLine="480" w:firstLineChars="200"/>
        <w:jc w:val="left"/>
        <w:rPr>
          <w:rFonts w:hint="eastAsia" w:ascii="宋体" w:hAnsi="宋体" w:eastAsia="宋体" w:cs="宋体"/>
          <w:color w:val="auto"/>
          <w:kern w:val="0"/>
          <w:sz w:val="24"/>
          <w:szCs w:val="24"/>
          <w:u w:val="single"/>
        </w:rPr>
      </w:pPr>
      <w:r>
        <w:rPr>
          <w:rFonts w:hint="eastAsia" w:ascii="宋体" w:hAnsi="宋体" w:eastAsia="宋体" w:cs="宋体"/>
          <w:color w:val="auto"/>
          <w:sz w:val="24"/>
          <w:szCs w:val="24"/>
        </w:rPr>
        <w:t xml:space="preserve">除通用合同条款约定的不可抗力事件之外，视为不可抗力的其他情形： </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6708F8C0">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17.4 因不可抗力解除合同</w:t>
      </w:r>
    </w:p>
    <w:p w14:paraId="522C584B">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合同解除后，发包人应在商定或确定发包人应支付款项后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天内完成款项的支付。</w:t>
      </w:r>
    </w:p>
    <w:p w14:paraId="387F8442">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1023" w:name="_Toc351203650"/>
      <w:r>
        <w:rPr>
          <w:rFonts w:hint="eastAsia" w:ascii="宋体" w:hAnsi="宋体" w:eastAsia="宋体" w:cs="宋体"/>
          <w:b/>
          <w:bCs w:val="0"/>
          <w:color w:val="auto"/>
          <w:sz w:val="24"/>
          <w:szCs w:val="24"/>
        </w:rPr>
        <w:t>18. 保险</w:t>
      </w:r>
      <w:bookmarkEnd w:id="1023"/>
    </w:p>
    <w:bookmarkEnd w:id="1021"/>
    <w:p w14:paraId="6CE2AAAB">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18.1 工程保险</w:t>
      </w:r>
    </w:p>
    <w:p w14:paraId="7B5B0712">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关于工程保险的特别约定：</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7CD814DD">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18.3 其他保险</w:t>
      </w:r>
    </w:p>
    <w:p w14:paraId="3351B812">
      <w:pPr>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关于其他保险的约定：</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w:t>
      </w:r>
    </w:p>
    <w:p w14:paraId="0AEFD3B3">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承包人是否应为其施工设备等办理财产保险：</w:t>
      </w:r>
      <w:r>
        <w:rPr>
          <w:rFonts w:hint="eastAsia" w:ascii="宋体" w:hAnsi="宋体" w:eastAsia="宋体" w:cs="宋体"/>
          <w:color w:val="auto"/>
          <w:sz w:val="24"/>
          <w:szCs w:val="24"/>
          <w:u w:val="single"/>
        </w:rPr>
        <w:t xml:space="preserve">              </w:t>
      </w:r>
    </w:p>
    <w:p w14:paraId="35D43C8F">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59AC40C">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18.7 通知义务</w:t>
      </w:r>
    </w:p>
    <w:p w14:paraId="0B74EB22">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kern w:val="0"/>
          <w:sz w:val="24"/>
          <w:szCs w:val="24"/>
        </w:rPr>
        <w:t>关于变更保险合同时的通知义务的约定：</w:t>
      </w:r>
      <w:r>
        <w:rPr>
          <w:rFonts w:hint="eastAsia" w:ascii="宋体" w:hAnsi="宋体" w:eastAsia="宋体" w:cs="宋体"/>
          <w:color w:val="auto"/>
          <w:sz w:val="24"/>
          <w:szCs w:val="24"/>
          <w:u w:val="single"/>
        </w:rPr>
        <w:t xml:space="preserve">                  </w:t>
      </w:r>
    </w:p>
    <w:p w14:paraId="08F1B568">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bookmarkEnd w:id="997"/>
    <w:bookmarkEnd w:id="998"/>
    <w:bookmarkEnd w:id="999"/>
    <w:bookmarkEnd w:id="1000"/>
    <w:bookmarkEnd w:id="1001"/>
    <w:bookmarkEnd w:id="1002"/>
    <w:bookmarkEnd w:id="1003"/>
    <w:bookmarkEnd w:id="1004"/>
    <w:bookmarkEnd w:id="1005"/>
    <w:bookmarkEnd w:id="1006"/>
    <w:bookmarkEnd w:id="1007"/>
    <w:bookmarkEnd w:id="1008"/>
    <w:p w14:paraId="2FF31AEB">
      <w:pPr>
        <w:autoSpaceDE w:val="0"/>
        <w:autoSpaceDN w:val="0"/>
        <w:adjustRightInd w:val="0"/>
        <w:spacing w:line="360" w:lineRule="auto"/>
        <w:ind w:firstLine="482" w:firstLineChars="200"/>
        <w:jc w:val="left"/>
        <w:outlineLvl w:val="0"/>
        <w:rPr>
          <w:rFonts w:hint="eastAsia" w:ascii="宋体" w:hAnsi="宋体" w:eastAsia="宋体" w:cs="宋体"/>
          <w:b/>
          <w:bCs w:val="0"/>
          <w:color w:val="auto"/>
          <w:sz w:val="24"/>
          <w:szCs w:val="24"/>
        </w:rPr>
      </w:pPr>
      <w:bookmarkStart w:id="1024" w:name="_Toc351203651"/>
      <w:r>
        <w:rPr>
          <w:rFonts w:hint="eastAsia" w:ascii="宋体" w:hAnsi="宋体" w:eastAsia="宋体" w:cs="宋体"/>
          <w:b/>
          <w:bCs w:val="0"/>
          <w:color w:val="auto"/>
          <w:sz w:val="24"/>
          <w:szCs w:val="24"/>
        </w:rPr>
        <w:t>20. 争议解决</w:t>
      </w:r>
      <w:bookmarkEnd w:id="1024"/>
    </w:p>
    <w:bookmarkEnd w:id="1009"/>
    <w:bookmarkEnd w:id="1010"/>
    <w:p w14:paraId="228FAC6B">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20.3 争</w:t>
      </w:r>
      <w:bookmarkEnd w:id="1011"/>
      <w:r>
        <w:rPr>
          <w:rFonts w:hint="eastAsia" w:ascii="宋体" w:hAnsi="宋体" w:eastAsia="宋体" w:cs="宋体"/>
          <w:color w:val="auto"/>
          <w:sz w:val="24"/>
          <w:szCs w:val="24"/>
        </w:rPr>
        <w:t>议评审</w:t>
      </w:r>
    </w:p>
    <w:p w14:paraId="428E27BB">
      <w:pPr>
        <w:spacing w:line="360" w:lineRule="auto"/>
        <w:ind w:left="149" w:leftChars="71" w:firstLine="360" w:firstLineChars="15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合同当事人是否同意将工程争议提交争议评审小组决定：</w:t>
      </w:r>
      <w:r>
        <w:rPr>
          <w:rFonts w:hint="eastAsia" w:ascii="宋体" w:hAnsi="宋体" w:eastAsia="宋体" w:cs="宋体"/>
          <w:color w:val="auto"/>
          <w:sz w:val="24"/>
          <w:szCs w:val="24"/>
          <w:u w:val="single"/>
        </w:rPr>
        <w:t xml:space="preserve">    </w:t>
      </w:r>
    </w:p>
    <w:p w14:paraId="0390CDEE">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65EE152C">
      <w:pPr>
        <w:spacing w:line="360" w:lineRule="auto"/>
        <w:ind w:firstLine="480" w:firstLineChars="200"/>
        <w:jc w:val="left"/>
        <w:outlineLvl w:val="0"/>
        <w:rPr>
          <w:rFonts w:hint="eastAsia" w:ascii="宋体" w:hAnsi="宋体" w:eastAsia="宋体" w:cs="宋体"/>
          <w:color w:val="auto"/>
          <w:sz w:val="24"/>
          <w:szCs w:val="24"/>
        </w:rPr>
      </w:pPr>
      <w:r>
        <w:rPr>
          <w:rFonts w:hint="eastAsia" w:ascii="宋体" w:hAnsi="宋体" w:eastAsia="宋体" w:cs="宋体"/>
          <w:color w:val="auto"/>
          <w:sz w:val="24"/>
          <w:szCs w:val="24"/>
        </w:rPr>
        <w:t>20.3.1 争议评审小组的确定</w:t>
      </w:r>
    </w:p>
    <w:p w14:paraId="1BA13724">
      <w:pPr>
        <w:spacing w:line="360" w:lineRule="auto"/>
        <w:ind w:firstLine="480" w:firstLineChars="200"/>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争议评审小组成员的确定：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26137F5">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选定争议评审员的期限：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737DB98">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争议评审小组成员的报酬承担方式：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9332233">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其他事项的约定：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705DB301">
      <w:pPr>
        <w:autoSpaceDE w:val="0"/>
        <w:autoSpaceDN w:val="0"/>
        <w:adjustRightInd w:val="0"/>
        <w:spacing w:line="360" w:lineRule="auto"/>
        <w:ind w:firstLine="480" w:firstLineChars="200"/>
        <w:jc w:val="left"/>
        <w:outlineLvl w:val="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20.3.2 争议评审小组的决定</w:t>
      </w:r>
    </w:p>
    <w:p w14:paraId="7EA34029">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合同当事人关于本项的约定：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EF89B52">
      <w:pPr>
        <w:spacing w:after="120"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20.4仲裁或诉讼</w:t>
      </w:r>
      <w:bookmarkEnd w:id="1012"/>
    </w:p>
    <w:p w14:paraId="702C6C18">
      <w:pPr>
        <w:spacing w:after="12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因合同及合同有关事项发生的争议，按下列第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种方式解决：</w:t>
      </w:r>
    </w:p>
    <w:p w14:paraId="30065B5C">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（1）向</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仲裁委员会申请仲裁；</w:t>
      </w:r>
    </w:p>
    <w:p w14:paraId="15246C8A">
      <w:pPr>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（2）向</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人民法院起诉。</w:t>
      </w:r>
      <w:bookmarkEnd w:id="1013"/>
      <w:bookmarkEnd w:id="1014"/>
      <w:bookmarkEnd w:id="1015"/>
      <w:bookmarkEnd w:id="1016"/>
      <w:bookmarkEnd w:id="1017"/>
      <w:bookmarkEnd w:id="1018"/>
    </w:p>
    <w:p w14:paraId="12E930D9">
      <w:pPr>
        <w:jc w:val="center"/>
        <w:outlineLvl w:val="0"/>
        <w:rPr>
          <w:rStyle w:val="58"/>
          <w:rFonts w:hint="eastAsia"/>
          <w:color w:val="auto"/>
          <w:sz w:val="36"/>
          <w:szCs w:val="36"/>
        </w:rPr>
      </w:pPr>
    </w:p>
    <w:p w14:paraId="46D42A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00C4537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3DDDC8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2DB4297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62736F5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118BE1B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3271C77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3430F34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4421B6F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7CD6237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7C51F53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38EADE4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2F882A9A">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083AAAC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23C4064A">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02DC187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r>
        <w:rPr>
          <w:rFonts w:hint="eastAsia" w:ascii="宋体" w:hAnsi="宋体" w:eastAsia="宋体" w:cs="宋体"/>
          <w:sz w:val="30"/>
          <w:szCs w:val="30"/>
          <w:highlight w:val="none"/>
        </w:rPr>
        <w:t>工程质量保修书</w:t>
      </w:r>
    </w:p>
    <w:p w14:paraId="0B8087D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sz w:val="24"/>
          <w:szCs w:val="24"/>
          <w:highlight w:val="none"/>
          <w:u w:val="single"/>
        </w:rPr>
      </w:pPr>
      <w:r>
        <w:rPr>
          <w:sz w:val="24"/>
          <w:szCs w:val="24"/>
          <w:highlight w:val="none"/>
        </w:rPr>
        <w:t>发包人（全称）：</w:t>
      </w:r>
      <w:r>
        <w:rPr>
          <w:sz w:val="24"/>
          <w:szCs w:val="24"/>
          <w:highlight w:val="none"/>
          <w:u w:val="single"/>
        </w:rPr>
        <w:t xml:space="preserve">   </w:t>
      </w:r>
      <w:r>
        <w:rPr>
          <w:rFonts w:hint="eastAsia"/>
          <w:sz w:val="24"/>
          <w:szCs w:val="24"/>
          <w:highlight w:val="none"/>
          <w:u w:val="single"/>
        </w:rPr>
        <w:t xml:space="preserve">            </w:t>
      </w:r>
      <w:r>
        <w:rPr>
          <w:rFonts w:hint="eastAsia"/>
          <w:sz w:val="24"/>
          <w:szCs w:val="24"/>
          <w:highlight w:val="none"/>
          <w:u w:val="single"/>
          <w:lang w:val="en-US" w:eastAsia="zh-CN"/>
        </w:rPr>
        <w:t xml:space="preserve"> </w:t>
      </w:r>
      <w:r>
        <w:rPr>
          <w:rFonts w:hint="eastAsia"/>
          <w:sz w:val="24"/>
          <w:szCs w:val="24"/>
          <w:highlight w:val="none"/>
          <w:u w:val="single"/>
        </w:rPr>
        <w:t xml:space="preserve">   </w:t>
      </w:r>
      <w:r>
        <w:rPr>
          <w:sz w:val="24"/>
          <w:szCs w:val="24"/>
          <w:highlight w:val="none"/>
          <w:u w:val="single"/>
        </w:rPr>
        <w:t xml:space="preserve">  </w:t>
      </w:r>
    </w:p>
    <w:p w14:paraId="75B4FF3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sz w:val="24"/>
          <w:szCs w:val="24"/>
          <w:highlight w:val="none"/>
        </w:rPr>
      </w:pPr>
      <w:r>
        <w:rPr>
          <w:sz w:val="24"/>
          <w:szCs w:val="24"/>
          <w:highlight w:val="none"/>
        </w:rPr>
        <w:t>承包人（全称）：</w:t>
      </w:r>
      <w:r>
        <w:rPr>
          <w:sz w:val="24"/>
          <w:szCs w:val="24"/>
          <w:highlight w:val="none"/>
          <w:u w:val="single"/>
        </w:rPr>
        <w:t xml:space="preserve">  </w:t>
      </w:r>
      <w:r>
        <w:rPr>
          <w:rFonts w:hint="eastAsia"/>
          <w:color w:val="000000"/>
          <w:sz w:val="24"/>
          <w:szCs w:val="24"/>
          <w:highlight w:val="none"/>
          <w:u w:val="single"/>
        </w:rPr>
        <w:t xml:space="preserve">                   </w:t>
      </w:r>
    </w:p>
    <w:p w14:paraId="4B73A0C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p>
    <w:p w14:paraId="0843C26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r>
        <w:rPr>
          <w:sz w:val="24"/>
          <w:szCs w:val="24"/>
          <w:highlight w:val="none"/>
        </w:rPr>
        <w:t>　　发包人和承包人根据《中华人民共和国建筑法》和《建设工程质量管理条例》，经协商一致就</w:t>
      </w:r>
      <w:r>
        <w:rPr>
          <w:sz w:val="24"/>
          <w:szCs w:val="24"/>
          <w:highlight w:val="none"/>
          <w:u w:val="single"/>
        </w:rPr>
        <w:t xml:space="preserve"> </w:t>
      </w:r>
      <w:r>
        <w:rPr>
          <w:rFonts w:hint="eastAsia"/>
          <w:sz w:val="24"/>
          <w:szCs w:val="24"/>
          <w:highlight w:val="none"/>
          <w:u w:val="single"/>
        </w:rPr>
        <w:t xml:space="preserve">                        </w:t>
      </w:r>
      <w:r>
        <w:rPr>
          <w:sz w:val="24"/>
          <w:szCs w:val="24"/>
          <w:highlight w:val="none"/>
        </w:rPr>
        <w:t>（工程全称）签订工程质量保修书。</w:t>
      </w:r>
    </w:p>
    <w:p w14:paraId="4A103CD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r>
        <w:rPr>
          <w:sz w:val="24"/>
          <w:szCs w:val="24"/>
          <w:highlight w:val="none"/>
        </w:rPr>
        <w:t>　　</w:t>
      </w:r>
      <w:bookmarkStart w:id="1025" w:name="_Toc499291210"/>
      <w:bookmarkStart w:id="1026" w:name="_Toc502158611"/>
      <w:bookmarkStart w:id="1027" w:name="_Toc20323"/>
      <w:bookmarkStart w:id="1028" w:name="_Toc26748"/>
      <w:bookmarkStart w:id="1029" w:name="_Toc30287"/>
      <w:r>
        <w:rPr>
          <w:sz w:val="24"/>
          <w:szCs w:val="24"/>
          <w:highlight w:val="none"/>
        </w:rPr>
        <w:t>一、工程质量保修范围和内容</w:t>
      </w:r>
      <w:bookmarkEnd w:id="1025"/>
      <w:bookmarkEnd w:id="1026"/>
      <w:bookmarkEnd w:id="1027"/>
      <w:bookmarkEnd w:id="1028"/>
      <w:bookmarkEnd w:id="1029"/>
    </w:p>
    <w:p w14:paraId="7FE7D92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r>
        <w:rPr>
          <w:sz w:val="24"/>
          <w:szCs w:val="24"/>
          <w:highlight w:val="none"/>
        </w:rPr>
        <w:t>　　承包人在质量保修期内，按照有关法律规定和合同约定，承担工程质量保修责任。</w:t>
      </w:r>
    </w:p>
    <w:p w14:paraId="56FBFBC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r>
        <w:rPr>
          <w:sz w:val="24"/>
          <w:szCs w:val="24"/>
          <w:highlight w:val="none"/>
        </w:rPr>
        <w:t>　　质量保修范围包括地基基础工程、主体结构工程，屋面防水工程、有防水要求的卫生间、房间和外墙面的防渗漏，电气管线、给排水管道、设备安装和装修工程</w:t>
      </w:r>
      <w:r>
        <w:rPr>
          <w:rFonts w:hint="eastAsia"/>
          <w:sz w:val="24"/>
          <w:szCs w:val="24"/>
          <w:highlight w:val="none"/>
        </w:rPr>
        <w:t>等。</w:t>
      </w:r>
    </w:p>
    <w:p w14:paraId="5910453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r>
        <w:rPr>
          <w:b/>
          <w:sz w:val="24"/>
          <w:szCs w:val="24"/>
          <w:highlight w:val="none"/>
        </w:rPr>
        <w:t>　　</w:t>
      </w:r>
      <w:bookmarkStart w:id="1030" w:name="_Toc27771"/>
      <w:bookmarkStart w:id="1031" w:name="_Toc499291211"/>
      <w:bookmarkStart w:id="1032" w:name="_Toc22233"/>
      <w:bookmarkStart w:id="1033" w:name="_Toc502158612"/>
      <w:bookmarkStart w:id="1034" w:name="_Toc10186"/>
      <w:r>
        <w:rPr>
          <w:sz w:val="24"/>
          <w:szCs w:val="24"/>
          <w:highlight w:val="none"/>
        </w:rPr>
        <w:t>二、质量保修期</w:t>
      </w:r>
      <w:bookmarkEnd w:id="1030"/>
      <w:bookmarkEnd w:id="1031"/>
      <w:bookmarkEnd w:id="1032"/>
      <w:bookmarkEnd w:id="1033"/>
      <w:bookmarkEnd w:id="1034"/>
    </w:p>
    <w:p w14:paraId="52119F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sz w:val="24"/>
          <w:szCs w:val="24"/>
          <w:highlight w:val="none"/>
        </w:rPr>
      </w:pPr>
      <w:r>
        <w:rPr>
          <w:sz w:val="24"/>
          <w:szCs w:val="24"/>
          <w:highlight w:val="none"/>
        </w:rPr>
        <w:t>根据《建设工程质量管理条例》及有关规定，工程的质量保修期如下：</w:t>
      </w:r>
    </w:p>
    <w:p w14:paraId="197554D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eastAsia="宋体"/>
          <w:sz w:val="24"/>
          <w:szCs w:val="24"/>
          <w:highlight w:val="none"/>
          <w:lang w:eastAsia="zh-CN"/>
        </w:rPr>
      </w:pPr>
      <w:r>
        <w:rPr>
          <w:rFonts w:hint="eastAsia"/>
          <w:sz w:val="24"/>
          <w:szCs w:val="24"/>
          <w:highlight w:val="none"/>
        </w:rPr>
        <w:t>1．地基基础工程和主体结构工程为设计文件规定的工程合理使用年限</w:t>
      </w:r>
      <w:r>
        <w:rPr>
          <w:rFonts w:hint="eastAsia"/>
          <w:sz w:val="24"/>
          <w:szCs w:val="24"/>
          <w:highlight w:val="none"/>
          <w:lang w:eastAsia="zh-CN"/>
        </w:rPr>
        <w:t>。</w:t>
      </w:r>
    </w:p>
    <w:p w14:paraId="40F98D2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eastAsia="宋体"/>
          <w:sz w:val="24"/>
          <w:szCs w:val="24"/>
          <w:highlight w:val="none"/>
          <w:lang w:eastAsia="zh-CN"/>
        </w:rPr>
      </w:pPr>
      <w:r>
        <w:rPr>
          <w:rFonts w:hint="eastAsia"/>
          <w:sz w:val="24"/>
          <w:szCs w:val="24"/>
          <w:highlight w:val="none"/>
        </w:rPr>
        <w:t>2．</w:t>
      </w:r>
      <w:r>
        <w:rPr>
          <w:sz w:val="24"/>
          <w:szCs w:val="24"/>
          <w:highlight w:val="none"/>
        </w:rPr>
        <w:t>屋面防水工程、有防水要求的卫生间、房间和外墙面的防渗</w:t>
      </w:r>
      <w:r>
        <w:rPr>
          <w:rFonts w:hint="eastAsia"/>
          <w:sz w:val="24"/>
          <w:szCs w:val="24"/>
          <w:highlight w:val="none"/>
        </w:rPr>
        <w:t>为</w:t>
      </w:r>
      <w:r>
        <w:rPr>
          <w:rFonts w:hint="eastAsia"/>
          <w:sz w:val="24"/>
          <w:szCs w:val="24"/>
          <w:highlight w:val="none"/>
          <w:u w:val="single"/>
        </w:rPr>
        <w:t xml:space="preserve">     </w:t>
      </w:r>
      <w:r>
        <w:rPr>
          <w:sz w:val="24"/>
          <w:szCs w:val="24"/>
          <w:highlight w:val="none"/>
        </w:rPr>
        <w:t>年</w:t>
      </w:r>
      <w:r>
        <w:rPr>
          <w:rFonts w:hint="eastAsia"/>
          <w:sz w:val="24"/>
          <w:szCs w:val="24"/>
          <w:highlight w:val="none"/>
          <w:lang w:eastAsia="zh-CN"/>
        </w:rPr>
        <w:t>。</w:t>
      </w:r>
    </w:p>
    <w:p w14:paraId="564014E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eastAsia="宋体"/>
          <w:sz w:val="24"/>
          <w:szCs w:val="24"/>
          <w:highlight w:val="none"/>
          <w:lang w:eastAsia="zh-CN"/>
        </w:rPr>
      </w:pPr>
      <w:r>
        <w:rPr>
          <w:rFonts w:hint="eastAsia"/>
          <w:sz w:val="24"/>
          <w:szCs w:val="24"/>
          <w:highlight w:val="none"/>
        </w:rPr>
        <w:t>3．</w:t>
      </w:r>
      <w:r>
        <w:rPr>
          <w:sz w:val="24"/>
          <w:szCs w:val="24"/>
          <w:highlight w:val="none"/>
        </w:rPr>
        <w:t>装修工程为</w:t>
      </w:r>
      <w:r>
        <w:rPr>
          <w:sz w:val="24"/>
          <w:szCs w:val="24"/>
          <w:highlight w:val="none"/>
          <w:u w:val="single"/>
        </w:rPr>
        <w:t xml:space="preserve">     </w:t>
      </w:r>
      <w:r>
        <w:rPr>
          <w:sz w:val="24"/>
          <w:szCs w:val="24"/>
          <w:highlight w:val="none"/>
        </w:rPr>
        <w:t>年</w:t>
      </w:r>
      <w:r>
        <w:rPr>
          <w:rFonts w:hint="eastAsia"/>
          <w:sz w:val="24"/>
          <w:szCs w:val="24"/>
          <w:highlight w:val="none"/>
          <w:lang w:eastAsia="zh-CN"/>
        </w:rPr>
        <w:t>。</w:t>
      </w:r>
    </w:p>
    <w:p w14:paraId="382241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eastAsia="宋体"/>
          <w:sz w:val="24"/>
          <w:szCs w:val="24"/>
          <w:highlight w:val="none"/>
          <w:lang w:eastAsia="zh-CN"/>
        </w:rPr>
      </w:pPr>
      <w:r>
        <w:rPr>
          <w:rFonts w:hint="eastAsia"/>
          <w:sz w:val="24"/>
          <w:szCs w:val="24"/>
          <w:highlight w:val="none"/>
        </w:rPr>
        <w:t>4．</w:t>
      </w:r>
      <w:r>
        <w:rPr>
          <w:sz w:val="24"/>
          <w:szCs w:val="24"/>
          <w:highlight w:val="none"/>
        </w:rPr>
        <w:t>电气管线、给排水管道、设备安装工程为</w:t>
      </w:r>
      <w:r>
        <w:rPr>
          <w:sz w:val="24"/>
          <w:szCs w:val="24"/>
          <w:highlight w:val="none"/>
          <w:u w:val="single"/>
        </w:rPr>
        <w:t xml:space="preserve">      </w:t>
      </w:r>
      <w:r>
        <w:rPr>
          <w:sz w:val="24"/>
          <w:szCs w:val="24"/>
          <w:highlight w:val="none"/>
        </w:rPr>
        <w:t>年</w:t>
      </w:r>
      <w:r>
        <w:rPr>
          <w:rFonts w:hint="eastAsia"/>
          <w:sz w:val="24"/>
          <w:szCs w:val="24"/>
          <w:highlight w:val="none"/>
          <w:lang w:eastAsia="zh-CN"/>
        </w:rPr>
        <w:t>。</w:t>
      </w:r>
    </w:p>
    <w:p w14:paraId="5CE518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eastAsia="宋体"/>
          <w:sz w:val="24"/>
          <w:szCs w:val="24"/>
          <w:highlight w:val="none"/>
          <w:lang w:eastAsia="zh-CN"/>
        </w:rPr>
      </w:pPr>
      <w:r>
        <w:rPr>
          <w:rFonts w:hint="eastAsia"/>
          <w:sz w:val="24"/>
          <w:szCs w:val="24"/>
          <w:highlight w:val="none"/>
        </w:rPr>
        <w:t>5．</w:t>
      </w:r>
      <w:r>
        <w:rPr>
          <w:sz w:val="24"/>
          <w:szCs w:val="24"/>
          <w:highlight w:val="none"/>
        </w:rPr>
        <w:t>给排水设施、道路等配套工程为</w:t>
      </w:r>
      <w:r>
        <w:rPr>
          <w:sz w:val="24"/>
          <w:szCs w:val="24"/>
          <w:highlight w:val="none"/>
          <w:u w:val="single"/>
        </w:rPr>
        <w:t xml:space="preserve">      </w:t>
      </w:r>
      <w:r>
        <w:rPr>
          <w:sz w:val="24"/>
          <w:szCs w:val="24"/>
          <w:highlight w:val="none"/>
        </w:rPr>
        <w:t>年</w:t>
      </w:r>
      <w:r>
        <w:rPr>
          <w:rFonts w:hint="eastAsia"/>
          <w:sz w:val="24"/>
          <w:szCs w:val="24"/>
          <w:highlight w:val="none"/>
          <w:lang w:eastAsia="zh-CN"/>
        </w:rPr>
        <w:t>。</w:t>
      </w:r>
    </w:p>
    <w:p w14:paraId="5578CD8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sz w:val="24"/>
          <w:szCs w:val="24"/>
          <w:highlight w:val="none"/>
        </w:rPr>
      </w:pPr>
      <w:r>
        <w:rPr>
          <w:rFonts w:hint="eastAsia"/>
          <w:sz w:val="24"/>
          <w:szCs w:val="24"/>
          <w:highlight w:val="none"/>
        </w:rPr>
        <w:t>6．</w:t>
      </w:r>
      <w:r>
        <w:rPr>
          <w:sz w:val="24"/>
          <w:szCs w:val="24"/>
          <w:highlight w:val="none"/>
        </w:rPr>
        <w:t>其他项目保修期限约定如下：</w:t>
      </w:r>
      <w:r>
        <w:rPr>
          <w:rFonts w:hint="eastAsia" w:eastAsia="仿宋_GB2312"/>
          <w:b/>
          <w:sz w:val="24"/>
          <w:szCs w:val="24"/>
          <w:highlight w:val="none"/>
          <w:u w:val="single"/>
          <w:lang w:val="en-US" w:eastAsia="zh-CN"/>
        </w:rPr>
        <w:t xml:space="preserve"> </w:t>
      </w:r>
      <w:r>
        <w:rPr>
          <w:rFonts w:hint="eastAsia" w:eastAsia="仿宋_GB2312"/>
          <w:b/>
          <w:sz w:val="24"/>
          <w:szCs w:val="24"/>
          <w:highlight w:val="none"/>
          <w:u w:val="single"/>
        </w:rPr>
        <w:t xml:space="preserve"> </w:t>
      </w:r>
      <w:r>
        <w:rPr>
          <w:rFonts w:hint="eastAsia" w:eastAsia="仿宋_GB2312"/>
          <w:b/>
          <w:sz w:val="24"/>
          <w:szCs w:val="24"/>
          <w:highlight w:val="none"/>
          <w:u w:val="single"/>
          <w:lang w:val="en-US" w:eastAsia="zh-CN"/>
        </w:rPr>
        <w:t xml:space="preserve">        </w:t>
      </w:r>
      <w:r>
        <w:rPr>
          <w:b/>
          <w:sz w:val="24"/>
          <w:szCs w:val="24"/>
          <w:highlight w:val="none"/>
          <w:u w:val="single"/>
        </w:rPr>
        <w:t xml:space="preserve"> </w:t>
      </w:r>
      <w:r>
        <w:rPr>
          <w:sz w:val="24"/>
          <w:szCs w:val="24"/>
          <w:highlight w:val="none"/>
          <w:u w:val="single"/>
        </w:rPr>
        <w:t xml:space="preserve">  </w:t>
      </w:r>
      <w:r>
        <w:rPr>
          <w:sz w:val="24"/>
          <w:szCs w:val="24"/>
          <w:highlight w:val="none"/>
        </w:rPr>
        <w:t>。</w:t>
      </w:r>
    </w:p>
    <w:p w14:paraId="3856ECE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r>
        <w:rPr>
          <w:sz w:val="24"/>
          <w:szCs w:val="24"/>
          <w:highlight w:val="none"/>
        </w:rPr>
        <w:t>　　质量保修期自工程竣工验收合格之日起计算。</w:t>
      </w:r>
    </w:p>
    <w:p w14:paraId="0CB4FAA1">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sz w:val="24"/>
          <w:szCs w:val="24"/>
          <w:highlight w:val="none"/>
        </w:rPr>
      </w:pPr>
      <w:bookmarkStart w:id="1035" w:name="_Toc2149"/>
      <w:bookmarkStart w:id="1036" w:name="_Toc20619"/>
      <w:bookmarkStart w:id="1037" w:name="_Toc499291212"/>
      <w:bookmarkStart w:id="1038" w:name="_Toc502158613"/>
      <w:bookmarkStart w:id="1039" w:name="_Toc24956"/>
      <w:r>
        <w:rPr>
          <w:sz w:val="24"/>
          <w:szCs w:val="24"/>
          <w:highlight w:val="none"/>
        </w:rPr>
        <w:t>三、缺陷责任期</w:t>
      </w:r>
      <w:bookmarkEnd w:id="1035"/>
      <w:bookmarkEnd w:id="1036"/>
      <w:bookmarkEnd w:id="1037"/>
      <w:bookmarkEnd w:id="1038"/>
      <w:bookmarkEnd w:id="1039"/>
    </w:p>
    <w:p w14:paraId="5F0CA14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sz w:val="24"/>
          <w:szCs w:val="24"/>
          <w:highlight w:val="none"/>
        </w:rPr>
      </w:pPr>
      <w:r>
        <w:rPr>
          <w:sz w:val="24"/>
          <w:szCs w:val="24"/>
          <w:highlight w:val="none"/>
        </w:rPr>
        <w:t>工程缺陷责任期为</w:t>
      </w:r>
      <w:r>
        <w:rPr>
          <w:sz w:val="24"/>
          <w:szCs w:val="24"/>
          <w:highlight w:val="none"/>
          <w:u w:val="single"/>
        </w:rPr>
        <w:t xml:space="preserve">      </w:t>
      </w:r>
      <w:r>
        <w:rPr>
          <w:sz w:val="24"/>
          <w:szCs w:val="24"/>
          <w:highlight w:val="none"/>
        </w:rPr>
        <w:t>个月，缺陷责任期自工程</w:t>
      </w:r>
      <w:r>
        <w:rPr>
          <w:rFonts w:hint="eastAsia"/>
          <w:sz w:val="24"/>
          <w:szCs w:val="24"/>
          <w:highlight w:val="none"/>
        </w:rPr>
        <w:t>通过竣工验收</w:t>
      </w:r>
      <w:r>
        <w:rPr>
          <w:sz w:val="24"/>
          <w:szCs w:val="24"/>
          <w:highlight w:val="none"/>
        </w:rPr>
        <w:t>之日起计算。</w:t>
      </w:r>
      <w:r>
        <w:rPr>
          <w:color w:val="000000"/>
          <w:sz w:val="24"/>
          <w:szCs w:val="24"/>
          <w:highlight w:val="none"/>
        </w:rPr>
        <w:t>单位</w:t>
      </w:r>
      <w:r>
        <w:rPr>
          <w:sz w:val="24"/>
          <w:szCs w:val="24"/>
          <w:highlight w:val="none"/>
        </w:rPr>
        <w:t>工程先于全部工程进行验收，单位工程缺陷责任期自单位工程验收合格之日起算。</w:t>
      </w:r>
    </w:p>
    <w:p w14:paraId="4F4DB22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sz w:val="24"/>
          <w:szCs w:val="24"/>
          <w:highlight w:val="none"/>
        </w:rPr>
      </w:pPr>
      <w:r>
        <w:rPr>
          <w:sz w:val="24"/>
          <w:szCs w:val="24"/>
          <w:highlight w:val="none"/>
        </w:rPr>
        <w:t>缺陷责任期终止后，发包人应退还剩余的质量保证金。</w:t>
      </w:r>
    </w:p>
    <w:p w14:paraId="2CF861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r>
        <w:rPr>
          <w:sz w:val="24"/>
          <w:szCs w:val="24"/>
          <w:highlight w:val="none"/>
        </w:rPr>
        <w:t xml:space="preserve">    </w:t>
      </w:r>
      <w:bookmarkStart w:id="1040" w:name="_Toc28215"/>
      <w:bookmarkStart w:id="1041" w:name="_Toc388"/>
      <w:bookmarkStart w:id="1042" w:name="_Toc502158614"/>
      <w:bookmarkStart w:id="1043" w:name="_Toc19010"/>
      <w:bookmarkStart w:id="1044" w:name="_Toc499291213"/>
      <w:r>
        <w:rPr>
          <w:sz w:val="24"/>
          <w:szCs w:val="24"/>
          <w:highlight w:val="none"/>
        </w:rPr>
        <w:t>四、质量保修责任</w:t>
      </w:r>
      <w:bookmarkEnd w:id="1040"/>
      <w:bookmarkEnd w:id="1041"/>
      <w:bookmarkEnd w:id="1042"/>
      <w:bookmarkEnd w:id="1043"/>
      <w:bookmarkEnd w:id="1044"/>
    </w:p>
    <w:p w14:paraId="73B6B3D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sz w:val="24"/>
          <w:szCs w:val="24"/>
          <w:highlight w:val="none"/>
        </w:rPr>
      </w:pPr>
      <w:r>
        <w:rPr>
          <w:rFonts w:hint="eastAsia"/>
          <w:sz w:val="24"/>
          <w:szCs w:val="24"/>
          <w:highlight w:val="none"/>
        </w:rPr>
        <w:t>1．</w:t>
      </w:r>
      <w:r>
        <w:rPr>
          <w:sz w:val="24"/>
          <w:szCs w:val="24"/>
          <w:highlight w:val="none"/>
        </w:rPr>
        <w:t>属于保修范围、内容的项目，承包人应当在接到保修通知之日起7天内派人保修。承包人不在约定期限内派人保修的，发包人可以委托他人修理。</w:t>
      </w:r>
    </w:p>
    <w:p w14:paraId="3781755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sz w:val="24"/>
          <w:szCs w:val="24"/>
          <w:highlight w:val="none"/>
        </w:rPr>
      </w:pPr>
      <w:r>
        <w:rPr>
          <w:rFonts w:hint="eastAsia"/>
          <w:sz w:val="24"/>
          <w:szCs w:val="24"/>
          <w:highlight w:val="none"/>
        </w:rPr>
        <w:t>2．</w:t>
      </w:r>
      <w:r>
        <w:rPr>
          <w:sz w:val="24"/>
          <w:szCs w:val="24"/>
          <w:highlight w:val="none"/>
        </w:rPr>
        <w:t>发生紧急事故需抢修的，承包人在接到事故通知后，应当立即到达事故现场抢修。</w:t>
      </w:r>
    </w:p>
    <w:p w14:paraId="57CACA0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sz w:val="24"/>
          <w:szCs w:val="24"/>
          <w:highlight w:val="none"/>
        </w:rPr>
      </w:pPr>
      <w:r>
        <w:rPr>
          <w:rFonts w:hint="eastAsia"/>
          <w:sz w:val="24"/>
          <w:szCs w:val="24"/>
          <w:highlight w:val="none"/>
        </w:rPr>
        <w:t>3．</w:t>
      </w:r>
      <w:r>
        <w:rPr>
          <w:sz w:val="24"/>
          <w:szCs w:val="24"/>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FE9E704">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sz w:val="24"/>
          <w:szCs w:val="24"/>
          <w:highlight w:val="none"/>
        </w:rPr>
      </w:pPr>
      <w:r>
        <w:rPr>
          <w:rFonts w:hint="eastAsia"/>
          <w:sz w:val="24"/>
          <w:szCs w:val="24"/>
          <w:highlight w:val="none"/>
        </w:rPr>
        <w:t>4．</w:t>
      </w:r>
      <w:r>
        <w:rPr>
          <w:sz w:val="24"/>
          <w:szCs w:val="24"/>
          <w:highlight w:val="none"/>
        </w:rPr>
        <w:t>质量保修完成后，由发包人组织验收。</w:t>
      </w:r>
    </w:p>
    <w:p w14:paraId="378241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r>
        <w:rPr>
          <w:sz w:val="24"/>
          <w:szCs w:val="24"/>
          <w:highlight w:val="none"/>
        </w:rPr>
        <w:t>　　</w:t>
      </w:r>
      <w:bookmarkStart w:id="1045" w:name="_Toc24138"/>
      <w:bookmarkStart w:id="1046" w:name="_Toc7902"/>
      <w:bookmarkStart w:id="1047" w:name="_Toc502158615"/>
      <w:bookmarkStart w:id="1048" w:name="_Toc499291214"/>
      <w:bookmarkStart w:id="1049" w:name="_Toc13901"/>
      <w:r>
        <w:rPr>
          <w:sz w:val="24"/>
          <w:szCs w:val="24"/>
          <w:highlight w:val="none"/>
        </w:rPr>
        <w:t>五、保修费用</w:t>
      </w:r>
      <w:bookmarkEnd w:id="1045"/>
      <w:bookmarkEnd w:id="1046"/>
      <w:bookmarkEnd w:id="1047"/>
      <w:bookmarkEnd w:id="1048"/>
      <w:bookmarkEnd w:id="1049"/>
    </w:p>
    <w:p w14:paraId="6009C6E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r>
        <w:rPr>
          <w:sz w:val="24"/>
          <w:szCs w:val="24"/>
          <w:highlight w:val="none"/>
        </w:rPr>
        <w:t>　　保修费用由造成质量缺陷的责任方承担。</w:t>
      </w:r>
    </w:p>
    <w:p w14:paraId="6EA40374">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bookmarkStart w:id="1050" w:name="_Toc12824"/>
      <w:bookmarkStart w:id="1051" w:name="_Toc25805"/>
      <w:bookmarkStart w:id="1052" w:name="_Toc499291215"/>
      <w:bookmarkStart w:id="1053" w:name="_Toc17910"/>
      <w:bookmarkStart w:id="1054" w:name="_Toc502158616"/>
      <w:r>
        <w:rPr>
          <w:rFonts w:hint="eastAsia"/>
          <w:b/>
          <w:sz w:val="24"/>
          <w:szCs w:val="24"/>
          <w:highlight w:val="none"/>
        </w:rPr>
        <w:t xml:space="preserve">    </w:t>
      </w:r>
      <w:r>
        <w:rPr>
          <w:bCs/>
          <w:sz w:val="24"/>
          <w:szCs w:val="24"/>
          <w:highlight w:val="none"/>
        </w:rPr>
        <w:t>六</w:t>
      </w:r>
      <w:r>
        <w:rPr>
          <w:sz w:val="24"/>
          <w:szCs w:val="24"/>
          <w:highlight w:val="none"/>
        </w:rPr>
        <w:t>、双方约定的其他工程质量保修事项：</w:t>
      </w:r>
      <w:r>
        <w:rPr>
          <w:sz w:val="24"/>
          <w:szCs w:val="24"/>
          <w:highlight w:val="none"/>
          <w:u w:val="single"/>
        </w:rPr>
        <w:t xml:space="preserve">  </w:t>
      </w:r>
      <w:r>
        <w:rPr>
          <w:rFonts w:hint="eastAsia"/>
          <w:sz w:val="24"/>
          <w:szCs w:val="24"/>
          <w:highlight w:val="none"/>
          <w:u w:val="single"/>
        </w:rPr>
        <w:t xml:space="preserve">         </w:t>
      </w:r>
      <w:r>
        <w:rPr>
          <w:sz w:val="24"/>
          <w:szCs w:val="24"/>
          <w:highlight w:val="none"/>
          <w:u w:val="single"/>
        </w:rPr>
        <w:t xml:space="preserve">     </w:t>
      </w:r>
      <w:r>
        <w:rPr>
          <w:sz w:val="24"/>
          <w:szCs w:val="24"/>
          <w:highlight w:val="none"/>
        </w:rPr>
        <w:t>。</w:t>
      </w:r>
      <w:bookmarkEnd w:id="1050"/>
      <w:bookmarkEnd w:id="1051"/>
      <w:bookmarkEnd w:id="1052"/>
      <w:bookmarkEnd w:id="1053"/>
      <w:bookmarkEnd w:id="1054"/>
    </w:p>
    <w:p w14:paraId="2074312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56" w:firstLineChars="190"/>
        <w:rPr>
          <w:sz w:val="24"/>
          <w:szCs w:val="24"/>
          <w:highlight w:val="none"/>
        </w:rPr>
      </w:pPr>
      <w:r>
        <w:rPr>
          <w:sz w:val="24"/>
          <w:szCs w:val="24"/>
          <w:highlight w:val="none"/>
        </w:rPr>
        <w:t>工程质量保修书由发包人、承包人在工程竣工验收前共同签署，作为施工合同附件，其有效期限至保修期满。</w:t>
      </w:r>
    </w:p>
    <w:p w14:paraId="4116552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20"/>
        <w:rPr>
          <w:sz w:val="24"/>
          <w:szCs w:val="24"/>
          <w:highlight w:val="none"/>
        </w:rPr>
      </w:pPr>
    </w:p>
    <w:p w14:paraId="0483E06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r>
        <w:rPr>
          <w:sz w:val="24"/>
          <w:szCs w:val="24"/>
          <w:highlight w:val="none"/>
        </w:rPr>
        <w:t>发包人(公章)：</w:t>
      </w:r>
      <w:r>
        <w:rPr>
          <w:rFonts w:hint="eastAsia"/>
          <w:sz w:val="24"/>
          <w:szCs w:val="24"/>
          <w:highlight w:val="none"/>
          <w:u w:val="single"/>
        </w:rPr>
        <w:t xml:space="preserve">                   </w:t>
      </w:r>
      <w:r>
        <w:rPr>
          <w:sz w:val="24"/>
          <w:szCs w:val="24"/>
          <w:highlight w:val="none"/>
        </w:rPr>
        <w:t xml:space="preserve"> </w:t>
      </w:r>
      <w:r>
        <w:rPr>
          <w:rFonts w:hint="eastAsia"/>
          <w:sz w:val="24"/>
          <w:szCs w:val="24"/>
          <w:highlight w:val="none"/>
        </w:rPr>
        <w:t xml:space="preserve">  </w:t>
      </w:r>
      <w:r>
        <w:rPr>
          <w:sz w:val="24"/>
          <w:szCs w:val="24"/>
          <w:highlight w:val="none"/>
        </w:rPr>
        <w:t>承包人(公章)：</w:t>
      </w:r>
      <w:r>
        <w:rPr>
          <w:rFonts w:hint="eastAsia"/>
          <w:sz w:val="24"/>
          <w:szCs w:val="24"/>
          <w:highlight w:val="none"/>
          <w:u w:val="single"/>
        </w:rPr>
        <w:t xml:space="preserve">                </w:t>
      </w:r>
    </w:p>
    <w:p w14:paraId="01501DF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sz w:val="24"/>
          <w:szCs w:val="24"/>
          <w:highlight w:val="none"/>
          <w:u w:val="single"/>
        </w:rPr>
      </w:pPr>
      <w:r>
        <w:rPr>
          <w:sz w:val="24"/>
          <w:szCs w:val="24"/>
          <w:highlight w:val="none"/>
        </w:rPr>
        <w:t>地  址：</w:t>
      </w:r>
      <w:r>
        <w:rPr>
          <w:rFonts w:hint="eastAsia"/>
          <w:sz w:val="24"/>
          <w:szCs w:val="24"/>
          <w:highlight w:val="none"/>
          <w:u w:val="single"/>
        </w:rPr>
        <w:t xml:space="preserve">                     </w:t>
      </w:r>
      <w:r>
        <w:rPr>
          <w:rFonts w:hint="eastAsia"/>
          <w:sz w:val="24"/>
          <w:szCs w:val="24"/>
          <w:highlight w:val="none"/>
        </w:rPr>
        <w:t xml:space="preserve">       </w:t>
      </w:r>
      <w:r>
        <w:rPr>
          <w:sz w:val="24"/>
          <w:szCs w:val="24"/>
          <w:highlight w:val="none"/>
        </w:rPr>
        <w:t>地  址：</w:t>
      </w:r>
      <w:r>
        <w:rPr>
          <w:rFonts w:hint="eastAsia"/>
          <w:sz w:val="24"/>
          <w:szCs w:val="24"/>
          <w:highlight w:val="none"/>
          <w:u w:val="single"/>
        </w:rPr>
        <w:t xml:space="preserve">          </w:t>
      </w:r>
    </w:p>
    <w:p w14:paraId="12E54C2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r>
        <w:rPr>
          <w:sz w:val="24"/>
          <w:szCs w:val="24"/>
          <w:highlight w:val="none"/>
        </w:rPr>
        <w:t>法定代表人(签字)：</w:t>
      </w:r>
      <w:r>
        <w:rPr>
          <w:rFonts w:hint="eastAsia"/>
          <w:sz w:val="24"/>
          <w:szCs w:val="24"/>
          <w:highlight w:val="none"/>
          <w:u w:val="single"/>
        </w:rPr>
        <w:t xml:space="preserve">                </w:t>
      </w:r>
      <w:r>
        <w:rPr>
          <w:sz w:val="24"/>
          <w:szCs w:val="24"/>
          <w:highlight w:val="none"/>
        </w:rPr>
        <w:t xml:space="preserve"> </w:t>
      </w:r>
      <w:r>
        <w:rPr>
          <w:rFonts w:hint="eastAsia"/>
          <w:sz w:val="24"/>
          <w:szCs w:val="24"/>
          <w:highlight w:val="none"/>
        </w:rPr>
        <w:t xml:space="preserve"> </w:t>
      </w:r>
      <w:r>
        <w:rPr>
          <w:sz w:val="24"/>
          <w:szCs w:val="24"/>
          <w:highlight w:val="none"/>
        </w:rPr>
        <w:t>法定代表人(签字)：</w:t>
      </w:r>
      <w:r>
        <w:rPr>
          <w:rFonts w:hint="eastAsia"/>
          <w:sz w:val="24"/>
          <w:szCs w:val="24"/>
          <w:highlight w:val="none"/>
          <w:u w:val="single"/>
        </w:rPr>
        <w:t xml:space="preserve">               </w:t>
      </w:r>
    </w:p>
    <w:p w14:paraId="10ECB32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sz w:val="24"/>
          <w:szCs w:val="24"/>
          <w:highlight w:val="none"/>
          <w:u w:val="single"/>
        </w:rPr>
      </w:pPr>
      <w:r>
        <w:rPr>
          <w:sz w:val="24"/>
          <w:szCs w:val="24"/>
          <w:highlight w:val="none"/>
        </w:rPr>
        <w:t>委托代理人(签字)：</w:t>
      </w:r>
      <w:r>
        <w:rPr>
          <w:rFonts w:hint="eastAsia"/>
          <w:sz w:val="24"/>
          <w:szCs w:val="24"/>
          <w:highlight w:val="none"/>
          <w:u w:val="single"/>
        </w:rPr>
        <w:t xml:space="preserve">                </w:t>
      </w:r>
      <w:r>
        <w:rPr>
          <w:sz w:val="24"/>
          <w:szCs w:val="24"/>
          <w:highlight w:val="none"/>
        </w:rPr>
        <w:t xml:space="preserve"> </w:t>
      </w:r>
      <w:r>
        <w:rPr>
          <w:rFonts w:hint="eastAsia"/>
          <w:sz w:val="24"/>
          <w:szCs w:val="24"/>
          <w:highlight w:val="none"/>
        </w:rPr>
        <w:t xml:space="preserve"> </w:t>
      </w:r>
      <w:r>
        <w:rPr>
          <w:sz w:val="24"/>
          <w:szCs w:val="24"/>
          <w:highlight w:val="none"/>
        </w:rPr>
        <w:t>委托代理人(签字)：</w:t>
      </w:r>
      <w:r>
        <w:rPr>
          <w:rFonts w:hint="eastAsia"/>
          <w:sz w:val="24"/>
          <w:szCs w:val="24"/>
          <w:highlight w:val="none"/>
          <w:u w:val="single"/>
        </w:rPr>
        <w:t xml:space="preserve">               </w:t>
      </w:r>
    </w:p>
    <w:p w14:paraId="066C41A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color w:val="000000"/>
          <w:sz w:val="24"/>
          <w:szCs w:val="24"/>
          <w:highlight w:val="none"/>
        </w:rPr>
      </w:pPr>
      <w:r>
        <w:rPr>
          <w:sz w:val="24"/>
          <w:szCs w:val="24"/>
          <w:highlight w:val="none"/>
        </w:rPr>
        <w:t>电  话：</w:t>
      </w:r>
      <w:r>
        <w:rPr>
          <w:rFonts w:hint="eastAsia"/>
          <w:sz w:val="24"/>
          <w:szCs w:val="24"/>
          <w:highlight w:val="none"/>
          <w:u w:val="single"/>
        </w:rPr>
        <w:t xml:space="preserve">                        </w:t>
      </w:r>
      <w:r>
        <w:rPr>
          <w:rFonts w:hint="eastAsia"/>
          <w:sz w:val="24"/>
          <w:szCs w:val="24"/>
          <w:highlight w:val="none"/>
        </w:rPr>
        <w:t xml:space="preserve">    </w:t>
      </w:r>
      <w:r>
        <w:rPr>
          <w:sz w:val="24"/>
          <w:szCs w:val="24"/>
          <w:highlight w:val="none"/>
        </w:rPr>
        <w:t>电  话：</w:t>
      </w:r>
      <w:r>
        <w:rPr>
          <w:rFonts w:hint="eastAsia"/>
          <w:sz w:val="24"/>
          <w:szCs w:val="24"/>
          <w:highlight w:val="none"/>
          <w:u w:val="single"/>
        </w:rPr>
        <w:t xml:space="preserve">  </w:t>
      </w:r>
      <w:r>
        <w:rPr>
          <w:rFonts w:hint="eastAsia"/>
          <w:color w:val="000000"/>
          <w:sz w:val="24"/>
          <w:szCs w:val="24"/>
          <w:highlight w:val="none"/>
          <w:u w:val="single"/>
        </w:rPr>
        <w:t xml:space="preserve">                      </w:t>
      </w:r>
    </w:p>
    <w:p w14:paraId="3DF3CB6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r>
        <w:rPr>
          <w:sz w:val="24"/>
          <w:szCs w:val="24"/>
          <w:highlight w:val="none"/>
        </w:rPr>
        <w:t>传  真：</w:t>
      </w:r>
      <w:r>
        <w:rPr>
          <w:rFonts w:hint="eastAsia"/>
          <w:sz w:val="24"/>
          <w:szCs w:val="24"/>
          <w:highlight w:val="none"/>
          <w:u w:val="single"/>
        </w:rPr>
        <w:t xml:space="preserve">                        </w:t>
      </w:r>
      <w:r>
        <w:rPr>
          <w:sz w:val="24"/>
          <w:szCs w:val="24"/>
          <w:highlight w:val="none"/>
        </w:rPr>
        <w:t xml:space="preserve"> </w:t>
      </w:r>
      <w:r>
        <w:rPr>
          <w:rFonts w:hint="eastAsia"/>
          <w:sz w:val="24"/>
          <w:szCs w:val="24"/>
          <w:highlight w:val="none"/>
        </w:rPr>
        <w:t xml:space="preserve">   </w:t>
      </w:r>
      <w:r>
        <w:rPr>
          <w:sz w:val="24"/>
          <w:szCs w:val="24"/>
          <w:highlight w:val="none"/>
        </w:rPr>
        <w:t>传  真：</w:t>
      </w:r>
      <w:r>
        <w:rPr>
          <w:rFonts w:hint="eastAsia"/>
          <w:sz w:val="24"/>
          <w:szCs w:val="24"/>
          <w:highlight w:val="none"/>
          <w:u w:val="single"/>
        </w:rPr>
        <w:t xml:space="preserve">                         </w:t>
      </w:r>
    </w:p>
    <w:p w14:paraId="4EF2A6B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r>
        <w:rPr>
          <w:sz w:val="24"/>
          <w:szCs w:val="24"/>
          <w:highlight w:val="none"/>
        </w:rPr>
        <w:t>开户银行：</w:t>
      </w:r>
      <w:r>
        <w:rPr>
          <w:rFonts w:hint="eastAsia"/>
          <w:sz w:val="24"/>
          <w:szCs w:val="24"/>
          <w:highlight w:val="none"/>
          <w:u w:val="single"/>
        </w:rPr>
        <w:t xml:space="preserve">                     </w:t>
      </w:r>
      <w:r>
        <w:rPr>
          <w:sz w:val="24"/>
          <w:szCs w:val="24"/>
          <w:highlight w:val="none"/>
        </w:rPr>
        <w:t xml:space="preserve"> </w:t>
      </w:r>
      <w:r>
        <w:rPr>
          <w:rFonts w:hint="eastAsia"/>
          <w:sz w:val="24"/>
          <w:szCs w:val="24"/>
          <w:highlight w:val="none"/>
        </w:rPr>
        <w:t xml:space="preserve">    </w:t>
      </w:r>
      <w:r>
        <w:rPr>
          <w:sz w:val="24"/>
          <w:szCs w:val="24"/>
          <w:highlight w:val="none"/>
        </w:rPr>
        <w:t>开户银行：</w:t>
      </w:r>
      <w:r>
        <w:rPr>
          <w:rFonts w:hint="eastAsia"/>
          <w:sz w:val="24"/>
          <w:szCs w:val="24"/>
          <w:highlight w:val="none"/>
          <w:u w:val="single"/>
        </w:rPr>
        <w:t xml:space="preserve">                        </w:t>
      </w:r>
    </w:p>
    <w:p w14:paraId="7335ED9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r>
        <w:rPr>
          <w:sz w:val="24"/>
          <w:szCs w:val="24"/>
          <w:highlight w:val="none"/>
        </w:rPr>
        <w:t>账  号：</w:t>
      </w:r>
      <w:r>
        <w:rPr>
          <w:rFonts w:hint="eastAsia"/>
          <w:sz w:val="24"/>
          <w:szCs w:val="24"/>
          <w:highlight w:val="none"/>
          <w:u w:val="single"/>
        </w:rPr>
        <w:t xml:space="preserve">                       </w:t>
      </w:r>
      <w:r>
        <w:rPr>
          <w:rFonts w:hint="eastAsia"/>
          <w:sz w:val="24"/>
          <w:szCs w:val="24"/>
          <w:highlight w:val="none"/>
        </w:rPr>
        <w:t xml:space="preserve">     </w:t>
      </w:r>
      <w:r>
        <w:rPr>
          <w:sz w:val="24"/>
          <w:szCs w:val="24"/>
          <w:highlight w:val="none"/>
        </w:rPr>
        <w:t>账</w:t>
      </w:r>
      <w:r>
        <w:rPr>
          <w:rFonts w:hint="eastAsia"/>
          <w:sz w:val="24"/>
          <w:szCs w:val="24"/>
          <w:highlight w:val="none"/>
        </w:rPr>
        <w:t xml:space="preserve"> </w:t>
      </w:r>
      <w:r>
        <w:rPr>
          <w:sz w:val="24"/>
          <w:szCs w:val="24"/>
          <w:highlight w:val="none"/>
        </w:rPr>
        <w:t xml:space="preserve"> 号：</w:t>
      </w:r>
      <w:r>
        <w:rPr>
          <w:rFonts w:hint="eastAsia"/>
          <w:sz w:val="24"/>
          <w:szCs w:val="24"/>
          <w:highlight w:val="none"/>
          <w:u w:val="single"/>
        </w:rPr>
        <w:t xml:space="preserve">                          </w:t>
      </w:r>
    </w:p>
    <w:p w14:paraId="742225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24"/>
          <w:szCs w:val="24"/>
          <w:highlight w:val="none"/>
        </w:rPr>
      </w:pPr>
      <w:r>
        <w:rPr>
          <w:sz w:val="24"/>
          <w:szCs w:val="24"/>
          <w:highlight w:val="none"/>
        </w:rPr>
        <w:t>邮政编码：</w:t>
      </w:r>
      <w:r>
        <w:rPr>
          <w:rFonts w:hint="eastAsia"/>
          <w:sz w:val="24"/>
          <w:szCs w:val="24"/>
          <w:highlight w:val="none"/>
          <w:u w:val="single"/>
        </w:rPr>
        <w:t xml:space="preserve">                      </w:t>
      </w:r>
      <w:r>
        <w:rPr>
          <w:sz w:val="24"/>
          <w:szCs w:val="24"/>
          <w:highlight w:val="none"/>
        </w:rPr>
        <w:t xml:space="preserve"> </w:t>
      </w:r>
      <w:r>
        <w:rPr>
          <w:rFonts w:hint="eastAsia"/>
          <w:sz w:val="24"/>
          <w:szCs w:val="24"/>
          <w:highlight w:val="none"/>
        </w:rPr>
        <w:t xml:space="preserve">   </w:t>
      </w:r>
      <w:r>
        <w:rPr>
          <w:sz w:val="24"/>
          <w:szCs w:val="24"/>
          <w:highlight w:val="none"/>
        </w:rPr>
        <w:t>邮政编码：</w:t>
      </w:r>
      <w:r>
        <w:rPr>
          <w:rFonts w:hint="eastAsia"/>
          <w:sz w:val="24"/>
          <w:szCs w:val="24"/>
          <w:highlight w:val="none"/>
          <w:u w:val="single"/>
        </w:rPr>
        <w:t xml:space="preserve">                        </w:t>
      </w:r>
    </w:p>
    <w:p w14:paraId="379F2FD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sz w:val="32"/>
          <w:szCs w:val="32"/>
          <w:highlight w:val="none"/>
        </w:rPr>
      </w:pPr>
    </w:p>
    <w:p w14:paraId="731EC3A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both"/>
        <w:rPr>
          <w:rFonts w:hint="eastAsia"/>
          <w:sz w:val="36"/>
          <w:highlight w:val="none"/>
        </w:rPr>
      </w:pPr>
      <w:bookmarkStart w:id="1055" w:name="_Toc29427"/>
      <w:bookmarkEnd w:id="1055"/>
      <w:bookmarkStart w:id="1056" w:name="_Toc489024028"/>
      <w:bookmarkEnd w:id="1056"/>
      <w:bookmarkStart w:id="1057" w:name="_Toc384309409"/>
      <w:bookmarkEnd w:id="1057"/>
      <w:bookmarkStart w:id="1058" w:name="_Toc498499550"/>
      <w:bookmarkEnd w:id="1058"/>
      <w:bookmarkStart w:id="1059" w:name="_Toc375040612"/>
      <w:bookmarkEnd w:id="1059"/>
      <w:bookmarkStart w:id="1060" w:name="_Toc374947236"/>
      <w:bookmarkEnd w:id="1060"/>
      <w:bookmarkStart w:id="1061" w:name="_Toc375041310"/>
      <w:bookmarkEnd w:id="1061"/>
      <w:bookmarkStart w:id="1062" w:name="_Toc445390634"/>
      <w:bookmarkEnd w:id="1062"/>
      <w:bookmarkStart w:id="1063" w:name="_Toc375041753"/>
      <w:bookmarkEnd w:id="1063"/>
      <w:bookmarkStart w:id="1064" w:name="_Toc423959285"/>
      <w:bookmarkEnd w:id="1064"/>
      <w:bookmarkStart w:id="1065" w:name="_Toc447871549"/>
      <w:bookmarkEnd w:id="1065"/>
      <w:bookmarkStart w:id="1066" w:name="_Toc375041559"/>
      <w:bookmarkEnd w:id="1066"/>
    </w:p>
    <w:p w14:paraId="300954D9">
      <w:pPr>
        <w:kinsoku/>
        <w:overflowPunct/>
        <w:bidi w:val="0"/>
        <w:adjustRightInd w:val="0"/>
        <w:snapToGrid w:val="0"/>
        <w:spacing w:line="360" w:lineRule="auto"/>
        <w:ind w:left="0" w:right="0"/>
        <w:rPr>
          <w:highlight w:val="none"/>
        </w:rPr>
      </w:pPr>
    </w:p>
    <w:p w14:paraId="553F7001">
      <w:pPr>
        <w:kinsoku/>
        <w:overflowPunct/>
        <w:bidi w:val="0"/>
        <w:adjustRightInd w:val="0"/>
        <w:snapToGrid w:val="0"/>
        <w:spacing w:line="360" w:lineRule="auto"/>
        <w:ind w:left="0" w:leftChars="0" w:right="0" w:rightChars="0" w:firstLine="643"/>
        <w:outlineLvl w:val="0"/>
        <w:rPr>
          <w:rFonts w:ascii="宋体" w:hAnsi="宋体" w:eastAsia="宋体" w:cs="宋体"/>
          <w:b/>
          <w:kern w:val="36"/>
          <w:sz w:val="32"/>
          <w:szCs w:val="21"/>
          <w:highlight w:val="none"/>
        </w:rPr>
      </w:pPr>
    </w:p>
    <w:p w14:paraId="4DD0449E">
      <w:pPr>
        <w:widowControl/>
        <w:kinsoku/>
        <w:overflowPunct/>
        <w:bidi w:val="0"/>
        <w:adjustRightInd w:val="0"/>
        <w:snapToGrid w:val="0"/>
        <w:spacing w:line="360" w:lineRule="auto"/>
        <w:ind w:left="0" w:leftChars="0" w:right="0" w:rightChars="0" w:firstLine="643"/>
        <w:jc w:val="left"/>
        <w:rPr>
          <w:rFonts w:ascii="宋体" w:hAnsi="宋体" w:eastAsia="宋体" w:cs="宋体"/>
          <w:b/>
          <w:kern w:val="36"/>
          <w:sz w:val="32"/>
          <w:szCs w:val="21"/>
          <w:highlight w:val="none"/>
        </w:rPr>
      </w:pPr>
    </w:p>
    <w:p w14:paraId="2058A334">
      <w:pPr>
        <w:widowControl/>
        <w:kinsoku/>
        <w:overflowPunct/>
        <w:bidi w:val="0"/>
        <w:adjustRightInd w:val="0"/>
        <w:snapToGrid w:val="0"/>
        <w:spacing w:line="360" w:lineRule="auto"/>
        <w:ind w:left="0" w:leftChars="0" w:right="0" w:rightChars="0" w:firstLine="643"/>
        <w:jc w:val="left"/>
        <w:rPr>
          <w:rFonts w:ascii="宋体" w:hAnsi="宋体" w:eastAsia="宋体" w:cs="宋体"/>
          <w:b/>
          <w:kern w:val="36"/>
          <w:sz w:val="32"/>
          <w:szCs w:val="21"/>
          <w:highlight w:val="none"/>
        </w:rPr>
      </w:pPr>
    </w:p>
    <w:p w14:paraId="70A54075">
      <w:pPr>
        <w:widowControl/>
        <w:kinsoku/>
        <w:overflowPunct/>
        <w:bidi w:val="0"/>
        <w:adjustRightInd w:val="0"/>
        <w:snapToGrid w:val="0"/>
        <w:spacing w:line="360" w:lineRule="auto"/>
        <w:ind w:left="0" w:leftChars="0" w:right="0" w:rightChars="0" w:firstLine="643"/>
        <w:jc w:val="left"/>
        <w:rPr>
          <w:rFonts w:ascii="宋体" w:hAnsi="宋体" w:eastAsia="宋体" w:cs="宋体"/>
          <w:b/>
          <w:kern w:val="36"/>
          <w:sz w:val="32"/>
          <w:szCs w:val="21"/>
          <w:highlight w:val="none"/>
        </w:rPr>
      </w:pPr>
    </w:p>
    <w:p w14:paraId="6507B01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36"/>
          <w:szCs w:val="40"/>
          <w:highlight w:val="none"/>
        </w:rPr>
      </w:pPr>
      <w:r>
        <w:rPr>
          <w:rFonts w:cs="楷体" w:asciiTheme="minorEastAsia" w:hAnsiTheme="minorEastAsia" w:eastAsiaTheme="minorEastAsia"/>
          <w:kern w:val="2"/>
          <w:sz w:val="24"/>
          <w:szCs w:val="24"/>
          <w:highlight w:val="none"/>
        </w:rPr>
        <w:br w:type="page"/>
      </w:r>
      <w:bookmarkStart w:id="1067" w:name="_Toc10207"/>
      <w:bookmarkStart w:id="1068" w:name="_Toc29787"/>
    </w:p>
    <w:p w14:paraId="38C8153B">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五</w:t>
      </w:r>
      <w:r>
        <w:rPr>
          <w:rFonts w:hint="eastAsia" w:ascii="宋体" w:hAnsi="宋体" w:eastAsia="宋体" w:cs="宋体"/>
          <w:b/>
          <w:bCs/>
          <w:sz w:val="36"/>
          <w:szCs w:val="40"/>
          <w:highlight w:val="none"/>
        </w:rPr>
        <w:t>章 工程量清单（另附）</w:t>
      </w:r>
      <w:bookmarkEnd w:id="1067"/>
      <w:bookmarkEnd w:id="1068"/>
    </w:p>
    <w:p w14:paraId="14FC968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kern w:val="44"/>
          <w:sz w:val="36"/>
          <w:szCs w:val="36"/>
          <w:highlight w:val="none"/>
        </w:rPr>
      </w:pPr>
    </w:p>
    <w:p w14:paraId="011226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4A26FA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C293E9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B4613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0BC8C2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2B33FA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28AF8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6F28E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5F3202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26F70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2442A6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2"/>
          <w:szCs w:val="32"/>
          <w:highlight w:val="none"/>
        </w:rPr>
      </w:pPr>
    </w:p>
    <w:p w14:paraId="2F7C6F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DBA42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29348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49FC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bookmarkStart w:id="1069" w:name="_Toc69718839"/>
      <w:bookmarkEnd w:id="1069"/>
    </w:p>
    <w:p w14:paraId="63E649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7E4E69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3AB700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6A1BA5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6"/>
          <w:szCs w:val="40"/>
          <w:highlight w:val="none"/>
        </w:rPr>
      </w:pPr>
      <w:r>
        <w:rPr>
          <w:rFonts w:hint="eastAsia" w:ascii="宋体" w:hAnsi="宋体" w:eastAsia="宋体" w:cs="宋体"/>
          <w:b/>
          <w:kern w:val="44"/>
          <w:sz w:val="36"/>
          <w:szCs w:val="36"/>
          <w:highlight w:val="none"/>
        </w:rPr>
        <w:br w:type="page"/>
      </w:r>
      <w:bookmarkStart w:id="1070" w:name="_Toc69718840"/>
      <w:bookmarkEnd w:id="1070"/>
      <w:bookmarkStart w:id="1071" w:name="_Toc17283"/>
    </w:p>
    <w:bookmarkEnd w:id="1071"/>
    <w:p w14:paraId="0DA7C0D0">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bookmarkStart w:id="1072" w:name="_Toc20730"/>
      <w:bookmarkStart w:id="1073" w:name="_Toc22437"/>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六</w:t>
      </w:r>
      <w:r>
        <w:rPr>
          <w:rFonts w:hint="eastAsia" w:ascii="宋体" w:hAnsi="宋体" w:eastAsia="宋体" w:cs="宋体"/>
          <w:b/>
          <w:bCs/>
          <w:sz w:val="36"/>
          <w:szCs w:val="40"/>
          <w:highlight w:val="none"/>
        </w:rPr>
        <w:t>章  图纸（另附）</w:t>
      </w:r>
      <w:bookmarkEnd w:id="1072"/>
      <w:bookmarkEnd w:id="1073"/>
    </w:p>
    <w:p w14:paraId="0768A1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534A08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8B646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6CCAA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099FF1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13E5ED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65BA68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4C3F2B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04C839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6"/>
          <w:szCs w:val="40"/>
          <w:highlight w:val="none"/>
        </w:rPr>
      </w:pPr>
      <w:r>
        <w:rPr>
          <w:rFonts w:hint="eastAsia" w:ascii="宋体" w:hAnsi="宋体" w:eastAsia="宋体" w:cs="宋体"/>
          <w:b/>
          <w:kern w:val="44"/>
          <w:sz w:val="36"/>
          <w:szCs w:val="36"/>
          <w:highlight w:val="none"/>
        </w:rPr>
        <w:br w:type="page"/>
      </w:r>
    </w:p>
    <w:p w14:paraId="58984893">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sz w:val="30"/>
          <w:szCs w:val="30"/>
          <w:highlight w:val="none"/>
        </w:rPr>
      </w:pPr>
      <w:bookmarkStart w:id="1074" w:name="_Toc7428"/>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七</w:t>
      </w:r>
      <w:r>
        <w:rPr>
          <w:rFonts w:hint="eastAsia" w:ascii="宋体" w:hAnsi="宋体" w:eastAsia="宋体" w:cs="宋体"/>
          <w:b/>
          <w:bCs/>
          <w:sz w:val="36"/>
          <w:szCs w:val="40"/>
          <w:highlight w:val="none"/>
        </w:rPr>
        <w:t xml:space="preserve">章  </w:t>
      </w:r>
      <w:r>
        <w:rPr>
          <w:rFonts w:hint="eastAsia" w:ascii="宋体" w:hAnsi="宋体" w:eastAsia="宋体" w:cs="宋体"/>
          <w:b/>
          <w:bCs/>
          <w:sz w:val="36"/>
          <w:szCs w:val="40"/>
          <w:highlight w:val="none"/>
          <w:lang w:val="en-US" w:eastAsia="zh-CN"/>
        </w:rPr>
        <w:t>投标</w:t>
      </w:r>
      <w:r>
        <w:rPr>
          <w:rFonts w:hint="eastAsia" w:ascii="宋体" w:hAnsi="宋体" w:eastAsia="宋体" w:cs="宋体"/>
          <w:b/>
          <w:bCs/>
          <w:sz w:val="36"/>
          <w:szCs w:val="40"/>
          <w:highlight w:val="none"/>
        </w:rPr>
        <w:t>文件格式</w:t>
      </w:r>
      <w:bookmarkEnd w:id="1074"/>
    </w:p>
    <w:p w14:paraId="40B055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rPr>
      </w:pPr>
    </w:p>
    <w:p w14:paraId="35F8BD02">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sz w:val="30"/>
          <w:szCs w:val="30"/>
          <w:highlight w:val="none"/>
        </w:rPr>
      </w:pPr>
    </w:p>
    <w:p w14:paraId="2EA68A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rPr>
      </w:pPr>
      <w:bookmarkStart w:id="1075" w:name="_Toc32198"/>
      <w:bookmarkStart w:id="1076" w:name="_Toc11268"/>
    </w:p>
    <w:p w14:paraId="5B3525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u w:val="single"/>
        </w:rPr>
      </w:pPr>
      <w:r>
        <w:rPr>
          <w:rFonts w:hint="eastAsia" w:ascii="宋体" w:hAnsi="宋体" w:eastAsia="宋体" w:cs="宋体"/>
          <w:b/>
          <w:sz w:val="44"/>
          <w:szCs w:val="44"/>
          <w:highlight w:val="none"/>
        </w:rPr>
        <w:t>（项目名称）</w:t>
      </w:r>
      <w:bookmarkEnd w:id="1075"/>
      <w:bookmarkEnd w:id="1076"/>
    </w:p>
    <w:p w14:paraId="289C0ED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Cs w:val="21"/>
          <w:highlight w:val="none"/>
        </w:rPr>
      </w:pPr>
    </w:p>
    <w:p w14:paraId="2C3151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52"/>
          <w:szCs w:val="52"/>
          <w:highlight w:val="none"/>
        </w:rPr>
      </w:pPr>
    </w:p>
    <w:p w14:paraId="4CF6A6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pacing w:val="24"/>
          <w:kern w:val="10"/>
          <w:sz w:val="72"/>
          <w:szCs w:val="72"/>
          <w:highlight w:val="none"/>
        </w:rPr>
      </w:pPr>
      <w:bookmarkStart w:id="1077" w:name="_Toc19263"/>
      <w:bookmarkStart w:id="1078" w:name="_Toc21889"/>
      <w:r>
        <w:rPr>
          <w:rFonts w:hint="eastAsia" w:ascii="宋体" w:hAnsi="宋体" w:eastAsia="宋体" w:cs="宋体"/>
          <w:b/>
          <w:spacing w:val="24"/>
          <w:kern w:val="10"/>
          <w:sz w:val="72"/>
          <w:szCs w:val="72"/>
          <w:highlight w:val="none"/>
          <w:lang w:val="en-US" w:eastAsia="zh-CN"/>
        </w:rPr>
        <w:t>投标</w:t>
      </w:r>
      <w:r>
        <w:rPr>
          <w:rFonts w:hint="eastAsia" w:ascii="宋体" w:hAnsi="宋体" w:eastAsia="宋体" w:cs="宋体"/>
          <w:b/>
          <w:spacing w:val="24"/>
          <w:kern w:val="10"/>
          <w:sz w:val="72"/>
          <w:szCs w:val="72"/>
          <w:highlight w:val="none"/>
        </w:rPr>
        <w:t>文件</w:t>
      </w:r>
    </w:p>
    <w:p w14:paraId="22244A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sz w:val="30"/>
          <w:szCs w:val="30"/>
          <w:highlight w:val="none"/>
        </w:rPr>
      </w:pPr>
    </w:p>
    <w:p w14:paraId="04CEC2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default" w:ascii="宋体" w:hAnsi="宋体" w:eastAsia="宋体" w:cs="宋体"/>
          <w:b/>
          <w:sz w:val="30"/>
          <w:szCs w:val="30"/>
          <w:highlight w:val="none"/>
          <w:u w:val="single"/>
          <w:lang w:val="en-US" w:eastAsia="zh-CN"/>
        </w:rPr>
      </w:pPr>
      <w:r>
        <w:rPr>
          <w:rFonts w:hint="eastAsia" w:ascii="宋体" w:hAnsi="宋体" w:eastAsia="宋体" w:cs="宋体"/>
          <w:b/>
          <w:sz w:val="30"/>
          <w:szCs w:val="30"/>
          <w:highlight w:val="none"/>
        </w:rPr>
        <w:t>项目编号：</w:t>
      </w:r>
      <w:bookmarkEnd w:id="1077"/>
      <w:bookmarkEnd w:id="1078"/>
    </w:p>
    <w:p w14:paraId="79D3540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30"/>
          <w:szCs w:val="30"/>
          <w:highlight w:val="none"/>
          <w:u w:val="single"/>
        </w:rPr>
      </w:pPr>
    </w:p>
    <w:p w14:paraId="5598654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717E64A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643F2C3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680E9C9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5DCC51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24"/>
          <w:szCs w:val="24"/>
          <w:highlight w:val="none"/>
        </w:rPr>
      </w:pPr>
    </w:p>
    <w:p w14:paraId="23FE24F8">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asciiTheme="minorEastAsia" w:hAnsiTheme="minorEastAsia" w:eastAsiaTheme="minorEastAsia"/>
          <w:sz w:val="28"/>
          <w:highlight w:val="none"/>
        </w:rPr>
      </w:pPr>
      <w:r>
        <w:rPr>
          <w:rFonts w:hint="eastAsia" w:asciiTheme="minorEastAsia" w:hAnsiTheme="minorEastAsia"/>
          <w:sz w:val="28"/>
          <w:highlight w:val="none"/>
          <w:lang w:eastAsia="zh-CN"/>
        </w:rPr>
        <w:t>投标人</w:t>
      </w:r>
      <w:r>
        <w:rPr>
          <w:rFonts w:hint="eastAsia" w:asciiTheme="minorEastAsia" w:hAnsiTheme="minorEastAsia" w:eastAsiaTheme="minorEastAsia"/>
          <w:sz w:val="28"/>
          <w:highlight w:val="none"/>
        </w:rPr>
        <w:t>：</w:t>
      </w:r>
      <w:r>
        <w:rPr>
          <w:rFonts w:hint="eastAsia" w:asciiTheme="minorEastAsia" w:hAnsiTheme="minorEastAsia" w:eastAsiaTheme="minorEastAsia"/>
          <w:sz w:val="28"/>
          <w:highlight w:val="none"/>
          <w:u w:val="single"/>
        </w:rPr>
        <w:t xml:space="preserve">                       </w:t>
      </w:r>
      <w:r>
        <w:rPr>
          <w:rFonts w:hint="eastAsia" w:asciiTheme="minorEastAsia" w:hAnsiTheme="minorEastAsia" w:eastAsiaTheme="minorEastAsia"/>
          <w:sz w:val="28"/>
          <w:highlight w:val="none"/>
        </w:rPr>
        <w:t>（</w:t>
      </w:r>
      <w:r>
        <w:rPr>
          <w:rFonts w:hint="eastAsia" w:asciiTheme="minorEastAsia" w:hAnsiTheme="minorEastAsia"/>
          <w:sz w:val="28"/>
          <w:highlight w:val="none"/>
          <w:lang w:val="en-US" w:eastAsia="zh-CN"/>
        </w:rPr>
        <w:t>公章</w:t>
      </w:r>
      <w:r>
        <w:rPr>
          <w:rFonts w:hint="eastAsia" w:asciiTheme="minorEastAsia" w:hAnsiTheme="minorEastAsia" w:eastAsiaTheme="minorEastAsia"/>
          <w:sz w:val="28"/>
          <w:highlight w:val="none"/>
          <w:lang w:eastAsia="zh-CN"/>
        </w:rPr>
        <w:t>电子签章</w:t>
      </w:r>
      <w:r>
        <w:rPr>
          <w:rFonts w:hint="eastAsia" w:asciiTheme="minorEastAsia" w:hAnsiTheme="minorEastAsia" w:eastAsiaTheme="minorEastAsia"/>
          <w:sz w:val="28"/>
          <w:highlight w:val="none"/>
        </w:rPr>
        <w:t>）</w:t>
      </w:r>
    </w:p>
    <w:p w14:paraId="54B674B9">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asciiTheme="minorEastAsia" w:hAnsiTheme="minorEastAsia" w:eastAsiaTheme="minorEastAsia"/>
          <w:sz w:val="28"/>
          <w:highlight w:val="none"/>
        </w:rPr>
      </w:pPr>
      <w:r>
        <w:rPr>
          <w:rFonts w:hint="eastAsia" w:asciiTheme="minorEastAsia" w:hAnsiTheme="minorEastAsia" w:eastAsiaTheme="minorEastAsia"/>
          <w:sz w:val="28"/>
          <w:highlight w:val="none"/>
        </w:rPr>
        <w:t>法定代表人：</w:t>
      </w:r>
      <w:r>
        <w:rPr>
          <w:rFonts w:hint="eastAsia" w:asciiTheme="minorEastAsia" w:hAnsiTheme="minorEastAsia" w:eastAsiaTheme="minorEastAsia"/>
          <w:sz w:val="28"/>
          <w:highlight w:val="none"/>
          <w:u w:val="single"/>
          <w:lang w:val="en-US" w:eastAsia="zh-CN"/>
        </w:rPr>
        <w:t xml:space="preserve">                   </w:t>
      </w:r>
      <w:r>
        <w:rPr>
          <w:rFonts w:hint="eastAsia" w:asciiTheme="minorEastAsia" w:hAnsiTheme="minorEastAsia" w:eastAsiaTheme="minorEastAsia"/>
          <w:sz w:val="28"/>
          <w:highlight w:val="none"/>
        </w:rPr>
        <w:t>（</w:t>
      </w:r>
      <w:r>
        <w:rPr>
          <w:rFonts w:hint="eastAsia" w:asciiTheme="minorEastAsia" w:hAnsiTheme="minorEastAsia" w:eastAsiaTheme="minorEastAsia"/>
          <w:sz w:val="28"/>
          <w:highlight w:val="none"/>
          <w:lang w:eastAsia="zh-CN"/>
        </w:rPr>
        <w:t>电子签章</w:t>
      </w:r>
      <w:r>
        <w:rPr>
          <w:rFonts w:hint="eastAsia" w:asciiTheme="minorEastAsia" w:hAnsiTheme="minorEastAsia" w:eastAsiaTheme="minorEastAsia"/>
          <w:sz w:val="28"/>
          <w:highlight w:val="none"/>
        </w:rPr>
        <w:t>）</w:t>
      </w:r>
    </w:p>
    <w:p w14:paraId="45E67F80">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asciiTheme="minorEastAsia" w:hAnsiTheme="minorEastAsia" w:eastAsiaTheme="minorEastAsia"/>
          <w:sz w:val="28"/>
          <w:highlight w:val="none"/>
        </w:rPr>
      </w:pPr>
      <w:r>
        <w:rPr>
          <w:rFonts w:hint="eastAsia" w:asciiTheme="minorEastAsia" w:hAnsiTheme="minorEastAsia" w:eastAsiaTheme="minorEastAsia"/>
          <w:sz w:val="28"/>
          <w:highlight w:val="none"/>
        </w:rPr>
        <w:t>日期：</w:t>
      </w:r>
      <w:r>
        <w:rPr>
          <w:rFonts w:hint="eastAsia" w:asciiTheme="minorEastAsia" w:hAnsiTheme="minorEastAsia" w:eastAsiaTheme="minorEastAsia"/>
          <w:sz w:val="28"/>
          <w:highlight w:val="none"/>
          <w:u w:val="single"/>
          <w:lang w:val="en-US" w:eastAsia="zh-CN"/>
        </w:rPr>
        <w:t xml:space="preserve">         </w:t>
      </w:r>
      <w:r>
        <w:rPr>
          <w:rFonts w:hint="eastAsia" w:asciiTheme="minorEastAsia" w:hAnsiTheme="minorEastAsia" w:eastAsiaTheme="minorEastAsia"/>
          <w:sz w:val="28"/>
          <w:highlight w:val="none"/>
        </w:rPr>
        <w:t>年</w:t>
      </w:r>
      <w:r>
        <w:rPr>
          <w:rFonts w:hint="eastAsia" w:asciiTheme="minorEastAsia" w:hAnsiTheme="minorEastAsia" w:eastAsiaTheme="minorEastAsia"/>
          <w:sz w:val="28"/>
          <w:highlight w:val="none"/>
          <w:u w:val="single"/>
          <w:lang w:val="en-US" w:eastAsia="zh-CN"/>
        </w:rPr>
        <w:t xml:space="preserve">     </w:t>
      </w:r>
      <w:r>
        <w:rPr>
          <w:rFonts w:hint="eastAsia" w:asciiTheme="minorEastAsia" w:hAnsiTheme="minorEastAsia" w:eastAsiaTheme="minorEastAsia"/>
          <w:sz w:val="28"/>
          <w:highlight w:val="none"/>
        </w:rPr>
        <w:t>月</w:t>
      </w:r>
      <w:r>
        <w:rPr>
          <w:rFonts w:hint="eastAsia" w:asciiTheme="minorEastAsia" w:hAnsiTheme="minorEastAsia" w:eastAsiaTheme="minorEastAsia"/>
          <w:sz w:val="28"/>
          <w:highlight w:val="none"/>
          <w:u w:val="single"/>
          <w:lang w:val="en-US" w:eastAsia="zh-CN"/>
        </w:rPr>
        <w:t xml:space="preserve">     </w:t>
      </w:r>
      <w:r>
        <w:rPr>
          <w:rFonts w:hint="eastAsia" w:asciiTheme="minorEastAsia" w:hAnsiTheme="minorEastAsia" w:eastAsiaTheme="minorEastAsia"/>
          <w:sz w:val="28"/>
          <w:highlight w:val="none"/>
        </w:rPr>
        <w:t>日</w:t>
      </w:r>
      <w:bookmarkStart w:id="1079" w:name="_Toc223432388"/>
      <w:bookmarkStart w:id="1080" w:name="_Toc171073043"/>
      <w:bookmarkStart w:id="1081" w:name="_Toc171073208"/>
    </w:p>
    <w:bookmarkEnd w:id="1079"/>
    <w:bookmarkEnd w:id="1080"/>
    <w:bookmarkEnd w:id="1081"/>
    <w:p w14:paraId="2E8384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24"/>
          <w:szCs w:val="24"/>
          <w:highlight w:val="none"/>
        </w:rPr>
      </w:pPr>
    </w:p>
    <w:p w14:paraId="42D26F5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2B5BD985">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p>
    <w:p w14:paraId="08A7678B">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目  录</w:t>
      </w:r>
    </w:p>
    <w:p w14:paraId="7D1B5FA7">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Cs/>
          <w:sz w:val="24"/>
          <w:szCs w:val="24"/>
          <w:highlight w:val="none"/>
          <w:lang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自拟</w:t>
      </w:r>
      <w:r>
        <w:rPr>
          <w:rFonts w:hint="eastAsia" w:ascii="宋体" w:hAnsi="宋体" w:eastAsia="宋体" w:cs="宋体"/>
          <w:sz w:val="24"/>
          <w:highlight w:val="none"/>
          <w:lang w:eastAsia="zh-CN"/>
        </w:rPr>
        <w:t>）</w:t>
      </w:r>
    </w:p>
    <w:p w14:paraId="1811F301">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2"/>
          <w:szCs w:val="32"/>
          <w:highlight w:val="none"/>
        </w:rPr>
      </w:pPr>
      <w:bookmarkStart w:id="1082" w:name="_Toc27145"/>
      <w:bookmarkStart w:id="1083" w:name="_Toc18526"/>
      <w:r>
        <w:rPr>
          <w:rFonts w:hint="eastAsia" w:ascii="宋体" w:hAnsi="宋体" w:eastAsia="宋体" w:cs="宋体"/>
          <w:b/>
          <w:bCs/>
          <w:sz w:val="32"/>
          <w:szCs w:val="32"/>
          <w:highlight w:val="none"/>
        </w:rPr>
        <w:br w:type="page"/>
      </w:r>
    </w:p>
    <w:bookmarkEnd w:id="1082"/>
    <w:bookmarkEnd w:id="1083"/>
    <w:p w14:paraId="219673E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84" w:name="_Toc69718842"/>
      <w:bookmarkEnd w:id="1084"/>
      <w:bookmarkStart w:id="1085" w:name="_Toc27307"/>
      <w:bookmarkStart w:id="1086" w:name="_Toc25792"/>
      <w:bookmarkStart w:id="1087" w:name="_Toc19134"/>
      <w:bookmarkStart w:id="1088" w:name="_Toc20579"/>
      <w:r>
        <w:rPr>
          <w:rFonts w:hint="eastAsia" w:ascii="宋体" w:hAnsi="宋体" w:eastAsia="宋体" w:cs="宋体"/>
          <w:b/>
          <w:bCs/>
          <w:sz w:val="32"/>
          <w:szCs w:val="32"/>
          <w:highlight w:val="none"/>
        </w:rPr>
        <w:t>一、磋商函及磋商函附录</w:t>
      </w:r>
      <w:bookmarkEnd w:id="1085"/>
      <w:bookmarkEnd w:id="1086"/>
    </w:p>
    <w:p w14:paraId="34BE0D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8"/>
          <w:highlight w:val="none"/>
        </w:rPr>
      </w:pPr>
      <w:bookmarkStart w:id="1089" w:name="_Toc4905"/>
      <w:bookmarkStart w:id="1090" w:name="_Toc21361"/>
      <w:bookmarkStart w:id="1091" w:name="_Toc11888"/>
      <w:bookmarkStart w:id="1092" w:name="_Toc6004"/>
      <w:bookmarkStart w:id="1093" w:name="_Toc28003"/>
      <w:r>
        <w:rPr>
          <w:rFonts w:hint="eastAsia" w:ascii="宋体" w:hAnsi="宋体" w:eastAsia="宋体" w:cs="宋体"/>
          <w:b/>
          <w:bCs/>
          <w:sz w:val="28"/>
          <w:highlight w:val="none"/>
        </w:rPr>
        <w:t>（一）磋商函</w:t>
      </w:r>
      <w:bookmarkEnd w:id="1089"/>
      <w:bookmarkEnd w:id="1090"/>
      <w:bookmarkEnd w:id="1091"/>
      <w:bookmarkEnd w:id="1092"/>
      <w:bookmarkEnd w:id="1093"/>
    </w:p>
    <w:p w14:paraId="77C0834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名称）：</w:t>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p>
    <w:p w14:paraId="202C557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我方已仔细研究了</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（项目名称）</w:t>
      </w:r>
      <w:r>
        <w:rPr>
          <w:rFonts w:hint="eastAsia" w:ascii="宋体" w:hAnsi="宋体" w:eastAsia="宋体" w:cs="宋体"/>
          <w:sz w:val="24"/>
          <w:highlight w:val="none"/>
          <w:lang w:val="en-US" w:eastAsia="zh-CN"/>
        </w:rPr>
        <w:t>招标</w:t>
      </w:r>
      <w:r>
        <w:rPr>
          <w:rFonts w:hint="eastAsia" w:ascii="宋体" w:hAnsi="宋体" w:eastAsia="宋体" w:cs="宋体"/>
          <w:sz w:val="24"/>
          <w:highlight w:val="none"/>
        </w:rPr>
        <w:t>文件的全部内容，愿意以（大写）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（小写）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元的磋商报价，工期：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，按合同约定实施和完成工程，修补工程中的任何缺陷，</w:t>
      </w:r>
      <w:r>
        <w:rPr>
          <w:rFonts w:hint="eastAsia" w:ascii="宋体" w:hAnsi="宋体" w:eastAsia="宋体" w:cs="宋体"/>
          <w:sz w:val="24"/>
          <w:highlight w:val="none"/>
          <w:lang w:eastAsia="zh-CN"/>
        </w:rPr>
        <w:t>质量要求</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eastAsia="zh-CN"/>
        </w:rPr>
        <w:t>。</w:t>
      </w:r>
      <w:r>
        <w:rPr>
          <w:rFonts w:hint="eastAsia" w:ascii="宋体" w:hAnsi="宋体" w:eastAsia="宋体" w:cs="宋体"/>
          <w:sz w:val="24"/>
          <w:highlight w:val="none"/>
          <w:u w:val="single"/>
        </w:rPr>
        <w:t xml:space="preserve">   </w:t>
      </w:r>
    </w:p>
    <w:p w14:paraId="04B6D4F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1.我方承诺在响应文件规定的磋商有效期内不撤销响应文件。</w:t>
      </w:r>
    </w:p>
    <w:p w14:paraId="5DA0130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2.如我方成交，我方承诺：</w:t>
      </w:r>
    </w:p>
    <w:p w14:paraId="2432EB2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（1）在收到成交通知书后，在成交通知书规定的期限内与你方签订合同；</w:t>
      </w:r>
    </w:p>
    <w:p w14:paraId="04F3ED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（2）随同本磋商函递交的磋商函附录属于合同文件的组成部分。</w:t>
      </w:r>
    </w:p>
    <w:p w14:paraId="2824D24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（3）我方承诺按照磋商文件规定向你方递交履约担保。</w:t>
      </w:r>
    </w:p>
    <w:p w14:paraId="7980111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（4）我方承诺在合同约定的期限内完成并移交全部合同工程。</w:t>
      </w:r>
    </w:p>
    <w:p w14:paraId="691E69E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（5）我方承诺满足合同专用条款中补充条款的内容。</w:t>
      </w:r>
    </w:p>
    <w:p w14:paraId="5820785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3．我方在此声明，所递交的响应文件及有关资料内容完整、真实和准确。</w:t>
      </w:r>
    </w:p>
    <w:p w14:paraId="64EB02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4．</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（其他补充说明）。</w:t>
      </w:r>
    </w:p>
    <w:p w14:paraId="7C99720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1AD2199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531C1B9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7DC0A43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（电子签章）</w:t>
      </w:r>
    </w:p>
    <w:p w14:paraId="2D398AE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地  址：</w:t>
      </w:r>
      <w:r>
        <w:rPr>
          <w:rFonts w:hint="eastAsia" w:ascii="宋体" w:hAnsi="宋体" w:eastAsia="宋体" w:cs="宋体"/>
          <w:sz w:val="24"/>
          <w:highlight w:val="none"/>
          <w:u w:val="single"/>
        </w:rPr>
        <w:t xml:space="preserve">                                 </w:t>
      </w:r>
    </w:p>
    <w:p w14:paraId="117F37AA">
      <w:pPr>
        <w:pStyle w:val="10"/>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电  话：</w:t>
      </w:r>
      <w:r>
        <w:rPr>
          <w:rFonts w:hint="eastAsia" w:cs="宋体" w:asciiTheme="minorEastAsia" w:hAnsiTheme="minorEastAsia" w:eastAsiaTheme="minorEastAsia"/>
          <w:sz w:val="24"/>
          <w:szCs w:val="24"/>
          <w:highlight w:val="none"/>
          <w:u w:val="single"/>
          <w:lang w:bidi="en-US"/>
        </w:rPr>
        <w:t>（填写能联系到的电话号码，方便通知二次报价）</w:t>
      </w:r>
    </w:p>
    <w:p w14:paraId="0C18D118">
      <w:pPr>
        <w:pStyle w:val="10"/>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邮  箱：</w:t>
      </w:r>
      <w:r>
        <w:rPr>
          <w:rFonts w:hint="eastAsia" w:ascii="宋体" w:hAnsi="宋体" w:eastAsia="宋体" w:cs="宋体"/>
          <w:sz w:val="24"/>
          <w:highlight w:val="none"/>
          <w:u w:val="single"/>
        </w:rPr>
        <w:t xml:space="preserve">                                </w:t>
      </w:r>
    </w:p>
    <w:p w14:paraId="5CFB1D8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年</w:t>
      </w:r>
      <w:r>
        <w:rPr>
          <w:rFonts w:hint="eastAsia" w:ascii="宋体" w:hAnsi="宋体" w:eastAsia="宋体" w:cs="宋体"/>
          <w:sz w:val="24"/>
          <w:highlight w:val="none"/>
        </w:rPr>
        <w:tab/>
      </w:r>
      <w:r>
        <w:rPr>
          <w:rFonts w:hint="eastAsia" w:ascii="宋体" w:hAnsi="宋体" w:eastAsia="宋体" w:cs="宋体"/>
          <w:sz w:val="24"/>
          <w:highlight w:val="none"/>
        </w:rPr>
        <w:t xml:space="preserve">  月</w:t>
      </w:r>
      <w:r>
        <w:rPr>
          <w:rFonts w:hint="eastAsia" w:ascii="宋体" w:hAnsi="宋体" w:eastAsia="宋体" w:cs="宋体"/>
          <w:sz w:val="24"/>
          <w:highlight w:val="none"/>
        </w:rPr>
        <w:tab/>
      </w:r>
      <w:r>
        <w:rPr>
          <w:rFonts w:hint="eastAsia" w:ascii="宋体" w:hAnsi="宋体" w:eastAsia="宋体" w:cs="宋体"/>
          <w:sz w:val="24"/>
          <w:highlight w:val="none"/>
        </w:rPr>
        <w:t>日</w:t>
      </w:r>
    </w:p>
    <w:p w14:paraId="13D99E3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76E2D63E">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highlight w:val="none"/>
        </w:rPr>
      </w:pPr>
    </w:p>
    <w:p w14:paraId="4FAE56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32"/>
          <w:szCs w:val="30"/>
          <w:highlight w:val="none"/>
        </w:rPr>
      </w:pPr>
    </w:p>
    <w:p w14:paraId="4A39E81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28"/>
          <w:highlight w:val="none"/>
        </w:rPr>
      </w:pPr>
      <w:r>
        <w:rPr>
          <w:rFonts w:hint="eastAsia" w:ascii="宋体" w:hAnsi="宋体" w:eastAsia="宋体" w:cs="宋体"/>
          <w:b/>
          <w:bCs/>
          <w:sz w:val="28"/>
          <w:highlight w:val="none"/>
        </w:rPr>
        <w:br w:type="page"/>
      </w:r>
    </w:p>
    <w:p w14:paraId="056EF4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8"/>
          <w:highlight w:val="none"/>
        </w:rPr>
      </w:pPr>
      <w:r>
        <w:rPr>
          <w:rFonts w:hint="eastAsia" w:ascii="宋体" w:hAnsi="宋体" w:eastAsia="宋体" w:cs="宋体"/>
          <w:b/>
          <w:bCs/>
          <w:sz w:val="28"/>
          <w:highlight w:val="none"/>
        </w:rPr>
        <w:t>（二）磋商函附录</w:t>
      </w:r>
    </w:p>
    <w:tbl>
      <w:tblPr>
        <w:tblStyle w:val="23"/>
        <w:tblpPr w:leftFromText="181" w:rightFromText="181" w:vertAnchor="text" w:horzAnchor="margin" w:tblpXSpec="center" w:tblpY="128"/>
        <w:tblOverlap w:val="never"/>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711"/>
        <w:gridCol w:w="324"/>
        <w:gridCol w:w="988"/>
        <w:gridCol w:w="1288"/>
        <w:gridCol w:w="862"/>
        <w:gridCol w:w="2099"/>
      </w:tblGrid>
      <w:tr w14:paraId="333A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0" w:hRule="exact"/>
          <w:jc w:val="center"/>
        </w:trPr>
        <w:tc>
          <w:tcPr>
            <w:tcW w:w="1387" w:type="dxa"/>
            <w:vAlign w:val="center"/>
          </w:tcPr>
          <w:p w14:paraId="7190BC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项目名称</w:t>
            </w:r>
          </w:p>
        </w:tc>
        <w:tc>
          <w:tcPr>
            <w:tcW w:w="7272" w:type="dxa"/>
            <w:gridSpan w:val="6"/>
            <w:vAlign w:val="center"/>
          </w:tcPr>
          <w:p w14:paraId="04A502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6C0B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exact"/>
          <w:jc w:val="center"/>
        </w:trPr>
        <w:tc>
          <w:tcPr>
            <w:tcW w:w="1387" w:type="dxa"/>
            <w:vAlign w:val="center"/>
          </w:tcPr>
          <w:p w14:paraId="399D1F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投标人</w:t>
            </w:r>
          </w:p>
        </w:tc>
        <w:tc>
          <w:tcPr>
            <w:tcW w:w="7272" w:type="dxa"/>
            <w:gridSpan w:val="6"/>
            <w:vAlign w:val="center"/>
          </w:tcPr>
          <w:p w14:paraId="011B6A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512F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exact"/>
          <w:jc w:val="center"/>
        </w:trPr>
        <w:tc>
          <w:tcPr>
            <w:tcW w:w="1387" w:type="dxa"/>
            <w:vMerge w:val="restart"/>
            <w:vAlign w:val="center"/>
          </w:tcPr>
          <w:p w14:paraId="132931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项目经理</w:t>
            </w:r>
          </w:p>
        </w:tc>
        <w:tc>
          <w:tcPr>
            <w:tcW w:w="1711" w:type="dxa"/>
            <w:vMerge w:val="restart"/>
            <w:vAlign w:val="center"/>
          </w:tcPr>
          <w:p w14:paraId="7085AD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312" w:type="dxa"/>
            <w:gridSpan w:val="2"/>
            <w:vAlign w:val="center"/>
          </w:tcPr>
          <w:p w14:paraId="5985F9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级别</w:t>
            </w:r>
          </w:p>
        </w:tc>
        <w:tc>
          <w:tcPr>
            <w:tcW w:w="1288" w:type="dxa"/>
            <w:vAlign w:val="center"/>
          </w:tcPr>
          <w:p w14:paraId="1A1B95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862" w:type="dxa"/>
            <w:vAlign w:val="center"/>
          </w:tcPr>
          <w:p w14:paraId="68EC10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注册编号</w:t>
            </w:r>
          </w:p>
        </w:tc>
        <w:tc>
          <w:tcPr>
            <w:tcW w:w="2099" w:type="dxa"/>
            <w:vAlign w:val="center"/>
          </w:tcPr>
          <w:p w14:paraId="03D8071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2C29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exact"/>
          <w:jc w:val="center"/>
        </w:trPr>
        <w:tc>
          <w:tcPr>
            <w:tcW w:w="1387" w:type="dxa"/>
            <w:vMerge w:val="continue"/>
            <w:vAlign w:val="center"/>
          </w:tcPr>
          <w:p w14:paraId="190566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711" w:type="dxa"/>
            <w:vMerge w:val="continue"/>
            <w:vAlign w:val="center"/>
          </w:tcPr>
          <w:p w14:paraId="568D7F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312" w:type="dxa"/>
            <w:gridSpan w:val="2"/>
            <w:vAlign w:val="center"/>
          </w:tcPr>
          <w:p w14:paraId="6D7E95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身份证号</w:t>
            </w:r>
          </w:p>
        </w:tc>
        <w:tc>
          <w:tcPr>
            <w:tcW w:w="4249" w:type="dxa"/>
            <w:gridSpan w:val="3"/>
            <w:vAlign w:val="center"/>
          </w:tcPr>
          <w:p w14:paraId="6664040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032C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exact"/>
          <w:jc w:val="center"/>
        </w:trPr>
        <w:tc>
          <w:tcPr>
            <w:tcW w:w="3422" w:type="dxa"/>
            <w:gridSpan w:val="3"/>
            <w:vAlign w:val="center"/>
          </w:tcPr>
          <w:p w14:paraId="318C006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磋商内容</w:t>
            </w:r>
          </w:p>
        </w:tc>
        <w:tc>
          <w:tcPr>
            <w:tcW w:w="5237" w:type="dxa"/>
            <w:gridSpan w:val="4"/>
            <w:vAlign w:val="center"/>
          </w:tcPr>
          <w:p w14:paraId="6068BB9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5C44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3" w:hRule="exact"/>
          <w:jc w:val="center"/>
        </w:trPr>
        <w:tc>
          <w:tcPr>
            <w:tcW w:w="3422" w:type="dxa"/>
            <w:gridSpan w:val="3"/>
            <w:vAlign w:val="center"/>
          </w:tcPr>
          <w:p w14:paraId="1869A5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磋商报价</w:t>
            </w:r>
          </w:p>
        </w:tc>
        <w:tc>
          <w:tcPr>
            <w:tcW w:w="5237" w:type="dxa"/>
            <w:gridSpan w:val="4"/>
            <w:vAlign w:val="center"/>
          </w:tcPr>
          <w:p w14:paraId="14AB096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p>
          <w:p w14:paraId="74C642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（小写）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p>
        </w:tc>
      </w:tr>
      <w:tr w14:paraId="648E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jc w:val="center"/>
        </w:trPr>
        <w:tc>
          <w:tcPr>
            <w:tcW w:w="3422" w:type="dxa"/>
            <w:gridSpan w:val="3"/>
            <w:vAlign w:val="center"/>
          </w:tcPr>
          <w:p w14:paraId="25FC66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 xml:space="preserve">质量要求 </w:t>
            </w:r>
          </w:p>
        </w:tc>
        <w:tc>
          <w:tcPr>
            <w:tcW w:w="5237" w:type="dxa"/>
            <w:gridSpan w:val="4"/>
            <w:vAlign w:val="center"/>
          </w:tcPr>
          <w:p w14:paraId="76373D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7D56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3422" w:type="dxa"/>
            <w:gridSpan w:val="3"/>
            <w:vAlign w:val="center"/>
          </w:tcPr>
          <w:p w14:paraId="06EE6E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工期</w:t>
            </w:r>
          </w:p>
        </w:tc>
        <w:tc>
          <w:tcPr>
            <w:tcW w:w="5237" w:type="dxa"/>
            <w:gridSpan w:val="4"/>
            <w:vAlign w:val="center"/>
          </w:tcPr>
          <w:p w14:paraId="2AAADC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4CE7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5" w:hRule="atLeast"/>
          <w:jc w:val="center"/>
        </w:trPr>
        <w:tc>
          <w:tcPr>
            <w:tcW w:w="3422" w:type="dxa"/>
            <w:gridSpan w:val="3"/>
            <w:vAlign w:val="center"/>
          </w:tcPr>
          <w:p w14:paraId="038747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磋商有效期</w:t>
            </w:r>
          </w:p>
        </w:tc>
        <w:tc>
          <w:tcPr>
            <w:tcW w:w="5237" w:type="dxa"/>
            <w:gridSpan w:val="4"/>
            <w:vAlign w:val="center"/>
          </w:tcPr>
          <w:p w14:paraId="5AC71D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highlight w:val="none"/>
              </w:rPr>
            </w:pPr>
            <w:r>
              <w:rPr>
                <w:rFonts w:hint="eastAsia" w:ascii="宋体" w:hAnsi="宋体" w:cs="宋体"/>
                <w:sz w:val="24"/>
                <w:szCs w:val="24"/>
                <w:highlight w:val="none"/>
              </w:rPr>
              <w:t>响应文件递交截止之日起60日历天</w:t>
            </w:r>
          </w:p>
        </w:tc>
      </w:tr>
      <w:tr w14:paraId="189C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3422" w:type="dxa"/>
            <w:gridSpan w:val="3"/>
            <w:vAlign w:val="center"/>
          </w:tcPr>
          <w:p w14:paraId="15AA17C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其他说明</w:t>
            </w:r>
          </w:p>
        </w:tc>
        <w:tc>
          <w:tcPr>
            <w:tcW w:w="5237" w:type="dxa"/>
            <w:gridSpan w:val="4"/>
            <w:vAlign w:val="center"/>
          </w:tcPr>
          <w:p w14:paraId="273E90B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bl>
    <w:p w14:paraId="3B84FBD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69A5AAE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1ADFABA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6C649B41">
      <w:pPr>
        <w:pageBreakBefore w:val="0"/>
        <w:kinsoku/>
        <w:overflowPunct/>
        <w:topLinePunct w:val="0"/>
        <w:bidi w:val="0"/>
        <w:adjustRightInd w:val="0"/>
        <w:snapToGrid w:val="0"/>
        <w:spacing w:beforeAutospacing="0" w:afterAutospacing="0" w:line="360" w:lineRule="auto"/>
        <w:ind w:left="0" w:leftChars="0" w:right="0" w:rightChars="0" w:firstLine="3360" w:firstLineChars="1400"/>
        <w:outlineLvl w:val="9"/>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41F839A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7C7AE9C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（电子签章）</w:t>
      </w:r>
    </w:p>
    <w:p w14:paraId="57AB150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2EFD559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sz w:val="24"/>
          <w:highlight w:val="none"/>
        </w:rPr>
        <w:t xml:space="preserve">                                                     年    月    日</w:t>
      </w:r>
    </w:p>
    <w:p w14:paraId="6E6356B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94" w:name="_Toc23613"/>
      <w:r>
        <w:rPr>
          <w:rFonts w:hint="eastAsia" w:ascii="宋体" w:hAnsi="宋体" w:eastAsia="宋体" w:cs="宋体"/>
          <w:b/>
          <w:bCs/>
          <w:sz w:val="32"/>
          <w:szCs w:val="32"/>
          <w:highlight w:val="none"/>
        </w:rPr>
        <w:t>二、法定代表人身份证明及授权委托书</w:t>
      </w:r>
      <w:bookmarkEnd w:id="1087"/>
      <w:bookmarkEnd w:id="1088"/>
      <w:bookmarkEnd w:id="1094"/>
      <w:bookmarkStart w:id="1095" w:name="_Toc234382962"/>
      <w:bookmarkEnd w:id="1095"/>
      <w:bookmarkStart w:id="1096" w:name="_Toc387671317"/>
      <w:bookmarkEnd w:id="1096"/>
      <w:bookmarkStart w:id="1097" w:name="_Toc387669603"/>
      <w:bookmarkEnd w:id="1097"/>
      <w:bookmarkStart w:id="1098" w:name="_Toc387671679"/>
      <w:bookmarkEnd w:id="1098"/>
    </w:p>
    <w:p w14:paraId="7AC5951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（一）法定代表人身份证明</w:t>
      </w:r>
    </w:p>
    <w:p w14:paraId="73577AA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名称：</w:t>
      </w:r>
      <w:r>
        <w:rPr>
          <w:rFonts w:hint="eastAsia" w:ascii="宋体" w:hAnsi="宋体" w:eastAsia="宋体" w:cs="宋体"/>
          <w:sz w:val="24"/>
          <w:highlight w:val="none"/>
          <w:u w:val="single"/>
        </w:rPr>
        <w:t xml:space="preserve">                                 </w:t>
      </w:r>
    </w:p>
    <w:p w14:paraId="29F6FD7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单位性质：</w:t>
      </w:r>
      <w:r>
        <w:rPr>
          <w:rFonts w:hint="eastAsia" w:ascii="宋体" w:hAnsi="宋体" w:eastAsia="宋体" w:cs="宋体"/>
          <w:sz w:val="24"/>
          <w:highlight w:val="none"/>
          <w:u w:val="single"/>
        </w:rPr>
        <w:t xml:space="preserve">                                   </w:t>
      </w:r>
    </w:p>
    <w:p w14:paraId="3C521D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地    址：</w:t>
      </w:r>
      <w:r>
        <w:rPr>
          <w:rFonts w:hint="eastAsia" w:ascii="宋体" w:hAnsi="宋体" w:eastAsia="宋体" w:cs="宋体"/>
          <w:sz w:val="24"/>
          <w:highlight w:val="none"/>
          <w:u w:val="single"/>
        </w:rPr>
        <w:t xml:space="preserve">                                   </w:t>
      </w:r>
    </w:p>
    <w:p w14:paraId="01A1BA6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成立时间：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70C1CF2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经营期限：</w:t>
      </w:r>
      <w:r>
        <w:rPr>
          <w:rFonts w:hint="eastAsia" w:ascii="宋体" w:hAnsi="宋体" w:eastAsia="宋体" w:cs="宋体"/>
          <w:sz w:val="24"/>
          <w:highlight w:val="none"/>
          <w:u w:val="single"/>
        </w:rPr>
        <w:t xml:space="preserve">                                 </w:t>
      </w:r>
    </w:p>
    <w:p w14:paraId="7925748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姓名：</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性别：</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职务：</w:t>
      </w:r>
      <w:r>
        <w:rPr>
          <w:rFonts w:hint="eastAsia" w:ascii="宋体" w:hAnsi="宋体" w:eastAsia="宋体" w:cs="宋体"/>
          <w:sz w:val="24"/>
          <w:highlight w:val="none"/>
          <w:u w:val="single"/>
        </w:rPr>
        <w:t xml:space="preserve">      </w:t>
      </w:r>
    </w:p>
    <w:p w14:paraId="47B74AB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系</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单位名称）的法定代表人。</w:t>
      </w:r>
    </w:p>
    <w:p w14:paraId="147FBE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特此证明。</w:t>
      </w:r>
    </w:p>
    <w:p w14:paraId="41DECBE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3ED631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附：法定代表人身份证复印件</w:t>
      </w:r>
    </w:p>
    <w:p w14:paraId="1E26AD4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241BE06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3D7ABA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outlineLvl w:val="9"/>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54FFC513">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highlight w:val="none"/>
        </w:rPr>
      </w:pPr>
    </w:p>
    <w:p w14:paraId="4B0570B2">
      <w:pPr>
        <w:pStyle w:val="7"/>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right"/>
        <w:outlineLvl w:val="9"/>
        <w:rPr>
          <w:rFonts w:hint="eastAsia" w:ascii="宋体" w:hAnsi="宋体" w:eastAsia="宋体" w:cs="宋体"/>
          <w:kern w:val="2"/>
          <w:szCs w:val="22"/>
          <w:highlight w:val="none"/>
        </w:rPr>
      </w:pPr>
      <w:r>
        <w:rPr>
          <w:rFonts w:hint="eastAsia" w:ascii="宋体" w:hAnsi="宋体" w:eastAsia="宋体" w:cs="宋体"/>
          <w:highlight w:val="none"/>
        </w:rPr>
        <w:t xml:space="preserve">     </w:t>
      </w:r>
      <w:r>
        <w:rPr>
          <w:rFonts w:hint="eastAsia" w:ascii="宋体" w:hAnsi="宋体" w:eastAsia="宋体" w:cs="宋体"/>
          <w:highlight w:val="none"/>
          <w:u w:val="single"/>
        </w:rPr>
        <w:t xml:space="preserve"> </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年</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月</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日</w:t>
      </w:r>
    </w:p>
    <w:p w14:paraId="5B8E127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5B24714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0C665C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42D7762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31D078C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1AD114C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026663E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7FB96C19">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kern w:val="44"/>
          <w:sz w:val="24"/>
          <w:szCs w:val="24"/>
          <w:highlight w:val="none"/>
        </w:rPr>
      </w:pPr>
      <w:bookmarkStart w:id="1099" w:name="_Toc2342"/>
      <w:bookmarkStart w:id="1100" w:name="_Toc5803"/>
      <w:r>
        <w:rPr>
          <w:rFonts w:hint="eastAsia" w:ascii="宋体" w:hAnsi="宋体" w:eastAsia="宋体" w:cs="宋体"/>
          <w:b/>
          <w:bCs/>
          <w:kern w:val="44"/>
          <w:sz w:val="24"/>
          <w:szCs w:val="24"/>
          <w:highlight w:val="none"/>
        </w:rPr>
        <w:br w:type="page"/>
      </w:r>
    </w:p>
    <w:p w14:paraId="48C1F55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（二）授权委托书</w:t>
      </w:r>
      <w:bookmarkEnd w:id="1099"/>
      <w:bookmarkEnd w:id="1100"/>
    </w:p>
    <w:p w14:paraId="4EA8647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5CEB5719">
      <w:pPr>
        <w:pageBreakBefore w:val="0"/>
        <w:kinsoku/>
        <w:overflowPunct/>
        <w:topLinePunct w:val="0"/>
        <w:bidi w:val="0"/>
        <w:adjustRightInd w:val="0"/>
        <w:snapToGrid w:val="0"/>
        <w:spacing w:beforeAutospacing="0" w:afterAutospacing="0" w:line="360" w:lineRule="auto"/>
        <w:ind w:left="0" w:leftChars="0" w:right="0" w:rightChars="0" w:firstLine="480" w:firstLineChars="200"/>
        <w:outlineLvl w:val="9"/>
        <w:rPr>
          <w:rFonts w:hint="eastAsia" w:ascii="宋体" w:hAnsi="宋体" w:eastAsia="宋体" w:cs="宋体"/>
          <w:bCs/>
          <w:sz w:val="24"/>
          <w:highlight w:val="none"/>
        </w:rPr>
      </w:pPr>
      <w:bookmarkStart w:id="1101" w:name="_Toc69718843"/>
      <w:bookmarkEnd w:id="1101"/>
      <w:bookmarkStart w:id="1102" w:name="_Toc21259"/>
      <w:bookmarkStart w:id="1103" w:name="_Toc25646"/>
      <w:r>
        <w:rPr>
          <w:rFonts w:hint="eastAsia" w:ascii="宋体" w:hAnsi="宋体" w:eastAsia="宋体" w:cs="宋体"/>
          <w:bCs/>
          <w:sz w:val="24"/>
          <w:highlight w:val="none"/>
        </w:rPr>
        <w:t>本人</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（姓名）系</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名称）的法定代表人，现委托</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（姓名）为我方代理人。代理人根据授权，以我方名义签署、澄清、说明、补正、递交、撤回、修改</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u w:val="single"/>
          <w:lang w:val="en-US" w:eastAsia="zh-CN"/>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（项目名称）响应文件、签订合同和处理有关事宜，其法律后果由我方承担。</w:t>
      </w:r>
    </w:p>
    <w:p w14:paraId="5FF5E7B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委托期限：</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p>
    <w:p w14:paraId="7A44A87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代理人无转委托权。 </w:t>
      </w:r>
    </w:p>
    <w:p w14:paraId="56F5271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B670BE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3C5364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45EDD7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0C96D5F">
      <w:pPr>
        <w:pageBreakBefore w:val="0"/>
        <w:kinsoku/>
        <w:overflowPunct/>
        <w:topLinePunct w:val="0"/>
        <w:bidi w:val="0"/>
        <w:adjustRightInd w:val="0"/>
        <w:snapToGrid w:val="0"/>
        <w:spacing w:beforeAutospacing="0" w:afterAutospacing="0" w:line="360" w:lineRule="auto"/>
        <w:ind w:left="0" w:leftChars="0" w:right="0" w:rightChars="0" w:firstLine="4080" w:firstLineChars="1700"/>
        <w:jc w:val="both"/>
        <w:outlineLvl w:val="9"/>
        <w:rPr>
          <w:rFonts w:hint="eastAsia" w:ascii="宋体" w:hAnsi="宋体" w:eastAsia="宋体" w:cs="宋体"/>
          <w:bCs/>
          <w:sz w:val="24"/>
          <w:highlight w:val="none"/>
        </w:rPr>
      </w:pP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u w:val="single"/>
          <w:lang w:val="en-US" w:eastAsia="zh-CN"/>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r>
        <w:rPr>
          <w:rFonts w:hint="eastAsia" w:ascii="宋体" w:hAnsi="宋体" w:eastAsia="宋体" w:cs="宋体"/>
          <w:bCs/>
          <w:sz w:val="24"/>
          <w:highlight w:val="none"/>
          <w:lang w:eastAsia="zh-CN"/>
        </w:rPr>
        <w:t>公章电子签章</w:t>
      </w:r>
      <w:r>
        <w:rPr>
          <w:rFonts w:hint="eastAsia" w:ascii="宋体" w:hAnsi="宋体" w:eastAsia="宋体" w:cs="宋体"/>
          <w:bCs/>
          <w:sz w:val="24"/>
          <w:highlight w:val="none"/>
        </w:rPr>
        <w:t xml:space="preserve">） </w:t>
      </w:r>
    </w:p>
    <w:p w14:paraId="31705BFA">
      <w:pPr>
        <w:pageBreakBefore w:val="0"/>
        <w:kinsoku/>
        <w:overflowPunct/>
        <w:topLinePunct w:val="0"/>
        <w:bidi w:val="0"/>
        <w:adjustRightInd w:val="0"/>
        <w:snapToGrid w:val="0"/>
        <w:spacing w:beforeAutospacing="0" w:afterAutospacing="0" w:line="360" w:lineRule="auto"/>
        <w:ind w:left="0" w:leftChars="0" w:right="0" w:rightChars="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w:t>
      </w:r>
    </w:p>
    <w:p w14:paraId="75B01E75">
      <w:pPr>
        <w:pageBreakBefore w:val="0"/>
        <w:tabs>
          <w:tab w:val="left" w:pos="6510"/>
        </w:tabs>
        <w:kinsoku/>
        <w:overflowPunct/>
        <w:topLinePunct w:val="0"/>
        <w:bidi w:val="0"/>
        <w:adjustRightInd w:val="0"/>
        <w:snapToGrid w:val="0"/>
        <w:spacing w:beforeAutospacing="0" w:afterAutospacing="0" w:line="360" w:lineRule="auto"/>
        <w:ind w:right="0" w:rightChars="0" w:firstLine="4320" w:firstLineChars="1800"/>
        <w:jc w:val="left"/>
        <w:outlineLvl w:val="9"/>
        <w:rPr>
          <w:rFonts w:hint="eastAsia" w:ascii="宋体" w:hAnsi="宋体" w:eastAsia="宋体" w:cs="宋体"/>
          <w:sz w:val="24"/>
          <w:highlight w:val="none"/>
        </w:rPr>
      </w:pPr>
      <w:r>
        <w:rPr>
          <w:rFonts w:hint="eastAsia" w:ascii="宋体" w:hAnsi="宋体" w:eastAsia="宋体" w:cs="宋体"/>
          <w:color w:val="auto"/>
          <w:sz w:val="24"/>
          <w:highlight w:val="none"/>
          <w:lang w:val="en-US" w:eastAsia="zh-CN"/>
        </w:rPr>
        <w:t>时间：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年     月  </w:t>
      </w:r>
      <w:r>
        <w:rPr>
          <w:rFonts w:hint="eastAsia" w:ascii="宋体" w:hAnsi="宋体" w:eastAsia="宋体" w:cs="宋体"/>
          <w:color w:val="auto"/>
          <w:sz w:val="24"/>
          <w:highlight w:val="none"/>
          <w:u w:val="single"/>
          <w:lang w:val="en-US" w:eastAsia="zh-CN"/>
        </w:rPr>
        <w:t xml:space="preserve">  日</w:t>
      </w:r>
      <w:r>
        <w:rPr>
          <w:rFonts w:hint="eastAsia" w:ascii="宋体" w:hAnsi="宋体" w:eastAsia="宋体" w:cs="宋体"/>
          <w:color w:val="auto"/>
          <w:sz w:val="24"/>
          <w:highlight w:val="none"/>
        </w:rPr>
        <w:t xml:space="preserve"> </w:t>
      </w:r>
    </w:p>
    <w:p w14:paraId="5A72889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u w:val="single"/>
        </w:rPr>
      </w:pPr>
    </w:p>
    <w:p w14:paraId="36E982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p>
    <w:p w14:paraId="0020E2F7">
      <w:pPr>
        <w:pageBreakBefore w:val="0"/>
        <w:tabs>
          <w:tab w:val="left" w:pos="6510"/>
        </w:tabs>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color w:val="auto"/>
          <w:sz w:val="24"/>
          <w:highlight w:val="none"/>
        </w:rPr>
        <w:t xml:space="preserve"> </w:t>
      </w:r>
    </w:p>
    <w:p w14:paraId="5C2635B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p>
    <w:p w14:paraId="44D950F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104" w:name="_Toc7558"/>
      <w:r>
        <w:rPr>
          <w:rFonts w:hint="eastAsia" w:ascii="宋体" w:hAnsi="宋体" w:eastAsia="宋体" w:cs="宋体"/>
          <w:b/>
          <w:bCs/>
          <w:sz w:val="32"/>
          <w:szCs w:val="32"/>
          <w:highlight w:val="none"/>
        </w:rPr>
        <w:t>三</w:t>
      </w:r>
      <w:bookmarkEnd w:id="1102"/>
      <w:bookmarkEnd w:id="1103"/>
      <w:r>
        <w:rPr>
          <w:rFonts w:hint="eastAsia" w:ascii="宋体" w:hAnsi="宋体" w:eastAsia="宋体" w:cs="宋体"/>
          <w:b/>
          <w:bCs/>
          <w:sz w:val="32"/>
          <w:szCs w:val="32"/>
          <w:highlight w:val="none"/>
          <w:lang w:eastAsia="zh-CN"/>
        </w:rPr>
        <w:t>、</w:t>
      </w:r>
      <w:r>
        <w:rPr>
          <w:rFonts w:hint="eastAsia" w:ascii="宋体" w:hAnsi="宋体" w:eastAsia="宋体" w:cs="宋体"/>
          <w:b/>
          <w:bCs/>
          <w:sz w:val="32"/>
          <w:szCs w:val="32"/>
          <w:highlight w:val="none"/>
        </w:rPr>
        <w:t>磋商承诺函</w:t>
      </w:r>
      <w:bookmarkEnd w:id="1104"/>
    </w:p>
    <w:p w14:paraId="239B697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b/>
          <w:sz w:val="24"/>
          <w:highlight w:val="none"/>
        </w:rPr>
        <w:t>致：</w:t>
      </w:r>
      <w:r>
        <w:rPr>
          <w:rFonts w:hint="eastAsia" w:ascii="宋体" w:hAnsi="宋体" w:eastAsia="宋体" w:cs="宋体"/>
          <w:b/>
          <w:sz w:val="24"/>
          <w:highlight w:val="none"/>
          <w:u w:val="single"/>
        </w:rPr>
        <w:t xml:space="preserve"> （</w:t>
      </w:r>
      <w:r>
        <w:rPr>
          <w:rFonts w:hint="eastAsia" w:ascii="宋体" w:hAnsi="宋体" w:eastAsia="宋体" w:cs="宋体"/>
          <w:b/>
          <w:sz w:val="24"/>
          <w:highlight w:val="none"/>
          <w:u w:val="single"/>
          <w:lang w:eastAsia="zh-CN"/>
        </w:rPr>
        <w:t>招标人</w:t>
      </w:r>
      <w:r>
        <w:rPr>
          <w:rFonts w:hint="eastAsia" w:ascii="宋体" w:hAnsi="宋体" w:eastAsia="宋体" w:cs="宋体"/>
          <w:b/>
          <w:sz w:val="24"/>
          <w:highlight w:val="none"/>
          <w:u w:val="single"/>
        </w:rPr>
        <w:t xml:space="preserve">及采购代理机构） </w:t>
      </w:r>
    </w:p>
    <w:p w14:paraId="69FBC57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我公司作为本次采购项目的</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，根据竞争性磋商文件要求，现郑重承诺如下：</w:t>
      </w:r>
    </w:p>
    <w:p w14:paraId="0B0E9ED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一、具备《中华人民共和国政府采购法》第二十二条第一款和本项目规定的条件：</w:t>
      </w:r>
    </w:p>
    <w:p w14:paraId="1B7E91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（一）具有独立承担民事责任的能力； </w:t>
      </w:r>
    </w:p>
    <w:p w14:paraId="2811DF3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（二）具有良好的商业信誉和健全的财务会计制度； </w:t>
      </w:r>
    </w:p>
    <w:p w14:paraId="7CBE800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（三）具有履行合同所必需的设备和专业技术能力； </w:t>
      </w:r>
    </w:p>
    <w:p w14:paraId="5BD94E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（四）有依法缴纳税收和社会保障资金的良好记录； </w:t>
      </w:r>
    </w:p>
    <w:p w14:paraId="2B6E8DA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（五）参加政府采购活动前三年内，在经营活动中没有重大违法记录； </w:t>
      </w:r>
    </w:p>
    <w:p w14:paraId="146A4F0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（六）法律、行政法规规定的其他条件； </w:t>
      </w:r>
    </w:p>
    <w:p w14:paraId="442F912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（七）根据采购项目提出的特殊条件。 </w:t>
      </w:r>
    </w:p>
    <w:p w14:paraId="40FC016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二、完全接受和满足本项目竞争性磋商文件中规定的实质性要求，如对竞争性磋商文件有异议，已经在磋商截止时间届满前依法进行维权，不存在对竞争性磋商文件有异议的同时又参加竞争性磋商以求侥幸成交或者为实现其他非法目的的行为。</w:t>
      </w:r>
    </w:p>
    <w:p w14:paraId="414D5DA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三、参加本次项目，不存在与单位负责人为同一人或者存在直接控股、管理关系的其他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参与同一合同项下的政府采购活动的行为。 </w:t>
      </w:r>
    </w:p>
    <w:p w14:paraId="3134A12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四、参加本次项目，不存在为本项目提供整体设计、规范编制或者项目管理、监理、检测等服务的行为。</w:t>
      </w:r>
    </w:p>
    <w:p w14:paraId="080CC35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五、参加本次项目，不存在和其他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在同一合同项下的采购项目中，同时委托同一个自然人、同一家庭的人员、同一单位的人员作为代理人的行为。 </w:t>
      </w:r>
    </w:p>
    <w:p w14:paraId="6A9210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六、参加本次政府采购活动要求在近三年内</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和其法定代表人没有行贿犯罪行为。 </w:t>
      </w:r>
    </w:p>
    <w:p w14:paraId="1036521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七、参加本次项目，不存在联合体磋商。 </w:t>
      </w:r>
    </w:p>
    <w:p w14:paraId="7552967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b/>
          <w:sz w:val="24"/>
          <w:highlight w:val="none"/>
        </w:rPr>
        <w:t xml:space="preserve">八、存在以下行为之一的愿意接受相关部门的处理： </w:t>
      </w:r>
    </w:p>
    <w:p w14:paraId="07956E9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（一）磋商有效期内撤销响应文件的； </w:t>
      </w:r>
    </w:p>
    <w:p w14:paraId="2ABCF40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（二）在</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 xml:space="preserve">确定成交人以前放弃成交候选资格的； </w:t>
      </w:r>
    </w:p>
    <w:p w14:paraId="182C802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（三）由于成交人的原因未能按照竞争性磋商文件的规定与</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签订合同；</w:t>
      </w:r>
    </w:p>
    <w:p w14:paraId="219FA28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（四）由于成交人的原因未能按照竞争性磋商文件的规定交纳履约担保； </w:t>
      </w:r>
    </w:p>
    <w:p w14:paraId="4B25EA3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（五）在响应文件中提供虚假材料谋取成交的； </w:t>
      </w:r>
    </w:p>
    <w:p w14:paraId="7CC84A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（六）与</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或者采购代理机构恶意串通的； </w:t>
      </w:r>
    </w:p>
    <w:p w14:paraId="6A0E860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（七）磋商有效期内，</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在政府采购活动中有违法、违规、违纪行为。 </w:t>
      </w:r>
    </w:p>
    <w:p w14:paraId="23CF148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由此产生的一切法律后果和责任由我公司承担。我公司声明放弃对此提出任何异议和追索的权利。 </w:t>
      </w:r>
    </w:p>
    <w:p w14:paraId="3A0F343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本公司对上述承诺的内容事项真实性负责。如经查实上述承诺的内容事项存在虚假，我公司愿意接受以提供虚假材料谋取中标追究法律责任。</w:t>
      </w:r>
    </w:p>
    <w:p w14:paraId="6664872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lang w:eastAsia="zh-CN"/>
        </w:rPr>
      </w:pPr>
    </w:p>
    <w:p w14:paraId="2E23060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pPr>
    </w:p>
    <w:p w14:paraId="6E732D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3B560F4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pPr>
    </w:p>
    <w:p w14:paraId="50F060FB">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center"/>
        <w:outlineLvl w:val="9"/>
        <w:rPr>
          <w:rFonts w:hint="eastAsia" w:ascii="宋体" w:hAnsi="宋体" w:eastAsia="宋体" w:cs="宋体"/>
          <w:highlight w:val="none"/>
        </w:rPr>
      </w:pPr>
      <w:r>
        <w:rPr>
          <w:rFonts w:hint="eastAsia" w:ascii="宋体" w:hAnsi="宋体" w:eastAsia="宋体" w:cs="宋体"/>
          <w:bCs/>
          <w:highlight w:val="none"/>
        </w:rPr>
        <w:t xml:space="preserve">                         法定代表人：</w:t>
      </w:r>
      <w:r>
        <w:rPr>
          <w:rFonts w:hint="eastAsia" w:ascii="宋体" w:hAnsi="宋体" w:eastAsia="宋体" w:cs="宋体"/>
          <w:bCs/>
          <w:highlight w:val="none"/>
          <w:u w:val="single"/>
        </w:rPr>
        <w:t xml:space="preserve">                  </w:t>
      </w:r>
      <w:r>
        <w:rPr>
          <w:rFonts w:hint="eastAsia" w:ascii="宋体" w:hAnsi="宋体" w:eastAsia="宋体" w:cs="宋体"/>
          <w:color w:val="000000"/>
          <w:sz w:val="24"/>
          <w:highlight w:val="none"/>
          <w:lang w:bidi="ar"/>
        </w:rPr>
        <w:t>（</w:t>
      </w:r>
      <w:r>
        <w:rPr>
          <w:rFonts w:hint="eastAsia" w:ascii="宋体" w:hAnsi="宋体" w:eastAsia="宋体" w:cs="宋体"/>
          <w:sz w:val="24"/>
          <w:highlight w:val="none"/>
        </w:rPr>
        <w:t>电子签章</w:t>
      </w:r>
      <w:r>
        <w:rPr>
          <w:rFonts w:hint="eastAsia" w:ascii="宋体" w:hAnsi="宋体" w:eastAsia="宋体" w:cs="宋体"/>
          <w:color w:val="000000"/>
          <w:sz w:val="24"/>
          <w:highlight w:val="none"/>
          <w:lang w:bidi="ar"/>
        </w:rPr>
        <w:t>）</w:t>
      </w:r>
    </w:p>
    <w:p w14:paraId="4BFDC6D8">
      <w:pPr>
        <w:pStyle w:val="7"/>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right"/>
        <w:outlineLvl w:val="9"/>
        <w:rPr>
          <w:rFonts w:hint="eastAsia" w:ascii="宋体" w:hAnsi="宋体" w:eastAsia="宋体" w:cs="宋体"/>
          <w:kern w:val="2"/>
          <w:szCs w:val="22"/>
          <w:highlight w:val="none"/>
        </w:rPr>
      </w:pPr>
      <w:r>
        <w:rPr>
          <w:rFonts w:hint="eastAsia" w:ascii="宋体" w:hAnsi="宋体" w:eastAsia="宋体" w:cs="宋体"/>
          <w:highlight w:val="none"/>
        </w:rPr>
        <w:t xml:space="preserve">     </w:t>
      </w:r>
      <w:r>
        <w:rPr>
          <w:rFonts w:hint="eastAsia" w:ascii="宋体" w:hAnsi="宋体" w:eastAsia="宋体" w:cs="宋体"/>
          <w:highlight w:val="none"/>
          <w:u w:val="single"/>
        </w:rPr>
        <w:t xml:space="preserve"> </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年</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月</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日</w:t>
      </w:r>
    </w:p>
    <w:p w14:paraId="5E6D7FF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7409520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4F4D3D4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54A0364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51DA3ED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333A0A94">
      <w:pPr>
        <w:pStyle w:val="21"/>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5BAC9FB5">
      <w:pPr>
        <w:pStyle w:val="22"/>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36EC4B86">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B8BB04A">
      <w:pPr>
        <w:pStyle w:val="21"/>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2EB2F49A">
      <w:pPr>
        <w:pStyle w:val="22"/>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7DA95584">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7344D31">
      <w:pPr>
        <w:pStyle w:val="21"/>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475145D9">
      <w:pPr>
        <w:pStyle w:val="22"/>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6FFD5C23">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2C64ADD">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3047C4EF">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27DEA289">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7F8899DB">
      <w:pPr>
        <w:pStyle w:val="21"/>
        <w:pageBreakBefore w:val="0"/>
        <w:kinsoku/>
        <w:overflowPunct/>
        <w:topLinePunct w:val="0"/>
        <w:bidi w:val="0"/>
        <w:adjustRightInd w:val="0"/>
        <w:snapToGrid w:val="0"/>
        <w:spacing w:after="0" w:line="360" w:lineRule="auto"/>
        <w:rPr>
          <w:rFonts w:hint="eastAsia"/>
          <w:highlight w:val="none"/>
        </w:rPr>
      </w:pPr>
    </w:p>
    <w:p w14:paraId="37E7ACA1">
      <w:pPr>
        <w:pStyle w:val="22"/>
        <w:rPr>
          <w:rFonts w:hint="eastAsia"/>
          <w:highlight w:val="none"/>
        </w:rPr>
      </w:pPr>
    </w:p>
    <w:p w14:paraId="4AC40931">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bookmarkStart w:id="1105" w:name="_Toc3405"/>
      <w:bookmarkStart w:id="1106" w:name="_Toc2430"/>
      <w:r>
        <w:rPr>
          <w:rFonts w:hint="eastAsia"/>
          <w:highlight w:val="none"/>
          <w:lang w:val="en-US" w:eastAsia="zh-CN"/>
        </w:rPr>
        <w:tab/>
      </w:r>
      <w:bookmarkStart w:id="1107" w:name="_Toc8732"/>
      <w:r>
        <w:rPr>
          <w:rFonts w:hint="eastAsia" w:ascii="宋体" w:hAnsi="宋体" w:eastAsia="宋体" w:cs="宋体"/>
          <w:b/>
          <w:bCs/>
          <w:sz w:val="32"/>
          <w:szCs w:val="32"/>
          <w:highlight w:val="none"/>
          <w:lang w:eastAsia="zh-CN"/>
        </w:rPr>
        <w:t>四、</w:t>
      </w:r>
      <w:r>
        <w:rPr>
          <w:rFonts w:hint="eastAsia" w:ascii="宋体" w:hAnsi="宋体" w:eastAsia="宋体" w:cs="宋体"/>
          <w:b/>
          <w:bCs/>
          <w:sz w:val="32"/>
          <w:szCs w:val="32"/>
          <w:highlight w:val="none"/>
        </w:rPr>
        <w:t>已标价工程量清单</w:t>
      </w:r>
      <w:bookmarkEnd w:id="1105"/>
      <w:bookmarkEnd w:id="1106"/>
      <w:bookmarkEnd w:id="1107"/>
    </w:p>
    <w:p w14:paraId="6541FC8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2A84A9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9CF16E8">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E1AE3F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BC0E794">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0AE95046">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3BFBF5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8F9F86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007C079">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377C2825">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388787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00D3385A">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089048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273768E">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EAD8FC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803682D">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D819BEE">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460B2F6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50733A4">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5F250DD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lang w:eastAsia="zh-CN"/>
        </w:rPr>
      </w:pPr>
      <w:bookmarkStart w:id="1108" w:name="_Toc1884"/>
      <w:bookmarkStart w:id="1109" w:name="_Toc23480"/>
      <w:bookmarkStart w:id="1110" w:name="_Toc10314"/>
      <w:bookmarkStart w:id="1111" w:name="_Toc479320260"/>
      <w:r>
        <w:rPr>
          <w:rFonts w:hint="eastAsia" w:ascii="宋体" w:hAnsi="宋体" w:eastAsia="宋体" w:cs="宋体"/>
          <w:b/>
          <w:bCs/>
          <w:caps w:val="0"/>
          <w:snapToGrid w:val="0"/>
          <w:color w:val="auto"/>
          <w:sz w:val="32"/>
          <w:szCs w:val="32"/>
          <w:highlight w:val="none"/>
          <w:lang w:val="en-US" w:eastAsia="zh-CN"/>
        </w:rPr>
        <w:t>五</w:t>
      </w:r>
      <w:r>
        <w:rPr>
          <w:rFonts w:hint="eastAsia" w:ascii="宋体" w:hAnsi="宋体" w:eastAsia="宋体" w:cs="宋体"/>
          <w:b/>
          <w:bCs/>
          <w:caps w:val="0"/>
          <w:snapToGrid w:val="0"/>
          <w:color w:val="auto"/>
          <w:sz w:val="32"/>
          <w:szCs w:val="32"/>
          <w:highlight w:val="none"/>
        </w:rPr>
        <w:t>、</w:t>
      </w:r>
      <w:r>
        <w:rPr>
          <w:rFonts w:hint="eastAsia" w:ascii="宋体" w:hAnsi="宋体" w:eastAsia="宋体" w:cs="宋体"/>
          <w:b/>
          <w:bCs/>
          <w:sz w:val="32"/>
          <w:szCs w:val="32"/>
          <w:highlight w:val="none"/>
          <w:lang w:eastAsia="zh-CN"/>
        </w:rPr>
        <w:t>施工组织设计</w:t>
      </w:r>
      <w:bookmarkEnd w:id="1108"/>
      <w:bookmarkEnd w:id="1109"/>
      <w:bookmarkEnd w:id="1110"/>
      <w:bookmarkEnd w:id="1111"/>
    </w:p>
    <w:p w14:paraId="4BF6EDAD">
      <w:pPr>
        <w:pageBreakBefore w:val="0"/>
        <w:numPr>
          <w:ilvl w:val="0"/>
          <w:numId w:val="0"/>
        </w:numPr>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snapToGrid w:val="0"/>
          <w:color w:val="auto"/>
          <w:sz w:val="24"/>
          <w:szCs w:val="24"/>
          <w:highlight w:val="none"/>
        </w:rPr>
      </w:pPr>
      <w:r>
        <w:rPr>
          <w:rFonts w:hint="eastAsia" w:ascii="宋体" w:hAnsi="宋体" w:eastAsia="宋体" w:cs="宋体"/>
          <w:caps w:val="0"/>
          <w:snapToGrid w:val="0"/>
          <w:color w:val="auto"/>
          <w:sz w:val="24"/>
          <w:szCs w:val="24"/>
          <w:highlight w:val="none"/>
        </w:rPr>
        <w:t>1．结合工程特点提出切实可行的工程质量、安全生产、文明施工、工程进度、技术组织措施，同时应对关键工序、复杂环节重点提出相应技术措施，如雨季施工技术、减少噪音、降低环境污染、地下管线及其他地上地下设施的保护加固措施等。</w:t>
      </w:r>
    </w:p>
    <w:p w14:paraId="364AE360">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snapToGrid w:val="0"/>
          <w:color w:val="auto"/>
          <w:sz w:val="24"/>
          <w:szCs w:val="24"/>
          <w:highlight w:val="none"/>
        </w:rPr>
      </w:pPr>
      <w:r>
        <w:rPr>
          <w:rFonts w:hint="eastAsia" w:ascii="宋体" w:hAnsi="宋体" w:eastAsia="宋体" w:cs="宋体"/>
          <w:caps w:val="0"/>
          <w:snapToGrid w:val="0"/>
          <w:color w:val="auto"/>
          <w:sz w:val="24"/>
          <w:szCs w:val="24"/>
          <w:highlight w:val="none"/>
        </w:rPr>
        <w:t>2． 投标人应递交施工进度网络图或施工进度表，说明按</w:t>
      </w:r>
      <w:r>
        <w:rPr>
          <w:rFonts w:hint="eastAsia" w:ascii="宋体" w:hAnsi="宋体" w:cs="宋体"/>
          <w:caps w:val="0"/>
          <w:snapToGrid w:val="0"/>
          <w:color w:val="auto"/>
          <w:sz w:val="24"/>
          <w:szCs w:val="24"/>
          <w:highlight w:val="none"/>
          <w:lang w:val="en-US" w:eastAsia="zh-CN"/>
        </w:rPr>
        <w:t>磋商</w:t>
      </w:r>
      <w:r>
        <w:rPr>
          <w:rFonts w:hint="eastAsia" w:ascii="宋体" w:hAnsi="宋体" w:eastAsia="宋体" w:cs="宋体"/>
          <w:caps w:val="0"/>
          <w:snapToGrid w:val="0"/>
          <w:color w:val="auto"/>
          <w:sz w:val="24"/>
          <w:szCs w:val="24"/>
          <w:highlight w:val="none"/>
        </w:rPr>
        <w:t>文件要求的计划工期进行施工的各个关键日期，施工进度表可采用网络图（或横道图）表示。</w:t>
      </w:r>
    </w:p>
    <w:p w14:paraId="4DEB4C2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ascii="宋体" w:hAnsi="宋体" w:eastAsia="宋体"/>
          <w:sz w:val="24"/>
          <w:szCs w:val="24"/>
          <w:highlight w:val="none"/>
        </w:rPr>
      </w:pPr>
      <w:r>
        <w:rPr>
          <w:rFonts w:hint="eastAsia" w:ascii="宋体" w:hAnsi="宋体" w:eastAsia="宋体"/>
          <w:sz w:val="24"/>
          <w:szCs w:val="24"/>
          <w:highlight w:val="none"/>
          <w:lang w:val="en-US" w:eastAsia="zh-CN"/>
        </w:rPr>
        <w:t>3</w:t>
      </w:r>
      <w:r>
        <w:rPr>
          <w:rFonts w:hint="eastAsia" w:ascii="宋体" w:hAnsi="宋体" w:eastAsia="宋体"/>
          <w:sz w:val="24"/>
          <w:szCs w:val="24"/>
          <w:highlight w:val="none"/>
        </w:rPr>
        <w:t>．施工组织设计除采用文字表述外可附下列图表，图表及格式要求附后</w:t>
      </w:r>
    </w:p>
    <w:p w14:paraId="340389A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ascii="宋体" w:hAnsi="宋体" w:eastAsia="宋体"/>
          <w:sz w:val="24"/>
          <w:szCs w:val="24"/>
          <w:highlight w:val="none"/>
        </w:rPr>
      </w:pPr>
      <w:r>
        <w:rPr>
          <w:rFonts w:hint="eastAsia" w:ascii="宋体" w:hAnsi="宋体" w:eastAsia="宋体"/>
          <w:sz w:val="24"/>
          <w:szCs w:val="24"/>
          <w:highlight w:val="none"/>
        </w:rPr>
        <w:t>附表一  拟投入本工程的主要施工设备表</w:t>
      </w:r>
    </w:p>
    <w:p w14:paraId="66718B1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ascii="宋体" w:hAnsi="宋体" w:eastAsia="宋体"/>
          <w:sz w:val="24"/>
          <w:szCs w:val="24"/>
          <w:highlight w:val="none"/>
        </w:rPr>
      </w:pPr>
      <w:r>
        <w:rPr>
          <w:rFonts w:hint="eastAsia" w:ascii="宋体" w:hAnsi="宋体" w:eastAsia="宋体"/>
          <w:sz w:val="24"/>
          <w:szCs w:val="24"/>
          <w:highlight w:val="none"/>
        </w:rPr>
        <w:t>附表二  拟配备本工程的试验和检测仪器设备表</w:t>
      </w:r>
    </w:p>
    <w:p w14:paraId="45C6711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ascii="宋体" w:hAnsi="宋体" w:eastAsia="宋体"/>
          <w:sz w:val="24"/>
          <w:szCs w:val="24"/>
          <w:highlight w:val="none"/>
        </w:rPr>
      </w:pPr>
      <w:r>
        <w:rPr>
          <w:rFonts w:hint="eastAsia" w:ascii="宋体" w:hAnsi="宋体" w:eastAsia="宋体"/>
          <w:sz w:val="24"/>
          <w:szCs w:val="24"/>
          <w:highlight w:val="none"/>
        </w:rPr>
        <w:t>附表三  劳动力计划表</w:t>
      </w:r>
    </w:p>
    <w:p w14:paraId="0ABE3A9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ascii="宋体" w:hAnsi="宋体" w:eastAsia="宋体"/>
          <w:sz w:val="24"/>
          <w:szCs w:val="24"/>
          <w:highlight w:val="none"/>
        </w:rPr>
      </w:pPr>
      <w:r>
        <w:rPr>
          <w:rFonts w:hint="eastAsia" w:ascii="宋体" w:hAnsi="宋体" w:eastAsia="宋体"/>
          <w:sz w:val="24"/>
          <w:szCs w:val="24"/>
          <w:highlight w:val="none"/>
        </w:rPr>
        <w:t>附表四  计划开、竣工日期和施工进度网络图</w:t>
      </w:r>
    </w:p>
    <w:p w14:paraId="17C033D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ascii="宋体" w:hAnsi="宋体" w:eastAsia="宋体"/>
          <w:sz w:val="24"/>
          <w:szCs w:val="24"/>
          <w:highlight w:val="none"/>
        </w:rPr>
      </w:pPr>
      <w:r>
        <w:rPr>
          <w:rFonts w:hint="eastAsia" w:ascii="宋体" w:hAnsi="宋体" w:eastAsia="宋体"/>
          <w:sz w:val="24"/>
          <w:szCs w:val="24"/>
          <w:highlight w:val="none"/>
        </w:rPr>
        <w:t>附表五  施工总平面图</w:t>
      </w:r>
    </w:p>
    <w:p w14:paraId="23BB676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ascii="宋体" w:hAnsi="宋体" w:eastAsia="宋体"/>
          <w:sz w:val="24"/>
          <w:szCs w:val="24"/>
          <w:highlight w:val="none"/>
        </w:rPr>
      </w:pPr>
      <w:r>
        <w:rPr>
          <w:rFonts w:hint="eastAsia" w:ascii="宋体" w:hAnsi="宋体" w:eastAsia="宋体"/>
          <w:sz w:val="24"/>
          <w:szCs w:val="24"/>
          <w:highlight w:val="none"/>
        </w:rPr>
        <w:t>附表六  临时用地表</w:t>
      </w:r>
    </w:p>
    <w:p w14:paraId="628D8F6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b/>
          <w:bCs/>
          <w:sz w:val="24"/>
          <w:highlight w:val="none"/>
        </w:rPr>
      </w:pPr>
    </w:p>
    <w:p w14:paraId="57F8F2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p>
    <w:p w14:paraId="713D6E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r>
        <w:rPr>
          <w:rFonts w:ascii="宋体" w:hAnsi="宋体" w:eastAsia="宋体" w:cs="宋体"/>
          <w:b/>
          <w:bCs/>
          <w:sz w:val="24"/>
          <w:highlight w:val="none"/>
        </w:rPr>
        <w:br w:type="page"/>
      </w:r>
      <w:r>
        <w:rPr>
          <w:rFonts w:hint="eastAsia" w:ascii="宋体" w:hAnsi="宋体" w:eastAsia="宋体" w:cs="宋体"/>
          <w:b/>
          <w:bCs/>
          <w:sz w:val="24"/>
          <w:highlight w:val="none"/>
        </w:rPr>
        <w:t>附表一：拟投入本工程的主要施工设备表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02"/>
        <w:gridCol w:w="841"/>
        <w:gridCol w:w="856"/>
        <w:gridCol w:w="710"/>
        <w:gridCol w:w="711"/>
        <w:gridCol w:w="1178"/>
        <w:gridCol w:w="797"/>
        <w:gridCol w:w="950"/>
        <w:gridCol w:w="766"/>
      </w:tblGrid>
      <w:tr w14:paraId="59A1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F6DFC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序号</w:t>
            </w:r>
          </w:p>
        </w:tc>
        <w:tc>
          <w:tcPr>
            <w:tcW w:w="1002" w:type="dxa"/>
            <w:tcBorders>
              <w:top w:val="single" w:color="auto" w:sz="4" w:space="0"/>
              <w:left w:val="nil"/>
              <w:bottom w:val="single" w:color="auto" w:sz="4" w:space="0"/>
              <w:right w:val="single" w:color="auto" w:sz="4" w:space="0"/>
            </w:tcBorders>
            <w:noWrap w:val="0"/>
            <w:vAlign w:val="center"/>
          </w:tcPr>
          <w:p w14:paraId="22DC07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设备</w:t>
            </w:r>
          </w:p>
          <w:p w14:paraId="61B695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名称</w:t>
            </w:r>
          </w:p>
        </w:tc>
        <w:tc>
          <w:tcPr>
            <w:tcW w:w="841" w:type="dxa"/>
            <w:tcBorders>
              <w:top w:val="single" w:color="auto" w:sz="4" w:space="0"/>
              <w:left w:val="nil"/>
              <w:bottom w:val="single" w:color="auto" w:sz="4" w:space="0"/>
              <w:right w:val="single" w:color="auto" w:sz="4" w:space="0"/>
            </w:tcBorders>
            <w:noWrap w:val="0"/>
            <w:vAlign w:val="center"/>
          </w:tcPr>
          <w:p w14:paraId="227C88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型号</w:t>
            </w:r>
          </w:p>
          <w:p w14:paraId="56F7F7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规格</w:t>
            </w:r>
          </w:p>
        </w:tc>
        <w:tc>
          <w:tcPr>
            <w:tcW w:w="856" w:type="dxa"/>
            <w:tcBorders>
              <w:top w:val="single" w:color="auto" w:sz="4" w:space="0"/>
              <w:left w:val="nil"/>
              <w:bottom w:val="single" w:color="auto" w:sz="4" w:space="0"/>
              <w:right w:val="single" w:color="auto" w:sz="4" w:space="0"/>
            </w:tcBorders>
            <w:noWrap w:val="0"/>
            <w:vAlign w:val="center"/>
          </w:tcPr>
          <w:p w14:paraId="0E5EE82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数量</w:t>
            </w:r>
          </w:p>
        </w:tc>
        <w:tc>
          <w:tcPr>
            <w:tcW w:w="710" w:type="dxa"/>
            <w:tcBorders>
              <w:top w:val="single" w:color="auto" w:sz="4" w:space="0"/>
              <w:left w:val="nil"/>
              <w:bottom w:val="single" w:color="auto" w:sz="4" w:space="0"/>
              <w:right w:val="single" w:color="auto" w:sz="4" w:space="0"/>
            </w:tcBorders>
            <w:noWrap w:val="0"/>
            <w:vAlign w:val="center"/>
          </w:tcPr>
          <w:p w14:paraId="0AF0C3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国别</w:t>
            </w:r>
          </w:p>
          <w:p w14:paraId="2D4E53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产地</w:t>
            </w:r>
          </w:p>
        </w:tc>
        <w:tc>
          <w:tcPr>
            <w:tcW w:w="711" w:type="dxa"/>
            <w:tcBorders>
              <w:top w:val="single" w:color="auto" w:sz="4" w:space="0"/>
              <w:left w:val="nil"/>
              <w:bottom w:val="single" w:color="auto" w:sz="4" w:space="0"/>
              <w:right w:val="single" w:color="auto" w:sz="4" w:space="0"/>
            </w:tcBorders>
            <w:noWrap w:val="0"/>
            <w:vAlign w:val="center"/>
          </w:tcPr>
          <w:p w14:paraId="611D5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制造</w:t>
            </w:r>
          </w:p>
          <w:p w14:paraId="540850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年份</w:t>
            </w:r>
          </w:p>
        </w:tc>
        <w:tc>
          <w:tcPr>
            <w:tcW w:w="1178" w:type="dxa"/>
            <w:tcBorders>
              <w:top w:val="single" w:color="auto" w:sz="4" w:space="0"/>
              <w:left w:val="nil"/>
              <w:bottom w:val="single" w:color="auto" w:sz="4" w:space="0"/>
              <w:right w:val="single" w:color="auto" w:sz="4" w:space="0"/>
            </w:tcBorders>
            <w:noWrap w:val="0"/>
            <w:vAlign w:val="center"/>
          </w:tcPr>
          <w:p w14:paraId="4386E6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额定功率</w:t>
            </w:r>
          </w:p>
          <w:p w14:paraId="4FD43A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（KW）</w:t>
            </w:r>
          </w:p>
        </w:tc>
        <w:tc>
          <w:tcPr>
            <w:tcW w:w="797" w:type="dxa"/>
            <w:tcBorders>
              <w:top w:val="single" w:color="auto" w:sz="4" w:space="0"/>
              <w:left w:val="nil"/>
              <w:bottom w:val="single" w:color="auto" w:sz="4" w:space="0"/>
              <w:right w:val="single" w:color="auto" w:sz="4" w:space="0"/>
            </w:tcBorders>
            <w:noWrap w:val="0"/>
            <w:vAlign w:val="center"/>
          </w:tcPr>
          <w:p w14:paraId="7CAA8CE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生产</w:t>
            </w:r>
          </w:p>
          <w:p w14:paraId="0B1C3A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能力</w:t>
            </w:r>
          </w:p>
        </w:tc>
        <w:tc>
          <w:tcPr>
            <w:tcW w:w="950" w:type="dxa"/>
            <w:tcBorders>
              <w:top w:val="single" w:color="auto" w:sz="4" w:space="0"/>
              <w:left w:val="nil"/>
              <w:bottom w:val="single" w:color="auto" w:sz="4" w:space="0"/>
              <w:right w:val="single" w:color="auto" w:sz="4" w:space="0"/>
            </w:tcBorders>
            <w:noWrap w:val="0"/>
            <w:vAlign w:val="center"/>
          </w:tcPr>
          <w:p w14:paraId="4F6B4C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用于施</w:t>
            </w:r>
          </w:p>
          <w:p w14:paraId="7D9F1C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工部位</w:t>
            </w:r>
          </w:p>
        </w:tc>
        <w:tc>
          <w:tcPr>
            <w:tcW w:w="766" w:type="dxa"/>
            <w:tcBorders>
              <w:top w:val="single" w:color="auto" w:sz="4" w:space="0"/>
              <w:left w:val="nil"/>
              <w:bottom w:val="single" w:color="auto" w:sz="4" w:space="0"/>
              <w:right w:val="single" w:color="auto" w:sz="4" w:space="0"/>
            </w:tcBorders>
            <w:noWrap w:val="0"/>
            <w:vAlign w:val="center"/>
          </w:tcPr>
          <w:p w14:paraId="58FAFB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备注</w:t>
            </w:r>
          </w:p>
        </w:tc>
      </w:tr>
      <w:tr w14:paraId="00C9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71850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C9DA2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5027F5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2BA16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D4787C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15EE6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AC9E5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7F8934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311D95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56F115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AE2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EBC88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02E10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CFB50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0E403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6EF6E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18551B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3A401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A2570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F06FB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6AF80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83B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721F1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B864C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509C7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383B0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FF396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1A9F89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9AEAF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780C6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C0938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07488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E60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727FA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F8748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F55C5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71B3CE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04664F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04634F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6CE231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D6D5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55DB6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244273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F0A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9E45B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5DB5E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D6D46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9147E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DE5F8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4CE401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E3674B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272103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9E02B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D45486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633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D3511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7FD07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C9D4F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3ACEB1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28A05A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203822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6EC9B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5A3E8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78DF7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46518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0FDD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9274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785F3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A71BF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FE6A4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2F5F79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47D4E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C83885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03291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76FA4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1F424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59D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34E37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8BE27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B81FD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7EA92B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B59AC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0330D0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33D17C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5DCAC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E47C3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E831B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D80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9198E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04DC3B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A97A8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A823E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6902D5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21A6B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9CAD2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C661F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02F11C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1C5AD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FA0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35716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043AF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4272E40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E16C9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2C739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728ED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6B0681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C90CD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E7009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BDB35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082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F7485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BF585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5097A0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12022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114ED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C6342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6CDAB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A33C4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3A94D6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CE75B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3F8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9619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C0305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3BB971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30F77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0758B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7A9F6F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6E5E5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0EC7D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48F04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2F049D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378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D92AF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6DCF6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1BF3D9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144B0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3B62BE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3642E7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0E4A2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E5933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7B053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0D1F1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F0F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BEB98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1CA6F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83CD9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57EFF7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0DBE16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2B0CD3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59A11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4486D7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FBF6C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E7F56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B51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08CE5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6B940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BD84D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0ECE5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F160D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3DAAAE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88FE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FEFEC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2139D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A15CF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0EE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C6A39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04A50B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393884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0E2D2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6D9537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7CEC2F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771FC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5D809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53E6F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6A28D8C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B07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2B4B2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6AD1F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FB981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3F07FA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22ED9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A1B25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21E6F9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1AFF9E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713EF7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713C8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B9B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7FC7E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4DF93B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C9AFD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0D5DA8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36B4A1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3B1EA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CBB26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CB19D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71801E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659C9E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bl>
    <w:p w14:paraId="527801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p>
    <w:p w14:paraId="548AB5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p>
    <w:p w14:paraId="233FA01F">
      <w:pPr>
        <w:pStyle w:val="21"/>
        <w:pageBreakBefore w:val="0"/>
        <w:kinsoku/>
        <w:overflowPunct/>
        <w:topLinePunct w:val="0"/>
        <w:bidi w:val="0"/>
        <w:adjustRightInd w:val="0"/>
        <w:snapToGrid w:val="0"/>
        <w:spacing w:after="0" w:line="360" w:lineRule="auto"/>
        <w:rPr>
          <w:rFonts w:ascii="宋体" w:hAnsi="宋体" w:eastAsia="宋体" w:cs="宋体"/>
          <w:b/>
          <w:bCs/>
          <w:sz w:val="24"/>
          <w:highlight w:val="none"/>
        </w:rPr>
      </w:pPr>
    </w:p>
    <w:p w14:paraId="4D8044F5">
      <w:pPr>
        <w:pStyle w:val="22"/>
        <w:pageBreakBefore w:val="0"/>
        <w:kinsoku/>
        <w:overflowPunct/>
        <w:topLinePunct w:val="0"/>
        <w:bidi w:val="0"/>
        <w:adjustRightInd w:val="0"/>
        <w:snapToGrid w:val="0"/>
        <w:spacing w:line="360" w:lineRule="auto"/>
        <w:rPr>
          <w:rFonts w:ascii="宋体" w:hAnsi="宋体" w:eastAsia="宋体" w:cs="宋体"/>
          <w:b/>
          <w:bCs/>
          <w:sz w:val="24"/>
          <w:highlight w:val="none"/>
        </w:rPr>
      </w:pPr>
    </w:p>
    <w:p w14:paraId="7B95B8AE">
      <w:pPr>
        <w:pageBreakBefore w:val="0"/>
        <w:kinsoku/>
        <w:overflowPunct/>
        <w:topLinePunct w:val="0"/>
        <w:bidi w:val="0"/>
        <w:adjustRightInd w:val="0"/>
        <w:snapToGrid w:val="0"/>
        <w:spacing w:line="360" w:lineRule="auto"/>
        <w:rPr>
          <w:highlight w:val="none"/>
        </w:rPr>
      </w:pPr>
    </w:p>
    <w:p w14:paraId="5942E7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p>
    <w:p w14:paraId="321E94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r>
        <w:rPr>
          <w:rFonts w:hint="eastAsia" w:ascii="宋体" w:hAnsi="宋体" w:eastAsia="宋体" w:cs="宋体"/>
          <w:b/>
          <w:bCs/>
          <w:sz w:val="24"/>
          <w:highlight w:val="none"/>
        </w:rPr>
        <w:t>附表二：拟配备本工程的试验和检测仪器设备表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851"/>
        <w:gridCol w:w="992"/>
        <w:gridCol w:w="709"/>
        <w:gridCol w:w="850"/>
        <w:gridCol w:w="992"/>
        <w:gridCol w:w="1418"/>
        <w:gridCol w:w="850"/>
      </w:tblGrid>
      <w:tr w14:paraId="1E85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FDA74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序号</w:t>
            </w:r>
          </w:p>
        </w:tc>
        <w:tc>
          <w:tcPr>
            <w:tcW w:w="1134" w:type="dxa"/>
            <w:tcBorders>
              <w:top w:val="single" w:color="auto" w:sz="4" w:space="0"/>
              <w:left w:val="nil"/>
              <w:bottom w:val="single" w:color="auto" w:sz="4" w:space="0"/>
              <w:right w:val="single" w:color="auto" w:sz="4" w:space="0"/>
            </w:tcBorders>
            <w:noWrap w:val="0"/>
            <w:vAlign w:val="center"/>
          </w:tcPr>
          <w:p w14:paraId="0EEE75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仪器设备</w:t>
            </w:r>
          </w:p>
          <w:p w14:paraId="1F9039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名称</w:t>
            </w:r>
          </w:p>
        </w:tc>
        <w:tc>
          <w:tcPr>
            <w:tcW w:w="851" w:type="dxa"/>
            <w:tcBorders>
              <w:top w:val="single" w:color="auto" w:sz="4" w:space="0"/>
              <w:left w:val="nil"/>
              <w:bottom w:val="single" w:color="auto" w:sz="4" w:space="0"/>
              <w:right w:val="single" w:color="auto" w:sz="4" w:space="0"/>
            </w:tcBorders>
            <w:noWrap w:val="0"/>
            <w:vAlign w:val="center"/>
          </w:tcPr>
          <w:p w14:paraId="7C9947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型号</w:t>
            </w:r>
          </w:p>
          <w:p w14:paraId="63AEEC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规格</w:t>
            </w:r>
          </w:p>
        </w:tc>
        <w:tc>
          <w:tcPr>
            <w:tcW w:w="992" w:type="dxa"/>
            <w:tcBorders>
              <w:top w:val="single" w:color="auto" w:sz="4" w:space="0"/>
              <w:left w:val="nil"/>
              <w:bottom w:val="single" w:color="auto" w:sz="4" w:space="0"/>
              <w:right w:val="single" w:color="auto" w:sz="4" w:space="0"/>
            </w:tcBorders>
            <w:noWrap w:val="0"/>
            <w:vAlign w:val="center"/>
          </w:tcPr>
          <w:p w14:paraId="2CA0E3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数量</w:t>
            </w:r>
          </w:p>
        </w:tc>
        <w:tc>
          <w:tcPr>
            <w:tcW w:w="709" w:type="dxa"/>
            <w:tcBorders>
              <w:top w:val="single" w:color="auto" w:sz="4" w:space="0"/>
              <w:left w:val="nil"/>
              <w:bottom w:val="single" w:color="auto" w:sz="4" w:space="0"/>
              <w:right w:val="single" w:color="auto" w:sz="4" w:space="0"/>
            </w:tcBorders>
            <w:noWrap w:val="0"/>
            <w:vAlign w:val="center"/>
          </w:tcPr>
          <w:p w14:paraId="57E68E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国别</w:t>
            </w:r>
          </w:p>
          <w:p w14:paraId="4B6402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产地</w:t>
            </w:r>
          </w:p>
        </w:tc>
        <w:tc>
          <w:tcPr>
            <w:tcW w:w="850" w:type="dxa"/>
            <w:tcBorders>
              <w:top w:val="single" w:color="auto" w:sz="4" w:space="0"/>
              <w:left w:val="nil"/>
              <w:bottom w:val="single" w:color="auto" w:sz="4" w:space="0"/>
              <w:right w:val="single" w:color="auto" w:sz="4" w:space="0"/>
            </w:tcBorders>
            <w:noWrap w:val="0"/>
            <w:vAlign w:val="center"/>
          </w:tcPr>
          <w:p w14:paraId="154126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制造</w:t>
            </w:r>
          </w:p>
          <w:p w14:paraId="47667B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年份</w:t>
            </w:r>
          </w:p>
        </w:tc>
        <w:tc>
          <w:tcPr>
            <w:tcW w:w="992" w:type="dxa"/>
            <w:tcBorders>
              <w:top w:val="single" w:color="auto" w:sz="4" w:space="0"/>
              <w:left w:val="nil"/>
              <w:bottom w:val="single" w:color="auto" w:sz="4" w:space="0"/>
              <w:right w:val="single" w:color="auto" w:sz="4" w:space="0"/>
            </w:tcBorders>
            <w:noWrap w:val="0"/>
            <w:vAlign w:val="center"/>
          </w:tcPr>
          <w:p w14:paraId="17ED52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已使用</w:t>
            </w:r>
          </w:p>
          <w:p w14:paraId="7B88C8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台时数</w:t>
            </w:r>
          </w:p>
        </w:tc>
        <w:tc>
          <w:tcPr>
            <w:tcW w:w="1418" w:type="dxa"/>
            <w:tcBorders>
              <w:top w:val="single" w:color="auto" w:sz="4" w:space="0"/>
              <w:left w:val="nil"/>
              <w:bottom w:val="single" w:color="auto" w:sz="4" w:space="0"/>
              <w:right w:val="single" w:color="auto" w:sz="4" w:space="0"/>
            </w:tcBorders>
            <w:noWrap w:val="0"/>
            <w:vAlign w:val="center"/>
          </w:tcPr>
          <w:p w14:paraId="1319B2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用  途</w:t>
            </w:r>
          </w:p>
        </w:tc>
        <w:tc>
          <w:tcPr>
            <w:tcW w:w="850" w:type="dxa"/>
            <w:tcBorders>
              <w:top w:val="single" w:color="auto" w:sz="4" w:space="0"/>
              <w:left w:val="nil"/>
              <w:bottom w:val="single" w:color="auto" w:sz="4" w:space="0"/>
              <w:right w:val="single" w:color="auto" w:sz="4" w:space="0"/>
            </w:tcBorders>
            <w:noWrap w:val="0"/>
            <w:vAlign w:val="center"/>
          </w:tcPr>
          <w:p w14:paraId="4027D5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备注</w:t>
            </w:r>
          </w:p>
        </w:tc>
      </w:tr>
      <w:tr w14:paraId="03C7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DE09E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9E8E8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C05CC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4BB26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C9FE8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FE91F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286FB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42105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67142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B7A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4E0C7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1D519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25D9E5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60D01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62369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6068B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C17E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FA721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4E28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3BD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9310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022C6D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05BD8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CD120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0958E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438BB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CFBC2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81E40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DB245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6BC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35D64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BB52F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A9503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1EFEE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3570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4F350A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259CE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AF334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E6648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4A8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42D36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C0B6F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F98C4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7675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DD6CD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4086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748B1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1E2F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F228B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385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43D42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563B6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757E4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A3B9A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269BD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0031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4B3C6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089AF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D4AEF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3DC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EF405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5FECC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8EEF8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1E2F4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D568E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45AE8B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7300A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D9362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23043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D1D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17C2F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9ECD4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7095C8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C0E91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954B3B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D3EC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AE185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70442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A3D20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C4E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6F2CF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BF55B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E1673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3C278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F4320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CFE64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CB127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8AF9A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B1C81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A3E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2AAFD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5413B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AC39D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D65C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DB5F3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48F96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E33CC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56EF6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C49AE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D92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B3E1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44644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42BAC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C71CC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3591B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D5C96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D58C2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7730C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CEA6B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574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37337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0D09B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6E7D7C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5740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57ED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B07F4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D3B63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4AC0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6FFA2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528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B84B4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38FC64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5FE28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49394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33F81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62169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271A6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99547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66B5F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177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D92AD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EA44D7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2704F5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DA9B5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98B48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12980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F83F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989D3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6BB25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FD9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9F8F7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7BEF6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8B589C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8CF76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412EF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DFE9C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F29BB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9B378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CE8AE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92D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3B6EA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7E3910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11120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7EE1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06B4B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03F63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AF702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013D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45B16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42B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AE5A7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FE36F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2BDD14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12AF8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535E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E3885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F4B3F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D3E99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D5365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EC5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BD6B0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2C853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3880A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4CA7C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665E3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50848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8A43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3162A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BE1F0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225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C9DE2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7706A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6A8EF2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6EC2D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0225A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B624C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EBE62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6272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D336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CC9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23080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A5F95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51A02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187AD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D819E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FEE01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CD657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EDFF8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C521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bl>
    <w:p w14:paraId="3AD743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p w14:paraId="605B3D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p w14:paraId="5EECD3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p>
    <w:p w14:paraId="5D0FAD3A">
      <w:pPr>
        <w:pStyle w:val="21"/>
        <w:pageBreakBefore w:val="0"/>
        <w:kinsoku/>
        <w:overflowPunct/>
        <w:topLinePunct w:val="0"/>
        <w:bidi w:val="0"/>
        <w:adjustRightInd w:val="0"/>
        <w:snapToGrid w:val="0"/>
        <w:spacing w:after="0" w:line="360" w:lineRule="auto"/>
        <w:rPr>
          <w:rFonts w:ascii="宋体" w:hAnsi="宋体" w:eastAsia="宋体" w:cs="宋体"/>
          <w:b/>
          <w:bCs/>
          <w:sz w:val="24"/>
          <w:highlight w:val="none"/>
        </w:rPr>
      </w:pPr>
    </w:p>
    <w:p w14:paraId="0D12B691">
      <w:pPr>
        <w:pStyle w:val="22"/>
        <w:pageBreakBefore w:val="0"/>
        <w:kinsoku/>
        <w:overflowPunct/>
        <w:topLinePunct w:val="0"/>
        <w:bidi w:val="0"/>
        <w:adjustRightInd w:val="0"/>
        <w:snapToGrid w:val="0"/>
        <w:spacing w:line="360" w:lineRule="auto"/>
        <w:rPr>
          <w:rFonts w:ascii="宋体" w:hAnsi="宋体" w:eastAsia="宋体" w:cs="宋体"/>
          <w:b/>
          <w:bCs/>
          <w:sz w:val="24"/>
          <w:highlight w:val="none"/>
        </w:rPr>
      </w:pPr>
    </w:p>
    <w:p w14:paraId="61E41D29">
      <w:pPr>
        <w:rPr>
          <w:highlight w:val="none"/>
        </w:rPr>
      </w:pPr>
    </w:p>
    <w:p w14:paraId="584B0122">
      <w:pPr>
        <w:pageBreakBefore w:val="0"/>
        <w:kinsoku/>
        <w:overflowPunct/>
        <w:topLinePunct w:val="0"/>
        <w:bidi w:val="0"/>
        <w:adjustRightInd w:val="0"/>
        <w:snapToGrid w:val="0"/>
        <w:spacing w:line="360" w:lineRule="auto"/>
        <w:rPr>
          <w:highlight w:val="none"/>
        </w:rPr>
      </w:pPr>
    </w:p>
    <w:p w14:paraId="00CEA5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r>
        <w:rPr>
          <w:rFonts w:hint="eastAsia" w:ascii="宋体" w:hAnsi="宋体" w:eastAsia="宋体" w:cs="宋体"/>
          <w:b/>
          <w:bCs/>
          <w:sz w:val="24"/>
          <w:highlight w:val="none"/>
        </w:rPr>
        <w:t>附表三：劳动力计划表</w:t>
      </w:r>
    </w:p>
    <w:p w14:paraId="3B8414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textAlignment w:val="center"/>
        <w:rPr>
          <w:rFonts w:ascii="宋体" w:hAnsi="宋体" w:eastAsia="宋体" w:cs="宋体"/>
          <w:sz w:val="24"/>
          <w:highlight w:val="none"/>
        </w:rPr>
      </w:pPr>
      <w:r>
        <w:rPr>
          <w:rFonts w:hint="eastAsia" w:ascii="宋体" w:hAnsi="宋体" w:eastAsia="宋体" w:cs="宋体"/>
          <w:sz w:val="24"/>
          <w:highlight w:val="none"/>
        </w:rPr>
        <w:t xml:space="preserve">单位：人   </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14:paraId="4CFC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13AE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工种</w:t>
            </w:r>
          </w:p>
        </w:tc>
        <w:tc>
          <w:tcPr>
            <w:tcW w:w="7796" w:type="dxa"/>
            <w:gridSpan w:val="7"/>
            <w:tcBorders>
              <w:top w:val="single" w:color="auto" w:sz="4" w:space="0"/>
              <w:left w:val="nil"/>
              <w:bottom w:val="single" w:color="auto" w:sz="4" w:space="0"/>
              <w:right w:val="single" w:color="auto" w:sz="4" w:space="0"/>
            </w:tcBorders>
            <w:noWrap w:val="0"/>
            <w:vAlign w:val="center"/>
          </w:tcPr>
          <w:p w14:paraId="0DCA01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按工程施工阶段投入劳动力情况</w:t>
            </w:r>
          </w:p>
        </w:tc>
      </w:tr>
      <w:tr w14:paraId="45E4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7D5AC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ACB20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913D3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8C66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461FA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66BAF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018E7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CB4B2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F2F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23DAB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14A46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F7535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B78E8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A40F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81517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9E3E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29633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1D4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07C08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4906C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27825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9C61E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A35AC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DD971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54F6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BAC94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13A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505F8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1CCB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29B11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054C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CE6B1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A4483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6E9B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E4413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EED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FCD02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19F16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18849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B515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8A958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AF97D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FACA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7C563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953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CD41B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75097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01F16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7B35C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D8941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8B749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63CC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B1D91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6FC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81828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0688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00DD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6FAE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AFC6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7B834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0A163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55BB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5FC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A7C3F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3F9B1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D0938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D8868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530C2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49AC5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8AA7A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4110B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081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0703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E46F2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9FD1D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EA9CE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BE97D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F1B5D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AF2F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0C4A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B96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DB278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3E02B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698A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4697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28707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1AA8B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3F719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27985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EB2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AD0F9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4B367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2750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8BA8C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DFBEF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FDBA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FE3C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CC5D5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D89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10D82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8F1C9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EC6FB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6462C1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FD6F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A28B0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726A3D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208BD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33C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A5349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21DC2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0E946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E67D5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81380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C8A0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8CC5F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A6B37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46C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E5F86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7967D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51C92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B12B3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41686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3C759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2D40B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9B283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1039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EAB1F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4AA3D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DB31B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CAB17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ACD5C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3F2F4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CC34FC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35BA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F83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6B3F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97C3C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6357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FDFD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CFE27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DD03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76FE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16BF4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996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EC747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B02D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E6E9A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598B1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C67C3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503EC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A0E5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6187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0A0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E101B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240A6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51E19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ADA47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E537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A7F6B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FD138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0AC3C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743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80F32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CF20A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4382C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9C9E5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0F93B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DB2F4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8FBB6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AFA65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907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597C9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D9A66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BF5D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13D0C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422D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93C91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26D9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1527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075A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8E560B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E026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274C6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FEF2A3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B22D4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520C3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FF810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AC67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bl>
    <w:p w14:paraId="5FDEF8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br w:type="page"/>
      </w:r>
    </w:p>
    <w:p w14:paraId="6469D8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r>
        <w:rPr>
          <w:rFonts w:hint="eastAsia" w:ascii="宋体" w:hAnsi="宋体" w:eastAsia="宋体" w:cs="宋体"/>
          <w:b/>
          <w:bCs/>
          <w:sz w:val="24"/>
          <w:highlight w:val="none"/>
        </w:rPr>
        <w:t>附表四：计划开、竣工日期和施工进度网络图</w:t>
      </w:r>
    </w:p>
    <w:p w14:paraId="782DAC5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应递交施工进度网络图或施工进度表，说明按磋商文件要求的计划工期进行施工的各个关键日期。</w:t>
      </w:r>
    </w:p>
    <w:p w14:paraId="23C45A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r>
        <w:rPr>
          <w:rFonts w:hint="eastAsia" w:ascii="宋体" w:hAnsi="宋体" w:eastAsia="宋体" w:cs="宋体"/>
          <w:sz w:val="24"/>
          <w:highlight w:val="none"/>
        </w:rPr>
        <w:t>2．施工进度表可采用网络图和（或）横道图表示。</w:t>
      </w:r>
    </w:p>
    <w:p w14:paraId="12F4F7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24"/>
          <w:highlight w:val="none"/>
        </w:rPr>
      </w:pPr>
      <w:r>
        <w:rPr>
          <w:rFonts w:hint="eastAsia" w:ascii="宋体" w:hAnsi="宋体" w:eastAsia="宋体" w:cs="宋体"/>
          <w:sz w:val="24"/>
          <w:highlight w:val="none"/>
        </w:rPr>
        <w:br w:type="page"/>
      </w:r>
      <w:r>
        <w:rPr>
          <w:rFonts w:hint="eastAsia" w:ascii="宋体" w:hAnsi="宋体" w:eastAsia="宋体" w:cs="宋体"/>
          <w:b/>
          <w:bCs/>
          <w:sz w:val="24"/>
          <w:highlight w:val="none"/>
        </w:rPr>
        <w:t>附表五：施工总平面图</w:t>
      </w:r>
    </w:p>
    <w:p w14:paraId="3E0A90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br w:type="page"/>
      </w:r>
      <w:r>
        <w:rPr>
          <w:rFonts w:hint="eastAsia" w:ascii="宋体" w:hAnsi="宋体" w:eastAsia="宋体" w:cs="宋体"/>
          <w:b/>
          <w:bCs/>
          <w:sz w:val="24"/>
          <w:highlight w:val="none"/>
        </w:rPr>
        <w:t>附表六：临时用地表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079"/>
        <w:gridCol w:w="2079"/>
        <w:gridCol w:w="2079"/>
      </w:tblGrid>
      <w:tr w14:paraId="2B7B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center"/>
          </w:tcPr>
          <w:p w14:paraId="213F71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用  途</w:t>
            </w:r>
          </w:p>
        </w:tc>
        <w:tc>
          <w:tcPr>
            <w:tcW w:w="2079" w:type="dxa"/>
            <w:tcBorders>
              <w:top w:val="single" w:color="auto" w:sz="4" w:space="0"/>
              <w:left w:val="nil"/>
              <w:bottom w:val="single" w:color="auto" w:sz="4" w:space="0"/>
              <w:right w:val="single" w:color="auto" w:sz="4" w:space="0"/>
            </w:tcBorders>
            <w:noWrap w:val="0"/>
            <w:vAlign w:val="center"/>
          </w:tcPr>
          <w:p w14:paraId="699541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面 积（平方米）</w:t>
            </w:r>
          </w:p>
        </w:tc>
        <w:tc>
          <w:tcPr>
            <w:tcW w:w="2079" w:type="dxa"/>
            <w:tcBorders>
              <w:top w:val="single" w:color="auto" w:sz="4" w:space="0"/>
              <w:left w:val="nil"/>
              <w:bottom w:val="single" w:color="auto" w:sz="4" w:space="0"/>
              <w:right w:val="single" w:color="auto" w:sz="4" w:space="0"/>
            </w:tcBorders>
            <w:noWrap w:val="0"/>
            <w:vAlign w:val="center"/>
          </w:tcPr>
          <w:p w14:paraId="592E0D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位  置</w:t>
            </w:r>
          </w:p>
        </w:tc>
        <w:tc>
          <w:tcPr>
            <w:tcW w:w="2079" w:type="dxa"/>
            <w:tcBorders>
              <w:top w:val="single" w:color="auto" w:sz="4" w:space="0"/>
              <w:left w:val="nil"/>
              <w:bottom w:val="single" w:color="auto" w:sz="4" w:space="0"/>
              <w:right w:val="single" w:color="auto" w:sz="4" w:space="0"/>
            </w:tcBorders>
            <w:noWrap w:val="0"/>
            <w:vAlign w:val="center"/>
          </w:tcPr>
          <w:p w14:paraId="488742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需用时间</w:t>
            </w:r>
          </w:p>
        </w:tc>
      </w:tr>
      <w:tr w14:paraId="74AB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628B6DA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7533DC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3031F4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BBE89B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3658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D66168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9C9DF5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B5B854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4ED857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23F3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7DD048C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75CD13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DB0240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CB2802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4F7F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E01592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8D11C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67040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0EDAEB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41B0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8D2B8B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5E7549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1B312C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94D0E3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78A0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8536CB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BE30AB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8337A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EE299D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1352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73DB2EE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75D58C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1FA667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6D5A1A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4E96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0BB7748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D5664A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1172D8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F7410D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231A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09BA77C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09D5E4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A1E842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291865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31B5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732668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899B0D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532FA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E585CF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736E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689F8BA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EAA18F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AAB904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59B624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75B6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34030A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066304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84A7FB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B3611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313C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DBB57B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82B7A0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3AF908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C7EC00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062F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E6FCBC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888D79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7859C3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E2894F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556A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D13F03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3AE878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21EBB3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2B647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4C00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01090B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23534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51ECC4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695D13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460E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257838D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003AE1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9C1DCB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F0FB8F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0E0E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2CD33C5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EB1B80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A84765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466D9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14F3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E4A4DD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054FA8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15F7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4479B9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6746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F09005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1C4B59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E08D1F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0BD216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1027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32E6D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76536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C1F3AA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DC5F13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r w14:paraId="3846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FE5F00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6D7340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5CD026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170FDE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p>
        </w:tc>
      </w:tr>
    </w:tbl>
    <w:p w14:paraId="0317AF6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7E3F31D9">
      <w:pPr>
        <w:pStyle w:val="21"/>
        <w:rPr>
          <w:highlight w:val="none"/>
        </w:rPr>
      </w:pPr>
    </w:p>
    <w:p w14:paraId="20B898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r>
        <w:rPr>
          <w:rFonts w:hint="eastAsia" w:ascii="宋体" w:hAnsi="宋体" w:eastAsia="宋体" w:cs="宋体"/>
          <w:sz w:val="24"/>
          <w:highlight w:val="none"/>
        </w:rPr>
        <w:t xml:space="preserve"> </w:t>
      </w:r>
    </w:p>
    <w:p w14:paraId="49F7BE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b/>
          <w:bCs/>
          <w:sz w:val="30"/>
          <w:szCs w:val="30"/>
          <w:highlight w:val="none"/>
        </w:rPr>
      </w:pPr>
    </w:p>
    <w:p w14:paraId="4638A4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ascii="宋体" w:hAnsi="宋体" w:eastAsia="宋体" w:cs="宋体"/>
          <w:b/>
          <w:bCs/>
          <w:sz w:val="30"/>
          <w:szCs w:val="30"/>
          <w:highlight w:val="none"/>
        </w:rPr>
      </w:pPr>
      <w:bookmarkStart w:id="1112" w:name="_Toc14989"/>
      <w:bookmarkStart w:id="1113" w:name="_Toc13347"/>
      <w:bookmarkStart w:id="1114" w:name="_Toc3987"/>
      <w:bookmarkStart w:id="1115" w:name="_Toc6339"/>
      <w:r>
        <w:rPr>
          <w:rFonts w:hint="eastAsia" w:ascii="宋体" w:hAnsi="宋体" w:eastAsia="宋体" w:cs="宋体"/>
          <w:b/>
          <w:bCs/>
          <w:sz w:val="30"/>
          <w:szCs w:val="30"/>
          <w:highlight w:val="none"/>
          <w:lang w:val="en-US" w:eastAsia="zh-CN"/>
        </w:rPr>
        <w:t>六</w:t>
      </w:r>
      <w:r>
        <w:rPr>
          <w:rFonts w:hint="eastAsia" w:ascii="宋体" w:hAnsi="宋体" w:eastAsia="宋体" w:cs="宋体"/>
          <w:b/>
          <w:bCs/>
          <w:sz w:val="30"/>
          <w:szCs w:val="30"/>
          <w:highlight w:val="none"/>
        </w:rPr>
        <w:t>、项目管理机构</w:t>
      </w:r>
      <w:bookmarkEnd w:id="1112"/>
      <w:bookmarkEnd w:id="1113"/>
      <w:bookmarkEnd w:id="1114"/>
      <w:bookmarkEnd w:id="1115"/>
    </w:p>
    <w:p w14:paraId="465637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textAlignment w:val="center"/>
        <w:rPr>
          <w:rFonts w:ascii="宋体" w:hAnsi="宋体" w:eastAsia="宋体" w:cs="宋体"/>
          <w:b/>
          <w:bCs/>
          <w:sz w:val="24"/>
          <w:highlight w:val="none"/>
        </w:rPr>
      </w:pPr>
      <w:r>
        <w:rPr>
          <w:rFonts w:hint="eastAsia" w:ascii="宋体" w:hAnsi="宋体" w:eastAsia="宋体" w:cs="宋体"/>
          <w:b/>
          <w:bCs/>
          <w:sz w:val="24"/>
          <w:highlight w:val="none"/>
        </w:rPr>
        <w:t>（一）项目管理机构组成表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275"/>
        <w:gridCol w:w="993"/>
        <w:gridCol w:w="992"/>
        <w:gridCol w:w="992"/>
        <w:gridCol w:w="1418"/>
        <w:gridCol w:w="708"/>
      </w:tblGrid>
      <w:tr w14:paraId="798C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14:paraId="4F85F0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职务</w:t>
            </w:r>
          </w:p>
        </w:tc>
        <w:tc>
          <w:tcPr>
            <w:tcW w:w="709" w:type="dxa"/>
            <w:vMerge w:val="restart"/>
            <w:tcBorders>
              <w:top w:val="single" w:color="auto" w:sz="4" w:space="0"/>
              <w:left w:val="nil"/>
              <w:bottom w:val="single" w:color="auto" w:sz="4" w:space="0"/>
              <w:right w:val="single" w:color="auto" w:sz="4" w:space="0"/>
            </w:tcBorders>
            <w:noWrap w:val="0"/>
            <w:vAlign w:val="center"/>
          </w:tcPr>
          <w:p w14:paraId="58E975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姓名</w:t>
            </w:r>
          </w:p>
        </w:tc>
        <w:tc>
          <w:tcPr>
            <w:tcW w:w="709" w:type="dxa"/>
            <w:vMerge w:val="restart"/>
            <w:tcBorders>
              <w:top w:val="single" w:color="auto" w:sz="4" w:space="0"/>
              <w:left w:val="nil"/>
              <w:bottom w:val="single" w:color="auto" w:sz="4" w:space="0"/>
              <w:right w:val="single" w:color="auto" w:sz="4" w:space="0"/>
            </w:tcBorders>
            <w:noWrap w:val="0"/>
            <w:vAlign w:val="center"/>
          </w:tcPr>
          <w:p w14:paraId="069AA5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职称</w:t>
            </w:r>
          </w:p>
        </w:tc>
        <w:tc>
          <w:tcPr>
            <w:tcW w:w="5670" w:type="dxa"/>
            <w:gridSpan w:val="5"/>
            <w:tcBorders>
              <w:top w:val="single" w:color="auto" w:sz="4" w:space="0"/>
              <w:left w:val="nil"/>
              <w:bottom w:val="single" w:color="auto" w:sz="4" w:space="0"/>
              <w:right w:val="single" w:color="auto" w:sz="4" w:space="0"/>
            </w:tcBorders>
            <w:noWrap w:val="0"/>
            <w:vAlign w:val="center"/>
          </w:tcPr>
          <w:p w14:paraId="3BFD47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执业或职业资格证明</w:t>
            </w:r>
          </w:p>
        </w:tc>
        <w:tc>
          <w:tcPr>
            <w:tcW w:w="708" w:type="dxa"/>
            <w:vMerge w:val="restart"/>
            <w:tcBorders>
              <w:top w:val="single" w:color="auto" w:sz="4" w:space="0"/>
              <w:left w:val="nil"/>
              <w:bottom w:val="single" w:color="auto" w:sz="4" w:space="0"/>
              <w:right w:val="single" w:color="auto" w:sz="4" w:space="0"/>
            </w:tcBorders>
            <w:noWrap w:val="0"/>
            <w:vAlign w:val="center"/>
          </w:tcPr>
          <w:p w14:paraId="638BC1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备注</w:t>
            </w:r>
          </w:p>
        </w:tc>
      </w:tr>
      <w:tr w14:paraId="4488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14:paraId="1B95101D">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ascii="宋体" w:hAnsi="宋体" w:eastAsia="宋体" w:cs="宋体"/>
                <w:szCs w:val="21"/>
                <w:highlight w:val="none"/>
              </w:rPr>
            </w:pPr>
          </w:p>
        </w:tc>
        <w:tc>
          <w:tcPr>
            <w:tcW w:w="709" w:type="dxa"/>
            <w:vMerge w:val="continue"/>
            <w:tcBorders>
              <w:top w:val="single" w:color="auto" w:sz="4" w:space="0"/>
              <w:left w:val="nil"/>
              <w:bottom w:val="single" w:color="auto" w:sz="4" w:space="0"/>
              <w:right w:val="single" w:color="auto" w:sz="4" w:space="0"/>
            </w:tcBorders>
            <w:noWrap w:val="0"/>
            <w:vAlign w:val="center"/>
          </w:tcPr>
          <w:p w14:paraId="6E8D0AF4">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ascii="宋体" w:hAnsi="宋体" w:eastAsia="宋体" w:cs="宋体"/>
                <w:szCs w:val="21"/>
                <w:highlight w:val="none"/>
              </w:rPr>
            </w:pPr>
          </w:p>
        </w:tc>
        <w:tc>
          <w:tcPr>
            <w:tcW w:w="709" w:type="dxa"/>
            <w:vMerge w:val="continue"/>
            <w:tcBorders>
              <w:top w:val="single" w:color="auto" w:sz="4" w:space="0"/>
              <w:left w:val="nil"/>
              <w:bottom w:val="single" w:color="auto" w:sz="4" w:space="0"/>
              <w:right w:val="single" w:color="auto" w:sz="4" w:space="0"/>
            </w:tcBorders>
            <w:noWrap w:val="0"/>
            <w:vAlign w:val="center"/>
          </w:tcPr>
          <w:p w14:paraId="4B56EBCC">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ascii="宋体" w:hAnsi="宋体" w:eastAsia="宋体" w:cs="宋体"/>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2E4AC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证书名称</w:t>
            </w:r>
          </w:p>
        </w:tc>
        <w:tc>
          <w:tcPr>
            <w:tcW w:w="993" w:type="dxa"/>
            <w:tcBorders>
              <w:top w:val="single" w:color="auto" w:sz="4" w:space="0"/>
              <w:left w:val="nil"/>
              <w:bottom w:val="single" w:color="auto" w:sz="4" w:space="0"/>
              <w:right w:val="single" w:color="auto" w:sz="4" w:space="0"/>
            </w:tcBorders>
            <w:noWrap w:val="0"/>
            <w:vAlign w:val="center"/>
          </w:tcPr>
          <w:p w14:paraId="38CC09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级别</w:t>
            </w:r>
          </w:p>
        </w:tc>
        <w:tc>
          <w:tcPr>
            <w:tcW w:w="992" w:type="dxa"/>
            <w:tcBorders>
              <w:top w:val="single" w:color="auto" w:sz="4" w:space="0"/>
              <w:left w:val="nil"/>
              <w:bottom w:val="single" w:color="auto" w:sz="4" w:space="0"/>
              <w:right w:val="single" w:color="auto" w:sz="4" w:space="0"/>
            </w:tcBorders>
            <w:noWrap w:val="0"/>
            <w:vAlign w:val="center"/>
          </w:tcPr>
          <w:p w14:paraId="5E124B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证号</w:t>
            </w:r>
          </w:p>
        </w:tc>
        <w:tc>
          <w:tcPr>
            <w:tcW w:w="992" w:type="dxa"/>
            <w:tcBorders>
              <w:top w:val="single" w:color="auto" w:sz="4" w:space="0"/>
              <w:left w:val="nil"/>
              <w:bottom w:val="single" w:color="auto" w:sz="4" w:space="0"/>
              <w:right w:val="single" w:color="auto" w:sz="4" w:space="0"/>
            </w:tcBorders>
            <w:noWrap w:val="0"/>
            <w:vAlign w:val="center"/>
          </w:tcPr>
          <w:p w14:paraId="7C6646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专业</w:t>
            </w:r>
          </w:p>
        </w:tc>
        <w:tc>
          <w:tcPr>
            <w:tcW w:w="1418" w:type="dxa"/>
            <w:tcBorders>
              <w:top w:val="single" w:color="auto" w:sz="4" w:space="0"/>
              <w:left w:val="nil"/>
              <w:bottom w:val="single" w:color="auto" w:sz="4" w:space="0"/>
              <w:right w:val="single" w:color="auto" w:sz="4" w:space="0"/>
            </w:tcBorders>
            <w:noWrap w:val="0"/>
            <w:vAlign w:val="center"/>
          </w:tcPr>
          <w:p w14:paraId="2BB3C00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r>
              <w:rPr>
                <w:rFonts w:hint="eastAsia" w:ascii="宋体" w:hAnsi="宋体" w:eastAsia="宋体" w:cs="宋体"/>
                <w:szCs w:val="21"/>
                <w:highlight w:val="none"/>
              </w:rPr>
              <w:t>养老保险</w:t>
            </w:r>
          </w:p>
        </w:tc>
        <w:tc>
          <w:tcPr>
            <w:tcW w:w="708" w:type="dxa"/>
            <w:vMerge w:val="continue"/>
            <w:tcBorders>
              <w:top w:val="single" w:color="auto" w:sz="4" w:space="0"/>
              <w:left w:val="nil"/>
              <w:bottom w:val="single" w:color="auto" w:sz="4" w:space="0"/>
              <w:right w:val="single" w:color="auto" w:sz="4" w:space="0"/>
            </w:tcBorders>
            <w:noWrap w:val="0"/>
            <w:vAlign w:val="center"/>
          </w:tcPr>
          <w:p w14:paraId="1336FE45">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ascii="宋体" w:hAnsi="宋体" w:eastAsia="宋体" w:cs="宋体"/>
                <w:szCs w:val="21"/>
                <w:highlight w:val="none"/>
              </w:rPr>
            </w:pPr>
          </w:p>
        </w:tc>
      </w:tr>
      <w:tr w14:paraId="1434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296C6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90C0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5B502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C00C1D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7038A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76EDC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129A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9BA4D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161EE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Cs w:val="21"/>
                <w:highlight w:val="none"/>
              </w:rPr>
            </w:pPr>
          </w:p>
        </w:tc>
      </w:tr>
      <w:tr w14:paraId="3038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3E82D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505FA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F996B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33D7C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06123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DC825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AE572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241E5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4804D3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643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0C2F3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968FC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2B481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3DBE1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5FB81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901BD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232FD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D6D68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A3F25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8D1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2146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EC762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C2115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75C26A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D9ADB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38C28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FE230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86F6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37F994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FA1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7AD61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9AEB4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27678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41E76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89EB7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08821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8678C5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4672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F2520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9D5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4FB2A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5DF4C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165849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36A13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9E837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1F1A6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D1318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38BC9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B9E46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E3E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58ED2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F82EC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A9F0A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B2422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2D2A3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FB475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57B2B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68FE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857B9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0DE4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7DDF9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F0B47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624A7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C10A6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79243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27911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89620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B95EB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D784E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D4F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BBA55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8FAD0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F4680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0529BF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1E830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25A78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166F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82723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260B9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7EC1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39832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40DA5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3EC2C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DFBB9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7C7C6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5B9A0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8F441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A4CFE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43B5F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F23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8310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A29D3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2588F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5655B7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1E938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6EADE3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2B806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8E3A6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199C31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1E5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95E72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C52EF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58C45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6C7F207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2EBA7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0B9F8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229F7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71736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4DF60C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4CB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D6616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65284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B18C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09F97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00509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5558F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23185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F79B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2496C5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0661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D9C4E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D2FF2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C9AA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99296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3AFF8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F8194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1758C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12C7F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3B9C5B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4BF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99310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00E53A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063C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0B8C33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B9386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050B1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B722F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2735F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1700D1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6BC3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B2756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FB6A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E2179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18050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6AC99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5D206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FEC24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272C6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A0ED7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ABC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8D148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91905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EB5C1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B2146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908E8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1A0A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37201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54A6D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06CAC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43C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7DC4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5C048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9DD06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1F460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E6C43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EB9A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DD34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824DB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8701B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4B49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C7289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235E5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E89C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CA4BB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77272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BC99E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844AF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4062A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67DD7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bl>
    <w:p w14:paraId="20D6546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r>
        <w:rPr>
          <w:rFonts w:hint="eastAsia" w:ascii="宋体" w:hAnsi="宋体" w:eastAsia="宋体" w:cs="宋体"/>
          <w:sz w:val="24"/>
          <w:highlight w:val="none"/>
        </w:rPr>
        <w:t xml:space="preserve"> </w:t>
      </w:r>
    </w:p>
    <w:p w14:paraId="74C346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0154C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38D637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0ACCDD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44C972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 xml:space="preserve"> </w:t>
      </w:r>
    </w:p>
    <w:p w14:paraId="028B80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textAlignment w:val="center"/>
        <w:rPr>
          <w:rFonts w:ascii="宋体" w:hAnsi="宋体" w:eastAsia="宋体" w:cs="宋体"/>
          <w:b/>
          <w:bCs/>
          <w:sz w:val="24"/>
          <w:highlight w:val="none"/>
        </w:rPr>
      </w:pPr>
      <w:r>
        <w:rPr>
          <w:rFonts w:hint="eastAsia" w:ascii="宋体" w:hAnsi="宋体" w:eastAsia="宋体" w:cs="宋体"/>
          <w:b/>
          <w:bCs/>
          <w:sz w:val="24"/>
          <w:highlight w:val="none"/>
        </w:rPr>
        <w:t>（二）主要人员简历表</w:t>
      </w:r>
    </w:p>
    <w:p w14:paraId="0FA9A758">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sz w:val="24"/>
          <w:szCs w:val="24"/>
          <w:highlight w:val="none"/>
        </w:rPr>
      </w:pPr>
      <w:r>
        <w:rPr>
          <w:rFonts w:hint="eastAsia" w:ascii="宋体" w:hAnsi="宋体" w:eastAsia="宋体" w:cs="宋体"/>
          <w:caps w:val="0"/>
          <w:color w:val="auto"/>
          <w:sz w:val="24"/>
          <w:szCs w:val="24"/>
          <w:highlight w:val="none"/>
        </w:rPr>
        <w:t>“主要人员简历表”中的项目经理应附注册建造师证、身份证、安全生产考核合格证、养老保险缴费证明</w:t>
      </w:r>
      <w:r>
        <w:rPr>
          <w:rFonts w:hint="eastAsia" w:ascii="宋体" w:hAnsi="宋体" w:eastAsia="宋体" w:cs="宋体"/>
          <w:caps w:val="0"/>
          <w:color w:val="auto"/>
          <w:sz w:val="24"/>
          <w:szCs w:val="24"/>
          <w:highlight w:val="none"/>
          <w:lang w:eastAsia="zh-CN"/>
        </w:rPr>
        <w:t>、无在建工程承诺书</w:t>
      </w:r>
      <w:r>
        <w:rPr>
          <w:rFonts w:hint="eastAsia" w:ascii="宋体" w:hAnsi="宋体" w:eastAsia="宋体" w:cs="宋体"/>
          <w:caps w:val="0"/>
          <w:color w:val="auto"/>
          <w:sz w:val="24"/>
          <w:szCs w:val="24"/>
          <w:highlight w:val="none"/>
        </w:rPr>
        <w:t>等扫描件</w:t>
      </w:r>
      <w:r>
        <w:rPr>
          <w:rFonts w:hint="eastAsia" w:ascii="宋体" w:hAnsi="宋体" w:eastAsia="宋体" w:cs="宋体"/>
          <w:caps w:val="0"/>
          <w:color w:val="auto"/>
          <w:sz w:val="24"/>
          <w:szCs w:val="24"/>
          <w:highlight w:val="none"/>
          <w:lang w:eastAsia="zh-CN"/>
        </w:rPr>
        <w:t>。负责过的项目业绩须附</w:t>
      </w:r>
      <w:r>
        <w:rPr>
          <w:rFonts w:hint="eastAsia" w:ascii="宋体" w:hAnsi="宋体" w:eastAsia="宋体" w:cs="宋体"/>
          <w:caps w:val="0"/>
          <w:color w:val="auto"/>
          <w:sz w:val="24"/>
          <w:szCs w:val="24"/>
          <w:highlight w:val="none"/>
          <w:lang w:val="en-US" w:eastAsia="zh-CN"/>
        </w:rPr>
        <w:t>中标通知书或</w:t>
      </w:r>
      <w:r>
        <w:rPr>
          <w:rFonts w:hint="eastAsia" w:ascii="宋体" w:hAnsi="宋体" w:eastAsia="宋体" w:cs="宋体"/>
          <w:caps w:val="0"/>
          <w:color w:val="auto"/>
          <w:sz w:val="24"/>
          <w:szCs w:val="24"/>
          <w:highlight w:val="none"/>
          <w:lang w:eastAsia="zh-CN"/>
        </w:rPr>
        <w:t>合同协议书扫描件；</w:t>
      </w:r>
      <w:r>
        <w:rPr>
          <w:rFonts w:hint="eastAsia" w:ascii="宋体" w:hAnsi="宋体" w:eastAsia="宋体" w:cs="宋体"/>
          <w:caps w:val="0"/>
          <w:color w:val="auto"/>
          <w:sz w:val="24"/>
          <w:szCs w:val="24"/>
          <w:highlight w:val="none"/>
        </w:rPr>
        <w:t>技术负责人应附身份证、职称证等扫描件，其他主要人员应附职称证（执业证或上岗证书）等扫描件</w:t>
      </w:r>
    </w:p>
    <w:tbl>
      <w:tblPr>
        <w:tblStyle w:val="23"/>
        <w:tblW w:w="87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061"/>
        <w:gridCol w:w="1162"/>
        <w:gridCol w:w="1307"/>
        <w:gridCol w:w="1889"/>
        <w:gridCol w:w="2181"/>
      </w:tblGrid>
      <w:tr w14:paraId="2A35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F740F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姓  名</w:t>
            </w:r>
          </w:p>
        </w:tc>
        <w:tc>
          <w:tcPr>
            <w:tcW w:w="1061" w:type="dxa"/>
            <w:tcBorders>
              <w:top w:val="single" w:color="auto" w:sz="4" w:space="0"/>
              <w:left w:val="nil"/>
              <w:bottom w:val="single" w:color="auto" w:sz="4" w:space="0"/>
              <w:right w:val="single" w:color="auto" w:sz="4" w:space="0"/>
            </w:tcBorders>
            <w:noWrap w:val="0"/>
            <w:vAlign w:val="center"/>
          </w:tcPr>
          <w:p w14:paraId="50A6D1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62" w:type="dxa"/>
            <w:tcBorders>
              <w:top w:val="single" w:color="auto" w:sz="4" w:space="0"/>
              <w:left w:val="nil"/>
              <w:bottom w:val="single" w:color="auto" w:sz="4" w:space="0"/>
              <w:right w:val="single" w:color="auto" w:sz="4" w:space="0"/>
            </w:tcBorders>
            <w:noWrap w:val="0"/>
            <w:vAlign w:val="center"/>
          </w:tcPr>
          <w:p w14:paraId="4B632C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年  龄</w:t>
            </w:r>
          </w:p>
        </w:tc>
        <w:tc>
          <w:tcPr>
            <w:tcW w:w="1307" w:type="dxa"/>
            <w:tcBorders>
              <w:top w:val="single" w:color="auto" w:sz="4" w:space="0"/>
              <w:left w:val="nil"/>
              <w:bottom w:val="single" w:color="auto" w:sz="4" w:space="0"/>
              <w:right w:val="single" w:color="auto" w:sz="4" w:space="0"/>
            </w:tcBorders>
            <w:noWrap w:val="0"/>
            <w:vAlign w:val="center"/>
          </w:tcPr>
          <w:p w14:paraId="2AA745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39216B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学历</w:t>
            </w:r>
          </w:p>
        </w:tc>
        <w:tc>
          <w:tcPr>
            <w:tcW w:w="2181" w:type="dxa"/>
            <w:tcBorders>
              <w:top w:val="single" w:color="auto" w:sz="4" w:space="0"/>
              <w:left w:val="nil"/>
              <w:bottom w:val="single" w:color="auto" w:sz="4" w:space="0"/>
              <w:right w:val="single" w:color="auto" w:sz="4" w:space="0"/>
            </w:tcBorders>
            <w:noWrap w:val="0"/>
            <w:vAlign w:val="center"/>
          </w:tcPr>
          <w:p w14:paraId="7F0C94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54F7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307EA2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职  称</w:t>
            </w:r>
          </w:p>
        </w:tc>
        <w:tc>
          <w:tcPr>
            <w:tcW w:w="1061" w:type="dxa"/>
            <w:tcBorders>
              <w:top w:val="single" w:color="auto" w:sz="4" w:space="0"/>
              <w:left w:val="nil"/>
              <w:bottom w:val="single" w:color="auto" w:sz="4" w:space="0"/>
              <w:right w:val="single" w:color="auto" w:sz="4" w:space="0"/>
            </w:tcBorders>
            <w:noWrap w:val="0"/>
            <w:vAlign w:val="center"/>
          </w:tcPr>
          <w:p w14:paraId="22C9A1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162" w:type="dxa"/>
            <w:tcBorders>
              <w:top w:val="single" w:color="auto" w:sz="4" w:space="0"/>
              <w:left w:val="nil"/>
              <w:bottom w:val="single" w:color="auto" w:sz="4" w:space="0"/>
              <w:right w:val="single" w:color="auto" w:sz="4" w:space="0"/>
            </w:tcBorders>
            <w:noWrap w:val="0"/>
            <w:vAlign w:val="center"/>
          </w:tcPr>
          <w:p w14:paraId="4E1038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职  务</w:t>
            </w:r>
          </w:p>
        </w:tc>
        <w:tc>
          <w:tcPr>
            <w:tcW w:w="1307" w:type="dxa"/>
            <w:tcBorders>
              <w:top w:val="single" w:color="auto" w:sz="4" w:space="0"/>
              <w:left w:val="nil"/>
              <w:bottom w:val="single" w:color="auto" w:sz="4" w:space="0"/>
              <w:right w:val="single" w:color="auto" w:sz="4" w:space="0"/>
            </w:tcBorders>
            <w:noWrap w:val="0"/>
            <w:vAlign w:val="center"/>
          </w:tcPr>
          <w:p w14:paraId="4D5244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530ADD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拟在本工程</w:t>
            </w:r>
          </w:p>
          <w:p w14:paraId="6658979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任职</w:t>
            </w:r>
          </w:p>
        </w:tc>
        <w:tc>
          <w:tcPr>
            <w:tcW w:w="2181" w:type="dxa"/>
            <w:tcBorders>
              <w:top w:val="single" w:color="auto" w:sz="4" w:space="0"/>
              <w:left w:val="nil"/>
              <w:bottom w:val="single" w:color="auto" w:sz="4" w:space="0"/>
              <w:right w:val="single" w:color="auto" w:sz="4" w:space="0"/>
            </w:tcBorders>
            <w:noWrap w:val="0"/>
            <w:vAlign w:val="center"/>
          </w:tcPr>
          <w:p w14:paraId="09F1EB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50A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6DFE46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毕业  学校</w:t>
            </w:r>
          </w:p>
        </w:tc>
        <w:tc>
          <w:tcPr>
            <w:tcW w:w="7600" w:type="dxa"/>
            <w:gridSpan w:val="5"/>
            <w:tcBorders>
              <w:top w:val="single" w:color="auto" w:sz="4" w:space="0"/>
              <w:left w:val="nil"/>
              <w:bottom w:val="single" w:color="auto" w:sz="4" w:space="0"/>
              <w:right w:val="single" w:color="auto" w:sz="4" w:space="0"/>
            </w:tcBorders>
            <w:noWrap w:val="0"/>
            <w:vAlign w:val="center"/>
          </w:tcPr>
          <w:p w14:paraId="1D9055D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r>
              <w:rPr>
                <w:rFonts w:hint="eastAsia" w:ascii="宋体" w:hAnsi="宋体" w:eastAsia="宋体" w:cs="宋体"/>
                <w:sz w:val="24"/>
                <w:highlight w:val="none"/>
              </w:rPr>
              <w:t>年毕业于                  学校            专业</w:t>
            </w:r>
          </w:p>
        </w:tc>
      </w:tr>
      <w:tr w14:paraId="5766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719" w:type="dxa"/>
            <w:gridSpan w:val="6"/>
            <w:tcBorders>
              <w:top w:val="single" w:color="auto" w:sz="4" w:space="0"/>
              <w:left w:val="single" w:color="auto" w:sz="4" w:space="0"/>
              <w:bottom w:val="single" w:color="auto" w:sz="4" w:space="0"/>
              <w:right w:val="single" w:color="auto" w:sz="4" w:space="0"/>
            </w:tcBorders>
            <w:noWrap w:val="0"/>
            <w:vAlign w:val="center"/>
          </w:tcPr>
          <w:p w14:paraId="3BDFEF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主要工作经历</w:t>
            </w:r>
          </w:p>
        </w:tc>
      </w:tr>
      <w:tr w14:paraId="6F19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7B7B14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时  间</w:t>
            </w:r>
          </w:p>
        </w:tc>
        <w:tc>
          <w:tcPr>
            <w:tcW w:w="3530" w:type="dxa"/>
            <w:gridSpan w:val="3"/>
            <w:tcBorders>
              <w:top w:val="single" w:color="auto" w:sz="4" w:space="0"/>
              <w:left w:val="nil"/>
              <w:bottom w:val="single" w:color="auto" w:sz="4" w:space="0"/>
              <w:right w:val="single" w:color="auto" w:sz="4" w:space="0"/>
            </w:tcBorders>
            <w:noWrap w:val="0"/>
            <w:vAlign w:val="center"/>
          </w:tcPr>
          <w:p w14:paraId="6AB2A9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 xml:space="preserve">参加过的类似项目 </w:t>
            </w:r>
          </w:p>
        </w:tc>
        <w:tc>
          <w:tcPr>
            <w:tcW w:w="1889" w:type="dxa"/>
            <w:tcBorders>
              <w:top w:val="single" w:color="auto" w:sz="4" w:space="0"/>
              <w:left w:val="nil"/>
              <w:bottom w:val="single" w:color="auto" w:sz="4" w:space="0"/>
              <w:right w:val="single" w:color="auto" w:sz="4" w:space="0"/>
            </w:tcBorders>
            <w:noWrap w:val="0"/>
            <w:vAlign w:val="center"/>
          </w:tcPr>
          <w:p w14:paraId="139F8B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担任职务</w:t>
            </w:r>
          </w:p>
        </w:tc>
        <w:tc>
          <w:tcPr>
            <w:tcW w:w="2181" w:type="dxa"/>
            <w:tcBorders>
              <w:top w:val="single" w:color="auto" w:sz="4" w:space="0"/>
              <w:left w:val="nil"/>
              <w:bottom w:val="single" w:color="auto" w:sz="4" w:space="0"/>
              <w:right w:val="single" w:color="auto" w:sz="4" w:space="0"/>
            </w:tcBorders>
            <w:noWrap w:val="0"/>
            <w:vAlign w:val="center"/>
          </w:tcPr>
          <w:p w14:paraId="49EFB6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发包人及联系</w:t>
            </w:r>
          </w:p>
          <w:p w14:paraId="427F41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r>
              <w:rPr>
                <w:rFonts w:hint="eastAsia" w:ascii="宋体" w:hAnsi="宋体" w:eastAsia="宋体" w:cs="宋体"/>
                <w:sz w:val="24"/>
                <w:highlight w:val="none"/>
              </w:rPr>
              <w:t>电话</w:t>
            </w:r>
          </w:p>
        </w:tc>
      </w:tr>
      <w:tr w14:paraId="2D8F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E20183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64E34D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F06E6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5C28E4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2ECB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50AD1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3B7BC2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13C61A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41845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729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277104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70DA72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6C434D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D433C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019B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42967D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2514D2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3D9B67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09FE63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08D0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24A007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43894C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2ABD96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523A3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r w14:paraId="3B97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02ADC4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3F0E41A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2579B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13CC11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ascii="宋体" w:hAnsi="宋体" w:eastAsia="宋体" w:cs="宋体"/>
                <w:sz w:val="24"/>
                <w:highlight w:val="none"/>
              </w:rPr>
            </w:pPr>
          </w:p>
        </w:tc>
      </w:tr>
    </w:tbl>
    <w:p w14:paraId="5FBF849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ascii="宋体" w:hAnsi="宋体" w:eastAsia="宋体" w:cs="宋体"/>
          <w:sz w:val="24"/>
          <w:highlight w:val="none"/>
        </w:rPr>
      </w:pPr>
      <w:r>
        <w:rPr>
          <w:rFonts w:hint="eastAsia" w:ascii="宋体" w:hAnsi="宋体" w:eastAsia="宋体" w:cs="宋体"/>
          <w:sz w:val="24"/>
          <w:highlight w:val="none"/>
        </w:rPr>
        <w:t xml:space="preserve"> </w:t>
      </w:r>
    </w:p>
    <w:p w14:paraId="4CC899CC">
      <w:pPr>
        <w:pStyle w:val="37"/>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highlight w:val="none"/>
          <w:lang w:eastAsia="zh-CN"/>
        </w:rPr>
      </w:pPr>
      <w:bookmarkStart w:id="1116" w:name="_Toc19060"/>
      <w:bookmarkStart w:id="1117" w:name="_Toc17594"/>
      <w:bookmarkStart w:id="1118" w:name="_Toc13861"/>
      <w:bookmarkStart w:id="1119" w:name="_Toc14764"/>
    </w:p>
    <w:p w14:paraId="680F3DB2">
      <w:pPr>
        <w:pStyle w:val="37"/>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highlight w:val="none"/>
          <w:lang w:eastAsia="zh-CN"/>
        </w:rPr>
      </w:pPr>
    </w:p>
    <w:p w14:paraId="77CA358B">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center"/>
        <w:rPr>
          <w:rFonts w:cs="Times New Roman" w:asciiTheme="minorEastAsia" w:hAnsiTheme="minorEastAsia" w:eastAsiaTheme="minorEastAsia"/>
          <w:kern w:val="2"/>
          <w:sz w:val="36"/>
          <w:highlight w:val="none"/>
        </w:rPr>
      </w:pPr>
      <w:r>
        <w:rPr>
          <w:rFonts w:hint="eastAsia" w:cs="Times New Roman" w:asciiTheme="minorEastAsia" w:hAnsiTheme="minorEastAsia" w:eastAsiaTheme="minorEastAsia"/>
          <w:kern w:val="2"/>
          <w:sz w:val="36"/>
          <w:highlight w:val="none"/>
        </w:rPr>
        <w:t>无在建承诺书</w:t>
      </w:r>
    </w:p>
    <w:p w14:paraId="41CB4DA1">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cs="Times New Roman" w:asciiTheme="minorEastAsia" w:hAnsiTheme="minorEastAsia" w:eastAsiaTheme="minorEastAsia"/>
          <w:kern w:val="2"/>
          <w:sz w:val="24"/>
          <w:highlight w:val="none"/>
        </w:rPr>
      </w:pPr>
      <w:r>
        <w:rPr>
          <w:rFonts w:hint="eastAsia" w:cs="Times New Roman" w:asciiTheme="minorEastAsia" w:hAnsiTheme="minorEastAsia" w:eastAsiaTheme="minorEastAsia"/>
          <w:kern w:val="2"/>
          <w:position w:val="-7"/>
          <w:sz w:val="24"/>
          <w:highlight w:val="none"/>
          <w:u w:val="single"/>
        </w:rPr>
        <w:t xml:space="preserve">                     </w:t>
      </w:r>
      <w:r>
        <w:rPr>
          <w:rFonts w:hint="eastAsia" w:cs="Times New Roman" w:asciiTheme="minorEastAsia" w:hAnsiTheme="minorEastAsia" w:eastAsiaTheme="minorEastAsia"/>
          <w:kern w:val="2"/>
          <w:sz w:val="24"/>
          <w:highlight w:val="none"/>
        </w:rPr>
        <w:t>（</w:t>
      </w:r>
      <w:r>
        <w:rPr>
          <w:rFonts w:hint="eastAsia" w:cs="Times New Roman" w:asciiTheme="minorEastAsia" w:hAnsiTheme="minorEastAsia"/>
          <w:kern w:val="2"/>
          <w:sz w:val="24"/>
          <w:highlight w:val="none"/>
          <w:lang w:eastAsia="zh-CN"/>
        </w:rPr>
        <w:t>招标人</w:t>
      </w:r>
      <w:r>
        <w:rPr>
          <w:rFonts w:hint="eastAsia" w:cs="Times New Roman" w:asciiTheme="minorEastAsia" w:hAnsiTheme="minorEastAsia" w:eastAsiaTheme="minorEastAsia"/>
          <w:kern w:val="2"/>
          <w:sz w:val="24"/>
          <w:highlight w:val="none"/>
        </w:rPr>
        <w:t>名称）：</w:t>
      </w:r>
    </w:p>
    <w:p w14:paraId="3FBCBB73">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cs="Times New Roman" w:asciiTheme="minorEastAsia" w:hAnsiTheme="minorEastAsia" w:eastAsiaTheme="minorEastAsia"/>
          <w:kern w:val="2"/>
          <w:sz w:val="24"/>
          <w:highlight w:val="none"/>
        </w:rPr>
      </w:pPr>
      <w:r>
        <w:rPr>
          <w:rFonts w:hint="eastAsia" w:cs="Times New Roman" w:asciiTheme="minorEastAsia" w:hAnsiTheme="minorEastAsia" w:eastAsiaTheme="minorEastAsia"/>
          <w:kern w:val="2"/>
          <w:sz w:val="24"/>
          <w:highlight w:val="none"/>
        </w:rPr>
        <w:t>我方在此声明，我方拟派往</w:t>
      </w:r>
      <w:r>
        <w:rPr>
          <w:rFonts w:hint="eastAsia" w:cs="Times New Roman" w:asciiTheme="minorEastAsia" w:hAnsiTheme="minorEastAsia" w:eastAsiaTheme="minorEastAsia"/>
          <w:kern w:val="2"/>
          <w:sz w:val="24"/>
          <w:highlight w:val="none"/>
          <w:u w:val="single"/>
        </w:rPr>
        <w:t xml:space="preserve">               </w:t>
      </w:r>
      <w:r>
        <w:rPr>
          <w:rFonts w:hint="eastAsia" w:cs="Times New Roman" w:asciiTheme="minorEastAsia" w:hAnsiTheme="minorEastAsia" w:eastAsiaTheme="minorEastAsia"/>
          <w:kern w:val="2"/>
          <w:sz w:val="24"/>
          <w:highlight w:val="none"/>
        </w:rPr>
        <w:t>（项目名称）（以下简称“本工程”）的项目经理</w:t>
      </w:r>
      <w:r>
        <w:rPr>
          <w:rFonts w:hint="eastAsia" w:cs="Times New Roman" w:asciiTheme="minorEastAsia" w:hAnsiTheme="minorEastAsia" w:eastAsiaTheme="minorEastAsia"/>
          <w:kern w:val="2"/>
          <w:sz w:val="24"/>
          <w:highlight w:val="none"/>
          <w:u w:val="single"/>
        </w:rPr>
        <w:t xml:space="preserve">                    </w:t>
      </w:r>
      <w:r>
        <w:rPr>
          <w:rFonts w:hint="eastAsia" w:cs="Times New Roman" w:asciiTheme="minorEastAsia" w:hAnsiTheme="minorEastAsia" w:eastAsiaTheme="minorEastAsia"/>
          <w:kern w:val="2"/>
          <w:sz w:val="24"/>
          <w:highlight w:val="none"/>
        </w:rPr>
        <w:t>（项目经理姓名）现阶段没有担任任何在施建设工程项目的项目经理。</w:t>
      </w:r>
    </w:p>
    <w:p w14:paraId="38D3B098">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cs="Times New Roman" w:asciiTheme="minorEastAsia" w:hAnsiTheme="minorEastAsia" w:eastAsiaTheme="minorEastAsia"/>
          <w:kern w:val="2"/>
          <w:sz w:val="24"/>
          <w:highlight w:val="none"/>
        </w:rPr>
      </w:pPr>
      <w:r>
        <w:rPr>
          <w:rFonts w:hint="eastAsia" w:cs="Times New Roman" w:asciiTheme="minorEastAsia" w:hAnsiTheme="minorEastAsia" w:eastAsiaTheme="minorEastAsia"/>
          <w:kern w:val="2"/>
          <w:sz w:val="24"/>
          <w:highlight w:val="none"/>
        </w:rPr>
        <w:t>我方保证上述信息的真实和准确，并愿意承担因我方就此弄虚作假所引起的一切法律后果。</w:t>
      </w:r>
    </w:p>
    <w:p w14:paraId="67924B2B">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cs="Times New Roman" w:asciiTheme="minorEastAsia" w:hAnsiTheme="minorEastAsia" w:eastAsiaTheme="minorEastAsia"/>
          <w:kern w:val="2"/>
          <w:sz w:val="24"/>
          <w:highlight w:val="none"/>
        </w:rPr>
      </w:pPr>
    </w:p>
    <w:p w14:paraId="4A691F7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cs="Times New Roman" w:asciiTheme="minorEastAsia" w:hAnsiTheme="minorEastAsia" w:eastAsiaTheme="minorEastAsia"/>
          <w:kern w:val="2"/>
          <w:sz w:val="24"/>
          <w:highlight w:val="none"/>
        </w:rPr>
      </w:pPr>
    </w:p>
    <w:p w14:paraId="27535D71">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cs="Times New Roman" w:asciiTheme="minorEastAsia" w:hAnsiTheme="minorEastAsia" w:eastAsiaTheme="minorEastAsia"/>
          <w:kern w:val="2"/>
          <w:sz w:val="24"/>
          <w:highlight w:val="none"/>
        </w:rPr>
      </w:pPr>
      <w:r>
        <w:rPr>
          <w:rFonts w:hint="eastAsia" w:cs="Times New Roman" w:asciiTheme="minorEastAsia" w:hAnsiTheme="minorEastAsia" w:eastAsiaTheme="minorEastAsia"/>
          <w:kern w:val="2"/>
          <w:sz w:val="24"/>
          <w:highlight w:val="none"/>
        </w:rPr>
        <w:t>特此承诺</w:t>
      </w:r>
    </w:p>
    <w:p w14:paraId="39AB613D">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cs="Times New Roman" w:asciiTheme="minorEastAsia" w:hAnsiTheme="minorEastAsia" w:eastAsiaTheme="minorEastAsia"/>
          <w:kern w:val="2"/>
          <w:sz w:val="24"/>
          <w:highlight w:val="none"/>
        </w:rPr>
      </w:pPr>
    </w:p>
    <w:p w14:paraId="5795CCFE">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cs="Times New Roman" w:asciiTheme="minorEastAsia" w:hAnsiTheme="minorEastAsia" w:eastAsiaTheme="minorEastAsia"/>
          <w:kern w:val="2"/>
          <w:sz w:val="24"/>
          <w:highlight w:val="none"/>
        </w:rPr>
      </w:pPr>
    </w:p>
    <w:p w14:paraId="7FAA12B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cs="Times New Roman" w:asciiTheme="minorEastAsia" w:hAnsiTheme="minorEastAsia" w:eastAsiaTheme="minorEastAsia"/>
          <w:kern w:val="2"/>
          <w:sz w:val="24"/>
          <w:highlight w:val="none"/>
        </w:rPr>
      </w:pPr>
    </w:p>
    <w:p w14:paraId="4859D68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cs="Times New Roman" w:asciiTheme="minorEastAsia" w:hAnsiTheme="minorEastAsia" w:eastAsiaTheme="minorEastAsia"/>
          <w:kern w:val="2"/>
          <w:sz w:val="24"/>
          <w:highlight w:val="none"/>
        </w:rPr>
      </w:pPr>
      <w:r>
        <w:rPr>
          <w:rFonts w:hint="eastAsia" w:cs="Times New Roman" w:asciiTheme="minorEastAsia" w:hAnsiTheme="minorEastAsia"/>
          <w:kern w:val="2"/>
          <w:sz w:val="24"/>
          <w:highlight w:val="none"/>
          <w:lang w:eastAsia="zh-CN"/>
        </w:rPr>
        <w:t>投标人</w:t>
      </w:r>
      <w:r>
        <w:rPr>
          <w:rFonts w:hint="eastAsia" w:cs="Times New Roman" w:asciiTheme="minorEastAsia" w:hAnsiTheme="minorEastAsia" w:eastAsiaTheme="minorEastAsia"/>
          <w:kern w:val="2"/>
          <w:sz w:val="24"/>
          <w:highlight w:val="none"/>
        </w:rPr>
        <w:t>：</w:t>
      </w:r>
      <w:r>
        <w:rPr>
          <w:rFonts w:hint="eastAsia" w:cs="Times New Roman" w:asciiTheme="minorEastAsia" w:hAnsiTheme="minorEastAsia" w:eastAsiaTheme="minorEastAsia"/>
          <w:kern w:val="2"/>
          <w:sz w:val="24"/>
          <w:highlight w:val="none"/>
          <w:u w:val="single"/>
        </w:rPr>
        <w:t xml:space="preserve">                     </w:t>
      </w:r>
      <w:r>
        <w:rPr>
          <w:rFonts w:hint="eastAsia" w:cs="Times New Roman" w:asciiTheme="minorEastAsia" w:hAnsiTheme="minorEastAsia" w:eastAsiaTheme="minorEastAsia"/>
          <w:kern w:val="2"/>
          <w:sz w:val="24"/>
          <w:highlight w:val="none"/>
        </w:rPr>
        <w:t>（盖章）</w:t>
      </w:r>
    </w:p>
    <w:p w14:paraId="7C8C275F">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cs="Times New Roman" w:asciiTheme="minorEastAsia" w:hAnsiTheme="minorEastAsia" w:eastAsiaTheme="minorEastAsia"/>
          <w:kern w:val="2"/>
          <w:sz w:val="24"/>
          <w:highlight w:val="none"/>
        </w:rPr>
      </w:pPr>
      <w:r>
        <w:rPr>
          <w:rFonts w:hint="eastAsia" w:cs="Times New Roman" w:asciiTheme="minorEastAsia" w:hAnsiTheme="minorEastAsia" w:eastAsiaTheme="minorEastAsia"/>
          <w:kern w:val="2"/>
          <w:sz w:val="24"/>
          <w:highlight w:val="none"/>
        </w:rPr>
        <w:t>法定代表人：</w:t>
      </w:r>
      <w:r>
        <w:rPr>
          <w:rFonts w:hint="eastAsia" w:cs="Times New Roman" w:asciiTheme="minorEastAsia" w:hAnsiTheme="minorEastAsia" w:eastAsiaTheme="minorEastAsia"/>
          <w:kern w:val="2"/>
          <w:sz w:val="24"/>
          <w:highlight w:val="none"/>
          <w:u w:val="single"/>
        </w:rPr>
        <w:t xml:space="preserve">             </w:t>
      </w:r>
      <w:r>
        <w:rPr>
          <w:rFonts w:hint="eastAsia" w:cs="Times New Roman" w:asciiTheme="minorEastAsia" w:hAnsiTheme="minorEastAsia" w:eastAsiaTheme="minorEastAsia"/>
          <w:kern w:val="2"/>
          <w:sz w:val="24"/>
          <w:highlight w:val="none"/>
        </w:rPr>
        <w:t>（</w:t>
      </w:r>
      <w:r>
        <w:rPr>
          <w:rFonts w:hint="eastAsia" w:cs="Times New Roman" w:asciiTheme="minorEastAsia" w:hAnsiTheme="minorEastAsia"/>
          <w:kern w:val="2"/>
          <w:sz w:val="24"/>
          <w:highlight w:val="none"/>
          <w:lang w:val="en-US" w:eastAsia="zh-CN"/>
        </w:rPr>
        <w:t>电子签章</w:t>
      </w:r>
      <w:r>
        <w:rPr>
          <w:rFonts w:hint="eastAsia" w:cs="Times New Roman" w:asciiTheme="minorEastAsia" w:hAnsiTheme="minorEastAsia" w:eastAsiaTheme="minorEastAsia"/>
          <w:kern w:val="2"/>
          <w:sz w:val="24"/>
          <w:highlight w:val="none"/>
        </w:rPr>
        <w:t>）</w:t>
      </w:r>
    </w:p>
    <w:p w14:paraId="3DA3024F">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cs="Times New Roman" w:asciiTheme="minorEastAsia" w:hAnsiTheme="minorEastAsia" w:eastAsiaTheme="minorEastAsia"/>
          <w:kern w:val="2"/>
          <w:sz w:val="24"/>
          <w:highlight w:val="none"/>
        </w:rPr>
      </w:pPr>
    </w:p>
    <w:p w14:paraId="4EF724F0">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cs="Times New Roman" w:asciiTheme="minorEastAsia" w:hAnsiTheme="minorEastAsia" w:eastAsiaTheme="minorEastAsia"/>
          <w:kern w:val="2"/>
          <w:sz w:val="24"/>
          <w:highlight w:val="none"/>
        </w:rPr>
        <w:sectPr>
          <w:footerReference r:id="rId5" w:type="default"/>
          <w:pgSz w:w="11906" w:h="16838"/>
          <w:pgMar w:top="1440" w:right="1417" w:bottom="1440"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cs="Times New Roman" w:asciiTheme="minorEastAsia" w:hAnsiTheme="minorEastAsia" w:eastAsiaTheme="minorEastAsia"/>
          <w:kern w:val="2"/>
          <w:sz w:val="24"/>
          <w:highlight w:val="none"/>
          <w:u w:val="single"/>
        </w:rPr>
        <w:t xml:space="preserve">        </w:t>
      </w:r>
      <w:r>
        <w:rPr>
          <w:rFonts w:hint="eastAsia" w:cs="Times New Roman" w:asciiTheme="minorEastAsia" w:hAnsiTheme="minorEastAsia" w:eastAsiaTheme="minorEastAsia"/>
          <w:kern w:val="2"/>
          <w:sz w:val="24"/>
          <w:highlight w:val="none"/>
        </w:rPr>
        <w:t>年</w:t>
      </w:r>
      <w:r>
        <w:rPr>
          <w:rFonts w:hint="eastAsia" w:cs="Times New Roman" w:asciiTheme="minorEastAsia" w:hAnsiTheme="minorEastAsia" w:eastAsiaTheme="minorEastAsia"/>
          <w:kern w:val="2"/>
          <w:sz w:val="24"/>
          <w:highlight w:val="none"/>
          <w:u w:val="single"/>
        </w:rPr>
        <w:t xml:space="preserve">       </w:t>
      </w:r>
      <w:r>
        <w:rPr>
          <w:rFonts w:hint="eastAsia" w:cs="Times New Roman" w:asciiTheme="minorEastAsia" w:hAnsiTheme="minorEastAsia" w:eastAsiaTheme="minorEastAsia"/>
          <w:kern w:val="2"/>
          <w:sz w:val="24"/>
          <w:highlight w:val="none"/>
        </w:rPr>
        <w:t>月</w:t>
      </w:r>
      <w:r>
        <w:rPr>
          <w:rFonts w:hint="eastAsia" w:cs="Times New Roman" w:asciiTheme="minorEastAsia" w:hAnsiTheme="minorEastAsia" w:eastAsiaTheme="minorEastAsia"/>
          <w:kern w:val="2"/>
          <w:sz w:val="24"/>
          <w:highlight w:val="none"/>
          <w:u w:val="single"/>
        </w:rPr>
        <w:t xml:space="preserve">        </w:t>
      </w:r>
      <w:r>
        <w:rPr>
          <w:rFonts w:hint="eastAsia" w:cs="Times New Roman" w:asciiTheme="minorEastAsia" w:hAnsiTheme="minorEastAsia" w:eastAsiaTheme="minorEastAsia"/>
          <w:kern w:val="2"/>
          <w:sz w:val="24"/>
          <w:highlight w:val="none"/>
        </w:rPr>
        <w:t>日</w:t>
      </w:r>
    </w:p>
    <w:p w14:paraId="2F807E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ascii="宋体" w:hAnsi="宋体" w:eastAsia="宋体" w:cs="宋体"/>
          <w:b/>
          <w:bCs/>
          <w:sz w:val="30"/>
          <w:szCs w:val="30"/>
          <w:highlight w:val="none"/>
        </w:rPr>
      </w:pPr>
      <w:r>
        <w:rPr>
          <w:rFonts w:hint="eastAsia" w:ascii="宋体" w:hAnsi="宋体" w:eastAsia="宋体" w:cs="宋体"/>
          <w:b/>
          <w:bCs/>
          <w:sz w:val="30"/>
          <w:szCs w:val="30"/>
          <w:highlight w:val="none"/>
          <w:lang w:val="en-US" w:eastAsia="zh-CN"/>
        </w:rPr>
        <w:t>七</w:t>
      </w:r>
      <w:r>
        <w:rPr>
          <w:rFonts w:hint="eastAsia" w:ascii="宋体" w:hAnsi="宋体" w:eastAsia="宋体" w:cs="宋体"/>
          <w:b/>
          <w:bCs/>
          <w:sz w:val="30"/>
          <w:szCs w:val="30"/>
          <w:highlight w:val="none"/>
        </w:rPr>
        <w:t>、资格审查资料</w:t>
      </w:r>
      <w:bookmarkEnd w:id="1116"/>
      <w:bookmarkEnd w:id="1117"/>
      <w:bookmarkEnd w:id="1118"/>
      <w:bookmarkEnd w:id="1119"/>
    </w:p>
    <w:p w14:paraId="1B256E89">
      <w:pPr>
        <w:pStyle w:val="21"/>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center"/>
        <w:rPr>
          <w:rFonts w:hint="default" w:ascii="宋体" w:hAnsi="宋体" w:eastAsia="宋体"/>
          <w:caps w:val="0"/>
          <w:color w:val="auto"/>
          <w:highlight w:val="none"/>
          <w:lang w:val="en-US" w:eastAsia="zh-CN"/>
        </w:rPr>
      </w:pPr>
      <w:r>
        <w:rPr>
          <w:rFonts w:hint="eastAsia" w:ascii="宋体" w:hAnsi="宋体" w:eastAsia="宋体" w:cs="宋体"/>
          <w:b/>
          <w:bCs/>
          <w:caps w:val="0"/>
          <w:snapToGrid w:val="0"/>
          <w:color w:val="auto"/>
          <w:kern w:val="0"/>
          <w:sz w:val="32"/>
          <w:szCs w:val="32"/>
          <w:highlight w:val="none"/>
          <w:lang w:eastAsia="zh-CN"/>
        </w:rPr>
        <w:t>（</w:t>
      </w:r>
      <w:r>
        <w:rPr>
          <w:rFonts w:hint="eastAsia" w:ascii="宋体" w:hAnsi="宋体" w:eastAsia="宋体" w:cs="宋体"/>
          <w:b/>
          <w:bCs/>
          <w:caps w:val="0"/>
          <w:snapToGrid w:val="0"/>
          <w:color w:val="auto"/>
          <w:kern w:val="0"/>
          <w:sz w:val="32"/>
          <w:szCs w:val="32"/>
          <w:highlight w:val="none"/>
          <w:lang w:val="en-US" w:eastAsia="zh-CN"/>
        </w:rPr>
        <w:t>一）投标人基本情况表</w:t>
      </w:r>
    </w:p>
    <w:tbl>
      <w:tblPr>
        <w:tblStyle w:val="23"/>
        <w:tblW w:w="0" w:type="auto"/>
        <w:jc w:val="center"/>
        <w:tblLayout w:type="fixed"/>
        <w:tblCellMar>
          <w:top w:w="0" w:type="dxa"/>
          <w:left w:w="108" w:type="dxa"/>
          <w:bottom w:w="0" w:type="dxa"/>
          <w:right w:w="108" w:type="dxa"/>
        </w:tblCellMar>
      </w:tblPr>
      <w:tblGrid>
        <w:gridCol w:w="1596"/>
        <w:gridCol w:w="993"/>
        <w:gridCol w:w="886"/>
        <w:gridCol w:w="1243"/>
        <w:gridCol w:w="1418"/>
        <w:gridCol w:w="929"/>
        <w:gridCol w:w="1334"/>
      </w:tblGrid>
      <w:tr w14:paraId="0CBBAA12">
        <w:tblPrEx>
          <w:tblCellMar>
            <w:top w:w="0" w:type="dxa"/>
            <w:left w:w="108" w:type="dxa"/>
            <w:bottom w:w="0" w:type="dxa"/>
            <w:right w:w="108" w:type="dxa"/>
          </w:tblCellMar>
        </w:tblPrEx>
        <w:trPr>
          <w:trHeight w:val="100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49482F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投标人</w:t>
            </w:r>
          </w:p>
          <w:p w14:paraId="30E689C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名称</w:t>
            </w:r>
          </w:p>
        </w:tc>
        <w:tc>
          <w:tcPr>
            <w:tcW w:w="6803" w:type="dxa"/>
            <w:gridSpan w:val="6"/>
            <w:tcBorders>
              <w:top w:val="single" w:color="auto" w:sz="4" w:space="0"/>
              <w:left w:val="nil"/>
              <w:bottom w:val="single" w:color="auto" w:sz="4" w:space="0"/>
              <w:right w:val="single" w:color="auto" w:sz="4" w:space="0"/>
            </w:tcBorders>
            <w:noWrap w:val="0"/>
            <w:vAlign w:val="center"/>
          </w:tcPr>
          <w:p w14:paraId="0ED1C8A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278DF4C">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0B25FF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注册地址</w:t>
            </w:r>
          </w:p>
        </w:tc>
        <w:tc>
          <w:tcPr>
            <w:tcW w:w="3122" w:type="dxa"/>
            <w:gridSpan w:val="3"/>
            <w:tcBorders>
              <w:top w:val="single" w:color="auto" w:sz="4" w:space="0"/>
              <w:left w:val="nil"/>
              <w:bottom w:val="single" w:color="auto" w:sz="4" w:space="0"/>
              <w:right w:val="single" w:color="auto" w:sz="4" w:space="0"/>
            </w:tcBorders>
            <w:noWrap w:val="0"/>
            <w:vAlign w:val="center"/>
          </w:tcPr>
          <w:p w14:paraId="292B5912">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EF5A6A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邮政编码</w:t>
            </w:r>
          </w:p>
        </w:tc>
        <w:tc>
          <w:tcPr>
            <w:tcW w:w="2263" w:type="dxa"/>
            <w:gridSpan w:val="2"/>
            <w:tcBorders>
              <w:top w:val="single" w:color="auto" w:sz="4" w:space="0"/>
              <w:left w:val="nil"/>
              <w:bottom w:val="single" w:color="auto" w:sz="4" w:space="0"/>
              <w:right w:val="single" w:color="auto" w:sz="4" w:space="0"/>
            </w:tcBorders>
            <w:noWrap w:val="0"/>
            <w:vAlign w:val="center"/>
          </w:tcPr>
          <w:p w14:paraId="637ABE2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182CDBB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717C6E2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联系方式</w:t>
            </w:r>
          </w:p>
        </w:tc>
        <w:tc>
          <w:tcPr>
            <w:tcW w:w="993" w:type="dxa"/>
            <w:tcBorders>
              <w:top w:val="single" w:color="auto" w:sz="4" w:space="0"/>
              <w:left w:val="nil"/>
              <w:bottom w:val="single" w:color="auto" w:sz="4" w:space="0"/>
              <w:right w:val="single" w:color="auto" w:sz="4" w:space="0"/>
            </w:tcBorders>
            <w:noWrap w:val="0"/>
            <w:vAlign w:val="center"/>
          </w:tcPr>
          <w:p w14:paraId="445D59B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联系人</w:t>
            </w:r>
          </w:p>
        </w:tc>
        <w:tc>
          <w:tcPr>
            <w:tcW w:w="2129" w:type="dxa"/>
            <w:gridSpan w:val="2"/>
            <w:tcBorders>
              <w:top w:val="single" w:color="auto" w:sz="4" w:space="0"/>
              <w:left w:val="nil"/>
              <w:bottom w:val="single" w:color="auto" w:sz="4" w:space="0"/>
              <w:right w:val="single" w:color="auto" w:sz="4" w:space="0"/>
            </w:tcBorders>
            <w:noWrap w:val="0"/>
            <w:vAlign w:val="center"/>
          </w:tcPr>
          <w:p w14:paraId="6ADA2E9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EDB01B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电话</w:t>
            </w:r>
          </w:p>
        </w:tc>
        <w:tc>
          <w:tcPr>
            <w:tcW w:w="2263" w:type="dxa"/>
            <w:gridSpan w:val="2"/>
            <w:tcBorders>
              <w:top w:val="single" w:color="auto" w:sz="4" w:space="0"/>
              <w:left w:val="nil"/>
              <w:bottom w:val="single" w:color="auto" w:sz="4" w:space="0"/>
              <w:right w:val="single" w:color="auto" w:sz="4" w:space="0"/>
            </w:tcBorders>
            <w:noWrap w:val="0"/>
            <w:vAlign w:val="center"/>
          </w:tcPr>
          <w:p w14:paraId="6F04704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731744D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3C1DF79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法定代表人</w:t>
            </w:r>
          </w:p>
        </w:tc>
        <w:tc>
          <w:tcPr>
            <w:tcW w:w="993" w:type="dxa"/>
            <w:tcBorders>
              <w:top w:val="single" w:color="auto" w:sz="4" w:space="0"/>
              <w:left w:val="nil"/>
              <w:bottom w:val="single" w:color="auto" w:sz="4" w:space="0"/>
              <w:right w:val="single" w:color="auto" w:sz="4" w:space="0"/>
            </w:tcBorders>
            <w:noWrap w:val="0"/>
            <w:vAlign w:val="center"/>
          </w:tcPr>
          <w:p w14:paraId="09AF998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姓名</w:t>
            </w:r>
          </w:p>
        </w:tc>
        <w:tc>
          <w:tcPr>
            <w:tcW w:w="886" w:type="dxa"/>
            <w:tcBorders>
              <w:top w:val="single" w:color="auto" w:sz="4" w:space="0"/>
              <w:left w:val="nil"/>
              <w:bottom w:val="single" w:color="auto" w:sz="4" w:space="0"/>
              <w:right w:val="single" w:color="auto" w:sz="4" w:space="0"/>
            </w:tcBorders>
            <w:noWrap w:val="0"/>
            <w:vAlign w:val="center"/>
          </w:tcPr>
          <w:p w14:paraId="74FAE65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243" w:type="dxa"/>
            <w:tcBorders>
              <w:top w:val="single" w:color="auto" w:sz="4" w:space="0"/>
              <w:left w:val="nil"/>
              <w:bottom w:val="single" w:color="auto" w:sz="4" w:space="0"/>
              <w:right w:val="single" w:color="auto" w:sz="4" w:space="0"/>
            </w:tcBorders>
            <w:noWrap w:val="0"/>
            <w:vAlign w:val="center"/>
          </w:tcPr>
          <w:p w14:paraId="4BD15A0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技术职称</w:t>
            </w:r>
          </w:p>
        </w:tc>
        <w:tc>
          <w:tcPr>
            <w:tcW w:w="1418" w:type="dxa"/>
            <w:tcBorders>
              <w:top w:val="single" w:color="auto" w:sz="4" w:space="0"/>
              <w:left w:val="nil"/>
              <w:bottom w:val="single" w:color="auto" w:sz="4" w:space="0"/>
              <w:right w:val="single" w:color="auto" w:sz="4" w:space="0"/>
            </w:tcBorders>
            <w:noWrap w:val="0"/>
            <w:vAlign w:val="center"/>
          </w:tcPr>
          <w:p w14:paraId="5D96194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929" w:type="dxa"/>
            <w:tcBorders>
              <w:top w:val="single" w:color="auto" w:sz="4" w:space="0"/>
              <w:left w:val="nil"/>
              <w:bottom w:val="single" w:color="auto" w:sz="4" w:space="0"/>
              <w:right w:val="single" w:color="auto" w:sz="4" w:space="0"/>
            </w:tcBorders>
            <w:noWrap w:val="0"/>
            <w:vAlign w:val="center"/>
          </w:tcPr>
          <w:p w14:paraId="03C2B1C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电话</w:t>
            </w:r>
          </w:p>
        </w:tc>
        <w:tc>
          <w:tcPr>
            <w:tcW w:w="1334" w:type="dxa"/>
            <w:tcBorders>
              <w:top w:val="single" w:color="auto" w:sz="4" w:space="0"/>
              <w:left w:val="nil"/>
              <w:bottom w:val="single" w:color="auto" w:sz="4" w:space="0"/>
              <w:right w:val="single" w:color="auto" w:sz="4" w:space="0"/>
            </w:tcBorders>
            <w:noWrap w:val="0"/>
            <w:vAlign w:val="center"/>
          </w:tcPr>
          <w:p w14:paraId="39A6D98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3EB33CA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74F17B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成立时间</w:t>
            </w:r>
          </w:p>
        </w:tc>
        <w:tc>
          <w:tcPr>
            <w:tcW w:w="6803" w:type="dxa"/>
            <w:gridSpan w:val="6"/>
            <w:tcBorders>
              <w:top w:val="single" w:color="auto" w:sz="4" w:space="0"/>
              <w:left w:val="nil"/>
              <w:bottom w:val="single" w:color="auto" w:sz="4" w:space="0"/>
              <w:right w:val="single" w:color="auto" w:sz="4" w:space="0"/>
            </w:tcBorders>
            <w:noWrap w:val="0"/>
            <w:vAlign w:val="center"/>
          </w:tcPr>
          <w:p w14:paraId="6506173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87D8171">
        <w:tblPrEx>
          <w:tblCellMar>
            <w:top w:w="0" w:type="dxa"/>
            <w:left w:w="108" w:type="dxa"/>
            <w:bottom w:w="0" w:type="dxa"/>
            <w:right w:w="108" w:type="dxa"/>
          </w:tblCellMar>
        </w:tblPrEx>
        <w:trPr>
          <w:trHeight w:val="100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ECD2D3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企业资质等级</w:t>
            </w:r>
          </w:p>
        </w:tc>
        <w:tc>
          <w:tcPr>
            <w:tcW w:w="6803" w:type="dxa"/>
            <w:gridSpan w:val="6"/>
            <w:tcBorders>
              <w:top w:val="single" w:color="auto" w:sz="4" w:space="0"/>
              <w:left w:val="nil"/>
              <w:bottom w:val="single" w:color="auto" w:sz="4" w:space="0"/>
              <w:right w:val="single" w:color="auto" w:sz="4" w:space="0"/>
            </w:tcBorders>
            <w:noWrap w:val="0"/>
            <w:vAlign w:val="center"/>
          </w:tcPr>
          <w:p w14:paraId="6758683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B5E418C">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480A1F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营业执照号</w:t>
            </w:r>
          </w:p>
        </w:tc>
        <w:tc>
          <w:tcPr>
            <w:tcW w:w="6803" w:type="dxa"/>
            <w:gridSpan w:val="6"/>
            <w:tcBorders>
              <w:top w:val="single" w:color="auto" w:sz="4" w:space="0"/>
              <w:left w:val="nil"/>
              <w:bottom w:val="single" w:color="auto" w:sz="4" w:space="0"/>
              <w:right w:val="single" w:color="auto" w:sz="4" w:space="0"/>
            </w:tcBorders>
            <w:noWrap w:val="0"/>
            <w:vAlign w:val="center"/>
          </w:tcPr>
          <w:p w14:paraId="521EF09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4E943C3F">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29DE4C3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注册资金</w:t>
            </w:r>
          </w:p>
        </w:tc>
        <w:tc>
          <w:tcPr>
            <w:tcW w:w="6803" w:type="dxa"/>
            <w:gridSpan w:val="6"/>
            <w:tcBorders>
              <w:top w:val="single" w:color="auto" w:sz="4" w:space="0"/>
              <w:left w:val="nil"/>
              <w:bottom w:val="single" w:color="auto" w:sz="4" w:space="0"/>
              <w:right w:val="single" w:color="auto" w:sz="4" w:space="0"/>
            </w:tcBorders>
            <w:noWrap w:val="0"/>
            <w:vAlign w:val="center"/>
          </w:tcPr>
          <w:p w14:paraId="2A5F9F8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79C92AF0">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552077E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开户银行</w:t>
            </w:r>
          </w:p>
        </w:tc>
        <w:tc>
          <w:tcPr>
            <w:tcW w:w="6803" w:type="dxa"/>
            <w:gridSpan w:val="6"/>
            <w:tcBorders>
              <w:top w:val="single" w:color="auto" w:sz="4" w:space="0"/>
              <w:left w:val="nil"/>
              <w:bottom w:val="single" w:color="auto" w:sz="4" w:space="0"/>
              <w:right w:val="single" w:color="auto" w:sz="4" w:space="0"/>
            </w:tcBorders>
            <w:noWrap w:val="0"/>
            <w:vAlign w:val="center"/>
          </w:tcPr>
          <w:p w14:paraId="229AC2C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847BF53">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365EBA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账号</w:t>
            </w:r>
          </w:p>
        </w:tc>
        <w:tc>
          <w:tcPr>
            <w:tcW w:w="6803" w:type="dxa"/>
            <w:gridSpan w:val="6"/>
            <w:tcBorders>
              <w:top w:val="single" w:color="auto" w:sz="4" w:space="0"/>
              <w:left w:val="nil"/>
              <w:bottom w:val="single" w:color="auto" w:sz="4" w:space="0"/>
              <w:right w:val="single" w:color="auto" w:sz="4" w:space="0"/>
            </w:tcBorders>
            <w:noWrap w:val="0"/>
            <w:vAlign w:val="center"/>
          </w:tcPr>
          <w:p w14:paraId="4837C0C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176324FE">
        <w:tblPrEx>
          <w:tblCellMar>
            <w:top w:w="0" w:type="dxa"/>
            <w:left w:w="108" w:type="dxa"/>
            <w:bottom w:w="0" w:type="dxa"/>
            <w:right w:w="108" w:type="dxa"/>
          </w:tblCellMar>
        </w:tblPrEx>
        <w:trPr>
          <w:trHeight w:val="346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3DC163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经营范围</w:t>
            </w:r>
          </w:p>
        </w:tc>
        <w:tc>
          <w:tcPr>
            <w:tcW w:w="6803" w:type="dxa"/>
            <w:gridSpan w:val="6"/>
            <w:tcBorders>
              <w:top w:val="single" w:color="auto" w:sz="4" w:space="0"/>
              <w:left w:val="nil"/>
              <w:bottom w:val="single" w:color="auto" w:sz="4" w:space="0"/>
              <w:right w:val="single" w:color="auto" w:sz="4" w:space="0"/>
            </w:tcBorders>
            <w:noWrap w:val="0"/>
            <w:vAlign w:val="center"/>
          </w:tcPr>
          <w:p w14:paraId="0394E57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A6D6744">
        <w:tblPrEx>
          <w:tblCellMar>
            <w:top w:w="0" w:type="dxa"/>
            <w:left w:w="108" w:type="dxa"/>
            <w:bottom w:w="0" w:type="dxa"/>
            <w:right w:w="108" w:type="dxa"/>
          </w:tblCellMar>
        </w:tblPrEx>
        <w:trPr>
          <w:trHeight w:val="54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318E0A3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val="0"/>
                <w:bCs w:val="0"/>
                <w:caps w:val="0"/>
                <w:snapToGrid w:val="0"/>
                <w:color w:val="auto"/>
                <w:kern w:val="0"/>
                <w:sz w:val="24"/>
                <w:szCs w:val="24"/>
                <w:highlight w:val="none"/>
              </w:rPr>
            </w:pPr>
            <w:r>
              <w:rPr>
                <w:rFonts w:hint="eastAsia" w:ascii="宋体" w:hAnsi="宋体" w:eastAsia="宋体" w:cs="宋体"/>
                <w:b w:val="0"/>
                <w:bCs w:val="0"/>
                <w:caps w:val="0"/>
                <w:snapToGrid w:val="0"/>
                <w:color w:val="auto"/>
                <w:kern w:val="0"/>
                <w:sz w:val="24"/>
                <w:szCs w:val="24"/>
                <w:highlight w:val="none"/>
              </w:rPr>
              <w:t>备注</w:t>
            </w:r>
          </w:p>
        </w:tc>
        <w:tc>
          <w:tcPr>
            <w:tcW w:w="6803" w:type="dxa"/>
            <w:gridSpan w:val="6"/>
            <w:tcBorders>
              <w:top w:val="single" w:color="auto" w:sz="4" w:space="0"/>
              <w:left w:val="nil"/>
              <w:bottom w:val="single" w:color="auto" w:sz="4" w:space="0"/>
              <w:right w:val="single" w:color="auto" w:sz="4" w:space="0"/>
            </w:tcBorders>
            <w:noWrap w:val="0"/>
            <w:vAlign w:val="center"/>
          </w:tcPr>
          <w:p w14:paraId="6119972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val="0"/>
                <w:bCs w:val="0"/>
                <w:caps w:val="0"/>
                <w:snapToGrid w:val="0"/>
                <w:color w:val="auto"/>
                <w:kern w:val="0"/>
                <w:sz w:val="24"/>
                <w:szCs w:val="24"/>
                <w:highlight w:val="none"/>
              </w:rPr>
            </w:pPr>
          </w:p>
        </w:tc>
      </w:tr>
    </w:tbl>
    <w:p w14:paraId="01112832">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caps w:val="0"/>
          <w:snapToGrid w:val="0"/>
          <w:color w:val="auto"/>
          <w:sz w:val="24"/>
          <w:szCs w:val="24"/>
          <w:highlight w:val="none"/>
        </w:rPr>
      </w:pPr>
    </w:p>
    <w:p w14:paraId="5BD9AE77">
      <w:pPr>
        <w:pStyle w:val="38"/>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left"/>
        <w:rPr>
          <w:rFonts w:hint="eastAsia" w:ascii="宋体" w:hAnsi="宋体" w:eastAsia="宋体" w:cs="宋体"/>
          <w:b/>
          <w:bCs/>
          <w:caps w:val="0"/>
          <w:snapToGrid w:val="0"/>
          <w:color w:val="auto"/>
          <w:sz w:val="24"/>
          <w:szCs w:val="24"/>
          <w:highlight w:val="none"/>
          <w:lang w:val="en-US" w:eastAsia="zh-CN"/>
        </w:rPr>
      </w:pPr>
      <w:r>
        <w:rPr>
          <w:rFonts w:hint="eastAsia" w:ascii="宋体" w:hAnsi="宋体" w:eastAsia="宋体" w:cs="宋体"/>
          <w:b/>
          <w:bCs/>
          <w:caps w:val="0"/>
          <w:snapToGrid w:val="0"/>
          <w:color w:val="auto"/>
          <w:sz w:val="24"/>
          <w:szCs w:val="24"/>
          <w:highlight w:val="none"/>
          <w:lang w:eastAsia="zh-CN"/>
        </w:rPr>
        <w:t>注：</w:t>
      </w:r>
      <w:r>
        <w:rPr>
          <w:rFonts w:hint="eastAsia" w:ascii="宋体" w:hAnsi="宋体" w:eastAsia="宋体" w:cs="宋体"/>
          <w:b/>
          <w:bCs/>
          <w:caps w:val="0"/>
          <w:color w:val="auto"/>
          <w:kern w:val="0"/>
          <w:sz w:val="24"/>
          <w:szCs w:val="24"/>
          <w:highlight w:val="none"/>
          <w:lang w:val="en-US" w:eastAsia="zh-CN" w:bidi="en-US"/>
        </w:rPr>
        <w:t>附</w:t>
      </w:r>
      <w:r>
        <w:rPr>
          <w:rFonts w:hint="eastAsia" w:ascii="宋体" w:hAnsi="宋体" w:eastAsia="宋体" w:cs="宋体"/>
          <w:b/>
          <w:bCs/>
          <w:caps w:val="0"/>
          <w:snapToGrid w:val="0"/>
          <w:color w:val="auto"/>
          <w:sz w:val="24"/>
          <w:szCs w:val="24"/>
          <w:highlight w:val="none"/>
        </w:rPr>
        <w:t>营业执照</w:t>
      </w:r>
      <w:r>
        <w:rPr>
          <w:rFonts w:hint="eastAsia" w:ascii="宋体" w:hAnsi="宋体" w:eastAsia="宋体" w:cs="宋体"/>
          <w:b/>
          <w:bCs/>
          <w:caps w:val="0"/>
          <w:snapToGrid w:val="0"/>
          <w:color w:val="auto"/>
          <w:sz w:val="24"/>
          <w:szCs w:val="24"/>
          <w:highlight w:val="none"/>
          <w:lang w:eastAsia="zh-CN"/>
        </w:rPr>
        <w:t>、</w:t>
      </w:r>
      <w:r>
        <w:rPr>
          <w:rFonts w:hint="eastAsia" w:ascii="宋体" w:hAnsi="宋体" w:eastAsia="宋体" w:cs="宋体"/>
          <w:b/>
          <w:bCs/>
          <w:caps w:val="0"/>
          <w:snapToGrid w:val="0"/>
          <w:color w:val="auto"/>
          <w:sz w:val="24"/>
          <w:szCs w:val="24"/>
          <w:highlight w:val="none"/>
        </w:rPr>
        <w:t>企业资质证书、安全生产许可证</w:t>
      </w:r>
      <w:bookmarkStart w:id="1120" w:name="_Toc479320265"/>
      <w:r>
        <w:rPr>
          <w:rFonts w:hint="eastAsia" w:ascii="宋体" w:hAnsi="宋体" w:eastAsia="宋体" w:cs="宋体"/>
          <w:b/>
          <w:bCs/>
          <w:caps w:val="0"/>
          <w:snapToGrid w:val="0"/>
          <w:color w:val="auto"/>
          <w:sz w:val="24"/>
          <w:szCs w:val="24"/>
          <w:highlight w:val="none"/>
          <w:lang w:val="en-US" w:eastAsia="zh-CN"/>
        </w:rPr>
        <w:t>等资料的扫描件。</w:t>
      </w:r>
    </w:p>
    <w:p w14:paraId="5EB3D970">
      <w:pPr>
        <w:pStyle w:val="38"/>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left"/>
        <w:rPr>
          <w:rFonts w:hint="eastAsia" w:ascii="宋体" w:hAnsi="宋体" w:eastAsia="宋体" w:cs="宋体"/>
          <w:b/>
          <w:bCs/>
          <w:caps w:val="0"/>
          <w:snapToGrid w:val="0"/>
          <w:color w:val="auto"/>
          <w:sz w:val="24"/>
          <w:szCs w:val="24"/>
          <w:highlight w:val="none"/>
          <w:lang w:val="en-US" w:eastAsia="zh-CN"/>
        </w:rPr>
      </w:pPr>
      <w:r>
        <w:rPr>
          <w:rFonts w:hint="eastAsia" w:ascii="宋体" w:hAnsi="宋体" w:eastAsia="宋体" w:cs="宋体"/>
          <w:b/>
          <w:bCs/>
          <w:caps w:val="0"/>
          <w:snapToGrid w:val="0"/>
          <w:color w:val="auto"/>
          <w:sz w:val="24"/>
          <w:szCs w:val="24"/>
          <w:highlight w:val="none"/>
          <w:lang w:val="en-US" w:eastAsia="zh-CN"/>
        </w:rPr>
        <w:br w:type="page"/>
      </w:r>
    </w:p>
    <w:p w14:paraId="1CDD385C">
      <w:pPr>
        <w:pageBreakBefore w:val="0"/>
        <w:numPr>
          <w:ilvl w:val="0"/>
          <w:numId w:val="0"/>
        </w:numPr>
        <w:kinsoku/>
        <w:wordWrap/>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hint="eastAsia" w:ascii="宋体" w:hAnsi="宋体" w:eastAsia="宋体" w:cs="宋体"/>
          <w:b/>
          <w:bCs/>
          <w:caps w:val="0"/>
          <w:color w:val="auto"/>
          <w:sz w:val="32"/>
          <w:szCs w:val="32"/>
          <w:highlight w:val="none"/>
          <w:lang w:val="en-US" w:eastAsia="zh-CN"/>
        </w:rPr>
      </w:pPr>
      <w:r>
        <w:rPr>
          <w:rFonts w:hint="eastAsia" w:ascii="宋体" w:hAnsi="宋体" w:eastAsia="宋体" w:cs="宋体"/>
          <w:b/>
          <w:bCs/>
          <w:caps w:val="0"/>
          <w:color w:val="auto"/>
          <w:sz w:val="32"/>
          <w:szCs w:val="32"/>
          <w:highlight w:val="none"/>
          <w:lang w:val="zh-CN"/>
        </w:rPr>
        <w:t>（</w:t>
      </w:r>
      <w:r>
        <w:rPr>
          <w:rFonts w:hint="eastAsia" w:ascii="宋体" w:hAnsi="宋体" w:eastAsia="宋体" w:cs="宋体"/>
          <w:b/>
          <w:bCs/>
          <w:caps w:val="0"/>
          <w:color w:val="auto"/>
          <w:sz w:val="32"/>
          <w:szCs w:val="32"/>
          <w:highlight w:val="none"/>
          <w:lang w:val="en-US" w:eastAsia="zh-CN"/>
        </w:rPr>
        <w:t>二</w:t>
      </w:r>
      <w:r>
        <w:rPr>
          <w:rFonts w:hint="eastAsia" w:ascii="宋体" w:hAnsi="宋体" w:eastAsia="宋体" w:cs="宋体"/>
          <w:b/>
          <w:bCs/>
          <w:caps w:val="0"/>
          <w:color w:val="auto"/>
          <w:sz w:val="32"/>
          <w:szCs w:val="32"/>
          <w:highlight w:val="none"/>
          <w:lang w:val="zh-CN"/>
        </w:rPr>
        <w:t>）近三年内类似项目业绩表</w:t>
      </w:r>
      <w:bookmarkEnd w:id="1120"/>
    </w:p>
    <w:p w14:paraId="75179EAF">
      <w:pPr>
        <w:pStyle w:val="21"/>
        <w:pageBreakBefore w:val="0"/>
        <w:numPr>
          <w:ilvl w:val="0"/>
          <w:numId w:val="0"/>
        </w:numPr>
        <w:kinsoku/>
        <w:wordWrap/>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aps w:val="0"/>
          <w:color w:val="auto"/>
          <w:sz w:val="24"/>
          <w:szCs w:val="24"/>
          <w:highlight w:val="none"/>
          <w:lang w:val="zh-CN"/>
        </w:rPr>
      </w:pPr>
    </w:p>
    <w:tbl>
      <w:tblPr>
        <w:tblStyle w:val="23"/>
        <w:tblW w:w="0" w:type="auto"/>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5783"/>
      </w:tblGrid>
      <w:tr w14:paraId="0A1A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842" w:type="dxa"/>
            <w:noWrap w:val="0"/>
            <w:vAlign w:val="center"/>
          </w:tcPr>
          <w:p w14:paraId="7994E0A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项目名称</w:t>
            </w:r>
          </w:p>
        </w:tc>
        <w:tc>
          <w:tcPr>
            <w:tcW w:w="5783" w:type="dxa"/>
            <w:noWrap w:val="0"/>
            <w:vAlign w:val="top"/>
          </w:tcPr>
          <w:p w14:paraId="7D31E92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0207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842" w:type="dxa"/>
            <w:noWrap w:val="0"/>
            <w:vAlign w:val="center"/>
          </w:tcPr>
          <w:p w14:paraId="6E91A4F8">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项目所在地</w:t>
            </w:r>
          </w:p>
        </w:tc>
        <w:tc>
          <w:tcPr>
            <w:tcW w:w="5783" w:type="dxa"/>
            <w:noWrap w:val="0"/>
            <w:vAlign w:val="top"/>
          </w:tcPr>
          <w:p w14:paraId="4B4BC45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20D9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842" w:type="dxa"/>
            <w:noWrap w:val="0"/>
            <w:vAlign w:val="center"/>
          </w:tcPr>
          <w:p w14:paraId="260D34A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发包人名称</w:t>
            </w:r>
          </w:p>
        </w:tc>
        <w:tc>
          <w:tcPr>
            <w:tcW w:w="5783" w:type="dxa"/>
            <w:noWrap w:val="0"/>
            <w:vAlign w:val="top"/>
          </w:tcPr>
          <w:p w14:paraId="682FBA8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363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842" w:type="dxa"/>
            <w:noWrap w:val="0"/>
            <w:vAlign w:val="center"/>
          </w:tcPr>
          <w:p w14:paraId="643C53B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发包人地址</w:t>
            </w:r>
          </w:p>
        </w:tc>
        <w:tc>
          <w:tcPr>
            <w:tcW w:w="5783" w:type="dxa"/>
            <w:noWrap w:val="0"/>
            <w:vAlign w:val="top"/>
          </w:tcPr>
          <w:p w14:paraId="152C4D6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BC8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842" w:type="dxa"/>
            <w:noWrap w:val="0"/>
            <w:vAlign w:val="center"/>
          </w:tcPr>
          <w:p w14:paraId="2357EB7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发包人联系人及电话</w:t>
            </w:r>
          </w:p>
        </w:tc>
        <w:tc>
          <w:tcPr>
            <w:tcW w:w="5783" w:type="dxa"/>
            <w:noWrap w:val="0"/>
            <w:vAlign w:val="top"/>
          </w:tcPr>
          <w:p w14:paraId="34A203A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636C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2842" w:type="dxa"/>
            <w:noWrap w:val="0"/>
            <w:vAlign w:val="center"/>
          </w:tcPr>
          <w:p w14:paraId="6A168DC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合同价格</w:t>
            </w:r>
          </w:p>
        </w:tc>
        <w:tc>
          <w:tcPr>
            <w:tcW w:w="5783" w:type="dxa"/>
            <w:noWrap w:val="0"/>
            <w:vAlign w:val="top"/>
          </w:tcPr>
          <w:p w14:paraId="198898E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3A9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842" w:type="dxa"/>
            <w:noWrap w:val="0"/>
            <w:vAlign w:val="center"/>
          </w:tcPr>
          <w:p w14:paraId="26F9318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开工日期</w:t>
            </w:r>
          </w:p>
        </w:tc>
        <w:tc>
          <w:tcPr>
            <w:tcW w:w="5783" w:type="dxa"/>
            <w:noWrap w:val="0"/>
            <w:vAlign w:val="top"/>
          </w:tcPr>
          <w:p w14:paraId="4C7414F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6A5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42" w:type="dxa"/>
            <w:noWrap w:val="0"/>
            <w:vAlign w:val="center"/>
          </w:tcPr>
          <w:p w14:paraId="16A0638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竣工日期</w:t>
            </w:r>
          </w:p>
        </w:tc>
        <w:tc>
          <w:tcPr>
            <w:tcW w:w="5783" w:type="dxa"/>
            <w:noWrap w:val="0"/>
            <w:vAlign w:val="top"/>
          </w:tcPr>
          <w:p w14:paraId="34E1CC8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4BCF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42" w:type="dxa"/>
            <w:noWrap w:val="0"/>
            <w:vAlign w:val="center"/>
          </w:tcPr>
          <w:p w14:paraId="2F933E9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承担的工作</w:t>
            </w:r>
          </w:p>
        </w:tc>
        <w:tc>
          <w:tcPr>
            <w:tcW w:w="5783" w:type="dxa"/>
            <w:noWrap w:val="0"/>
            <w:vAlign w:val="top"/>
          </w:tcPr>
          <w:p w14:paraId="32AE416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1D0C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842" w:type="dxa"/>
            <w:noWrap w:val="0"/>
            <w:vAlign w:val="center"/>
          </w:tcPr>
          <w:p w14:paraId="25720E4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工程质量</w:t>
            </w:r>
          </w:p>
        </w:tc>
        <w:tc>
          <w:tcPr>
            <w:tcW w:w="5783" w:type="dxa"/>
            <w:noWrap w:val="0"/>
            <w:vAlign w:val="top"/>
          </w:tcPr>
          <w:p w14:paraId="5117844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05D5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842" w:type="dxa"/>
            <w:noWrap w:val="0"/>
            <w:vAlign w:val="center"/>
          </w:tcPr>
          <w:p w14:paraId="19A7F28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项目经理</w:t>
            </w:r>
          </w:p>
        </w:tc>
        <w:tc>
          <w:tcPr>
            <w:tcW w:w="5783" w:type="dxa"/>
            <w:noWrap w:val="0"/>
            <w:vAlign w:val="top"/>
          </w:tcPr>
          <w:p w14:paraId="7E5DDFB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3318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842" w:type="dxa"/>
            <w:noWrap w:val="0"/>
            <w:vAlign w:val="center"/>
          </w:tcPr>
          <w:p w14:paraId="5B8AAA4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技术负责人</w:t>
            </w:r>
          </w:p>
        </w:tc>
        <w:tc>
          <w:tcPr>
            <w:tcW w:w="5783" w:type="dxa"/>
            <w:noWrap w:val="0"/>
            <w:vAlign w:val="top"/>
          </w:tcPr>
          <w:p w14:paraId="47212A7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41FC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842" w:type="dxa"/>
            <w:noWrap w:val="0"/>
            <w:vAlign w:val="center"/>
          </w:tcPr>
          <w:p w14:paraId="6E6F278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总监理工程师及电话</w:t>
            </w:r>
          </w:p>
        </w:tc>
        <w:tc>
          <w:tcPr>
            <w:tcW w:w="5783" w:type="dxa"/>
            <w:noWrap w:val="0"/>
            <w:vAlign w:val="top"/>
          </w:tcPr>
          <w:p w14:paraId="6DEE09D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C6C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2842" w:type="dxa"/>
            <w:noWrap w:val="0"/>
            <w:vAlign w:val="center"/>
          </w:tcPr>
          <w:p w14:paraId="5F3FAB0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项目描述</w:t>
            </w:r>
          </w:p>
        </w:tc>
        <w:tc>
          <w:tcPr>
            <w:tcW w:w="5783" w:type="dxa"/>
            <w:noWrap w:val="0"/>
            <w:vAlign w:val="top"/>
          </w:tcPr>
          <w:p w14:paraId="2DD74E0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p w14:paraId="2D9FAF4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1592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842" w:type="dxa"/>
            <w:noWrap w:val="0"/>
            <w:vAlign w:val="center"/>
          </w:tcPr>
          <w:p w14:paraId="5CD6192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备注</w:t>
            </w:r>
          </w:p>
        </w:tc>
        <w:tc>
          <w:tcPr>
            <w:tcW w:w="5783" w:type="dxa"/>
            <w:noWrap w:val="0"/>
            <w:vAlign w:val="top"/>
          </w:tcPr>
          <w:p w14:paraId="1F1C0F7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bl>
    <w:p w14:paraId="39CD65F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sz w:val="24"/>
          <w:szCs w:val="24"/>
          <w:highlight w:val="none"/>
        </w:rPr>
      </w:pPr>
      <w:r>
        <w:rPr>
          <w:rFonts w:hint="eastAsia" w:ascii="宋体" w:hAnsi="宋体" w:eastAsia="宋体" w:cs="宋体"/>
          <w:b/>
          <w:bCs/>
          <w:caps w:val="0"/>
          <w:color w:val="auto"/>
          <w:kern w:val="0"/>
          <w:sz w:val="24"/>
          <w:szCs w:val="24"/>
          <w:highlight w:val="none"/>
        </w:rPr>
        <w:t>注：1、本表后附中标通知书</w:t>
      </w:r>
      <w:r>
        <w:rPr>
          <w:rFonts w:hint="eastAsia" w:ascii="宋体" w:hAnsi="宋体" w:eastAsia="宋体" w:cs="宋体"/>
          <w:b/>
          <w:bCs/>
          <w:caps w:val="0"/>
          <w:color w:val="auto"/>
          <w:kern w:val="0"/>
          <w:sz w:val="24"/>
          <w:szCs w:val="24"/>
          <w:highlight w:val="none"/>
          <w:lang w:val="en-US" w:eastAsia="zh-CN"/>
        </w:rPr>
        <w:t>及</w:t>
      </w:r>
      <w:r>
        <w:rPr>
          <w:rFonts w:hint="eastAsia" w:ascii="宋体" w:hAnsi="宋体" w:eastAsia="宋体" w:cs="宋体"/>
          <w:b/>
          <w:bCs/>
          <w:caps w:val="0"/>
          <w:color w:val="auto"/>
          <w:kern w:val="0"/>
          <w:sz w:val="24"/>
          <w:szCs w:val="24"/>
          <w:highlight w:val="none"/>
        </w:rPr>
        <w:t>合同协议书</w:t>
      </w:r>
      <w:r>
        <w:rPr>
          <w:rFonts w:hint="eastAsia" w:ascii="宋体" w:hAnsi="宋体" w:eastAsia="宋体" w:cs="宋体"/>
          <w:b/>
          <w:bCs/>
          <w:caps w:val="0"/>
          <w:color w:val="auto"/>
          <w:kern w:val="0"/>
          <w:sz w:val="24"/>
          <w:szCs w:val="24"/>
          <w:highlight w:val="none"/>
          <w:lang w:val="en-US" w:eastAsia="zh-CN"/>
        </w:rPr>
        <w:t>扫描件</w:t>
      </w:r>
      <w:r>
        <w:rPr>
          <w:rFonts w:hint="eastAsia" w:ascii="宋体" w:hAnsi="宋体" w:eastAsia="宋体" w:cs="宋体"/>
          <w:b/>
          <w:bCs/>
          <w:caps w:val="0"/>
          <w:color w:val="auto"/>
          <w:kern w:val="0"/>
          <w:sz w:val="24"/>
          <w:szCs w:val="24"/>
          <w:highlight w:val="none"/>
        </w:rPr>
        <w:t>，具体年份要求20</w:t>
      </w:r>
      <w:r>
        <w:rPr>
          <w:rFonts w:hint="eastAsia" w:ascii="宋体" w:hAnsi="宋体" w:eastAsia="宋体" w:cs="宋体"/>
          <w:b/>
          <w:bCs/>
          <w:caps w:val="0"/>
          <w:color w:val="auto"/>
          <w:kern w:val="0"/>
          <w:sz w:val="24"/>
          <w:szCs w:val="24"/>
          <w:highlight w:val="none"/>
          <w:lang w:val="en-US" w:eastAsia="zh-CN"/>
        </w:rPr>
        <w:t>22</w:t>
      </w:r>
      <w:r>
        <w:rPr>
          <w:rFonts w:hint="eastAsia" w:ascii="宋体" w:hAnsi="宋体" w:eastAsia="宋体" w:cs="宋体"/>
          <w:b/>
          <w:bCs/>
          <w:caps w:val="0"/>
          <w:color w:val="auto"/>
          <w:kern w:val="0"/>
          <w:sz w:val="24"/>
          <w:szCs w:val="24"/>
          <w:highlight w:val="none"/>
        </w:rPr>
        <w:t>年1月1日以来</w:t>
      </w:r>
      <w:r>
        <w:rPr>
          <w:rFonts w:hint="eastAsia" w:ascii="宋体" w:hAnsi="宋体" w:eastAsia="宋体" w:cs="宋体"/>
          <w:b/>
          <w:bCs/>
          <w:caps w:val="0"/>
          <w:color w:val="auto"/>
          <w:kern w:val="0"/>
          <w:sz w:val="24"/>
          <w:szCs w:val="24"/>
          <w:highlight w:val="none"/>
          <w:lang w:eastAsia="zh-CN"/>
        </w:rPr>
        <w:t>，</w:t>
      </w:r>
      <w:r>
        <w:rPr>
          <w:rFonts w:hint="eastAsia" w:ascii="宋体" w:hAnsi="宋体" w:eastAsia="宋体" w:cs="宋体"/>
          <w:b/>
          <w:bCs/>
          <w:caps w:val="0"/>
          <w:color w:val="auto"/>
          <w:kern w:val="0"/>
          <w:sz w:val="24"/>
          <w:szCs w:val="24"/>
          <w:highlight w:val="none"/>
          <w:lang w:val="en-US" w:eastAsia="zh-CN"/>
        </w:rPr>
        <w:t>以合同签订日期为准</w:t>
      </w:r>
      <w:r>
        <w:rPr>
          <w:rFonts w:hint="eastAsia" w:ascii="宋体" w:hAnsi="宋体" w:eastAsia="宋体" w:cs="宋体"/>
          <w:b/>
          <w:bCs/>
          <w:caps w:val="0"/>
          <w:color w:val="auto"/>
          <w:kern w:val="0"/>
          <w:sz w:val="24"/>
          <w:szCs w:val="24"/>
          <w:highlight w:val="none"/>
        </w:rPr>
        <w:t>。每张表格只填写一个项目。</w:t>
      </w:r>
    </w:p>
    <w:p w14:paraId="0424867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lang w:eastAsia="zh-CN"/>
        </w:rPr>
      </w:pPr>
    </w:p>
    <w:p w14:paraId="43463D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ascii="宋体" w:hAnsi="宋体" w:eastAsia="宋体"/>
          <w:highlight w:val="none"/>
        </w:rPr>
      </w:pPr>
      <w:r>
        <w:rPr>
          <w:rFonts w:hint="eastAsia" w:ascii="宋体" w:hAnsi="宋体" w:eastAsia="宋体"/>
          <w:highlight w:val="none"/>
        </w:rPr>
        <w:br w:type="page"/>
      </w:r>
    </w:p>
    <w:p w14:paraId="153AE872">
      <w:pPr>
        <w:keepNext/>
        <w:keepLines/>
        <w:pageBreakBefore w:val="0"/>
        <w:numPr>
          <w:ilvl w:val="0"/>
          <w:numId w:val="3"/>
        </w:numPr>
        <w:kinsoku/>
        <w:overflowPunct/>
        <w:topLinePunct w:val="0"/>
        <w:bidi w:val="0"/>
        <w:adjustRightInd w:val="0"/>
        <w:snapToGrid w:val="0"/>
        <w:spacing w:beforeAutospacing="0" w:afterAutospacing="0" w:line="360" w:lineRule="auto"/>
        <w:ind w:left="0" w:leftChars="0" w:right="0" w:rightChars="0" w:firstLine="0" w:firstLineChars="0"/>
        <w:jc w:val="center"/>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其他资格审查资料</w:t>
      </w:r>
    </w:p>
    <w:p w14:paraId="6B6AC0A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52EA0BC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2D8D9DE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5C64108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673F37A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3AFD36A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6D3035E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268B9314">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588B35C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49FC39D4">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6551AB0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443F84A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7905278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209A602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0B34FAB1">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1A74EE81">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6DEF13C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3CFC9429">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2FB5AAF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5DE19FE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05928F88">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002BBF0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6BF4C45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4A2D16C7">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4C9F32B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08CECF5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r>
        <w:rPr>
          <w:rFonts w:hint="eastAsia" w:ascii="宋体" w:hAnsi="宋体" w:cs="Times New Roman"/>
          <w:b/>
          <w:kern w:val="0"/>
          <w:sz w:val="28"/>
          <w:szCs w:val="28"/>
          <w:highlight w:val="none"/>
        </w:rPr>
        <w:t>附件</w:t>
      </w:r>
      <w:r>
        <w:rPr>
          <w:rFonts w:hint="eastAsia" w:ascii="宋体" w:hAnsi="宋体" w:cs="Times New Roman"/>
          <w:b/>
          <w:kern w:val="0"/>
          <w:sz w:val="28"/>
          <w:szCs w:val="28"/>
          <w:highlight w:val="none"/>
          <w:lang w:val="en-US" w:eastAsia="zh-CN"/>
        </w:rPr>
        <w:t>1</w:t>
      </w:r>
      <w:r>
        <w:rPr>
          <w:rFonts w:hint="eastAsia" w:ascii="宋体" w:hAnsi="宋体" w:cs="Times New Roman"/>
          <w:b/>
          <w:kern w:val="0"/>
          <w:sz w:val="28"/>
          <w:szCs w:val="28"/>
          <w:highlight w:val="none"/>
        </w:rPr>
        <w:t>：</w:t>
      </w:r>
    </w:p>
    <w:p w14:paraId="37B51FF3">
      <w:pPr>
        <w:pageBreakBefore w:val="0"/>
        <w:widowControl/>
        <w:shd w:val="clear" w:color="auto" w:fill="FFFFFF"/>
        <w:bidi w:val="0"/>
        <w:adjustRightInd w:val="0"/>
        <w:snapToGrid w:val="0"/>
        <w:spacing w:beforeAutospacing="0" w:afterAutospacing="0" w:line="360" w:lineRule="auto"/>
        <w:ind w:left="0" w:leftChars="0" w:right="0" w:firstLine="482" w:firstLineChars="200"/>
        <w:jc w:val="center"/>
        <w:textAlignment w:val="baseline"/>
        <w:rPr>
          <w:rFonts w:hint="eastAsia" w:ascii="宋体" w:hAnsi="宋体" w:cs="宋体-18030"/>
          <w:b/>
          <w:kern w:val="0"/>
          <w:sz w:val="24"/>
          <w:highlight w:val="none"/>
          <w:lang w:val="zh-CN"/>
        </w:rPr>
      </w:pPr>
      <w:r>
        <w:rPr>
          <w:rFonts w:hint="eastAsia" w:ascii="宋体" w:hAnsi="宋体" w:cs="宋体-18030"/>
          <w:b/>
          <w:kern w:val="0"/>
          <w:sz w:val="24"/>
          <w:highlight w:val="none"/>
          <w:lang w:val="zh-CN"/>
        </w:rPr>
        <w:t>满足《中华人民共和国政府采购法》第二十二条规定的承诺书</w:t>
      </w:r>
    </w:p>
    <w:p w14:paraId="2D22E488">
      <w:pPr>
        <w:pageBreakBefore w:val="0"/>
        <w:bidi w:val="0"/>
        <w:adjustRightInd w:val="0"/>
        <w:snapToGrid w:val="0"/>
        <w:spacing w:beforeAutospacing="0" w:afterAutospacing="0" w:line="360" w:lineRule="auto"/>
        <w:ind w:left="0" w:leftChars="0" w:right="0"/>
        <w:rPr>
          <w:rFonts w:ascii="宋体" w:hAnsi="宋体"/>
          <w:sz w:val="24"/>
          <w:szCs w:val="24"/>
          <w:highlight w:val="none"/>
        </w:rPr>
      </w:pPr>
      <w:r>
        <w:rPr>
          <w:rFonts w:hint="eastAsia" w:ascii="宋体" w:hAnsi="宋体"/>
          <w:sz w:val="24"/>
          <w:szCs w:val="24"/>
          <w:highlight w:val="none"/>
        </w:rPr>
        <w:t>致（采购单位）：</w:t>
      </w:r>
    </w:p>
    <w:p w14:paraId="6D5FE500">
      <w:pPr>
        <w:pageBreakBefore w:val="0"/>
        <w:bidi w:val="0"/>
        <w:adjustRightInd w:val="0"/>
        <w:snapToGrid w:val="0"/>
        <w:spacing w:beforeAutospacing="0" w:afterAutospacing="0" w:line="360" w:lineRule="auto"/>
        <w:ind w:left="0" w:leftChars="0" w:right="0" w:firstLine="480" w:firstLineChars="200"/>
        <w:rPr>
          <w:rFonts w:ascii="宋体" w:hAnsi="宋体"/>
          <w:sz w:val="24"/>
          <w:szCs w:val="24"/>
          <w:highlight w:val="none"/>
        </w:rPr>
      </w:pPr>
      <w:r>
        <w:rPr>
          <w:rFonts w:hint="eastAsia" w:ascii="宋体" w:hAnsi="宋体"/>
          <w:sz w:val="24"/>
          <w:szCs w:val="24"/>
          <w:highlight w:val="none"/>
        </w:rPr>
        <w:t>我单位自愿参加本次采购活动，严格遵守《中华人民共和国政府采购法》及相关法律法规，依法诚信经营，依法遵守本次政府采购活动的各项规定。我单位郑重承诺声明如下：</w:t>
      </w:r>
    </w:p>
    <w:p w14:paraId="5E0D7C6D">
      <w:pPr>
        <w:pageBreakBefore w:val="0"/>
        <w:bidi w:val="0"/>
        <w:adjustRightInd w:val="0"/>
        <w:snapToGrid w:val="0"/>
        <w:spacing w:beforeAutospacing="0" w:afterAutospacing="0" w:line="360" w:lineRule="auto"/>
        <w:ind w:left="0" w:leftChars="0" w:right="0" w:firstLine="480" w:firstLineChars="200"/>
        <w:rPr>
          <w:rFonts w:ascii="宋体" w:hAnsi="宋体"/>
          <w:sz w:val="24"/>
          <w:szCs w:val="24"/>
          <w:highlight w:val="none"/>
        </w:rPr>
      </w:pPr>
      <w:r>
        <w:rPr>
          <w:rFonts w:hint="eastAsia" w:ascii="宋体" w:hAnsi="宋体"/>
          <w:sz w:val="24"/>
          <w:szCs w:val="24"/>
          <w:highlight w:val="none"/>
        </w:rPr>
        <w:t xml:space="preserve">一、我单位全称为 </w:t>
      </w:r>
      <w:r>
        <w:rPr>
          <w:rFonts w:hint="eastAsia" w:ascii="宋体" w:hAnsi="宋体"/>
          <w:sz w:val="24"/>
          <w:szCs w:val="24"/>
          <w:highlight w:val="none"/>
          <w:u w:val="single"/>
        </w:rPr>
        <w:t xml:space="preserve">            </w:t>
      </w:r>
      <w:r>
        <w:rPr>
          <w:rFonts w:hint="eastAsia" w:ascii="宋体" w:hAnsi="宋体"/>
          <w:sz w:val="24"/>
          <w:szCs w:val="24"/>
          <w:highlight w:val="none"/>
        </w:rPr>
        <w:t xml:space="preserve"> ，注册地点为</w:t>
      </w:r>
      <w:r>
        <w:rPr>
          <w:rFonts w:hint="eastAsia" w:ascii="宋体" w:hAnsi="宋体"/>
          <w:sz w:val="24"/>
          <w:szCs w:val="24"/>
          <w:highlight w:val="none"/>
          <w:u w:val="single"/>
        </w:rPr>
        <w:t xml:space="preserve">           </w:t>
      </w:r>
      <w:r>
        <w:rPr>
          <w:rFonts w:hint="eastAsia" w:ascii="宋体" w:hAnsi="宋体"/>
          <w:sz w:val="24"/>
          <w:szCs w:val="24"/>
          <w:highlight w:val="none"/>
        </w:rPr>
        <w:t>，统一社会信用代码为</w:t>
      </w:r>
      <w:r>
        <w:rPr>
          <w:rFonts w:hint="eastAsia" w:ascii="宋体" w:hAnsi="宋体"/>
          <w:sz w:val="24"/>
          <w:szCs w:val="24"/>
          <w:highlight w:val="none"/>
          <w:u w:val="single"/>
        </w:rPr>
        <w:t xml:space="preserve">          </w:t>
      </w:r>
      <w:r>
        <w:rPr>
          <w:rFonts w:hint="eastAsia" w:ascii="宋体" w:hAnsi="宋体"/>
          <w:sz w:val="24"/>
          <w:szCs w:val="24"/>
          <w:highlight w:val="none"/>
        </w:rPr>
        <w:t xml:space="preserve">， 法定代表人（主要负责人）为 </w:t>
      </w:r>
      <w:r>
        <w:rPr>
          <w:rFonts w:hint="eastAsia" w:ascii="宋体" w:hAnsi="宋体"/>
          <w:sz w:val="24"/>
          <w:szCs w:val="24"/>
          <w:highlight w:val="none"/>
          <w:u w:val="single"/>
        </w:rPr>
        <w:t xml:space="preserve">       </w:t>
      </w:r>
      <w:r>
        <w:rPr>
          <w:rFonts w:hint="eastAsia" w:ascii="宋体" w:hAnsi="宋体"/>
          <w:sz w:val="24"/>
          <w:szCs w:val="24"/>
          <w:highlight w:val="none"/>
        </w:rPr>
        <w:t xml:space="preserve">， 联系方式为 </w:t>
      </w:r>
      <w:r>
        <w:rPr>
          <w:rFonts w:hint="eastAsia" w:ascii="宋体" w:hAnsi="宋体"/>
          <w:sz w:val="24"/>
          <w:szCs w:val="24"/>
          <w:highlight w:val="none"/>
          <w:u w:val="single"/>
        </w:rPr>
        <w:t xml:space="preserve">           </w:t>
      </w:r>
      <w:r>
        <w:rPr>
          <w:rFonts w:hint="eastAsia" w:ascii="宋体" w:hAnsi="宋体"/>
          <w:sz w:val="24"/>
          <w:szCs w:val="24"/>
          <w:highlight w:val="none"/>
        </w:rPr>
        <w:t>。</w:t>
      </w:r>
    </w:p>
    <w:p w14:paraId="24D3AEC2">
      <w:pPr>
        <w:pageBreakBefore w:val="0"/>
        <w:bidi w:val="0"/>
        <w:adjustRightInd w:val="0"/>
        <w:snapToGrid w:val="0"/>
        <w:spacing w:beforeAutospacing="0" w:afterAutospacing="0" w:line="360" w:lineRule="auto"/>
        <w:ind w:left="0" w:leftChars="0" w:right="0" w:firstLine="480" w:firstLineChars="200"/>
        <w:rPr>
          <w:rFonts w:ascii="宋体" w:hAnsi="宋体"/>
          <w:sz w:val="24"/>
          <w:szCs w:val="24"/>
          <w:highlight w:val="none"/>
        </w:rPr>
      </w:pPr>
      <w:r>
        <w:rPr>
          <w:rFonts w:hint="eastAsia" w:ascii="宋体" w:hAnsi="宋体"/>
          <w:sz w:val="24"/>
          <w:szCs w:val="24"/>
          <w:highlight w:val="none"/>
        </w:rPr>
        <w:t>二、我单位具有独立承担民事责任的能力(如分公司参加投标的，其民事责任由总公司承担)。</w:t>
      </w:r>
    </w:p>
    <w:p w14:paraId="05C5FD13">
      <w:pPr>
        <w:pageBreakBefore w:val="0"/>
        <w:bidi w:val="0"/>
        <w:adjustRightInd w:val="0"/>
        <w:snapToGrid w:val="0"/>
        <w:spacing w:beforeAutospacing="0" w:afterAutospacing="0" w:line="360" w:lineRule="auto"/>
        <w:ind w:left="0" w:leftChars="0" w:right="0" w:firstLine="480" w:firstLineChars="200"/>
        <w:rPr>
          <w:rFonts w:ascii="宋体" w:hAnsi="宋体"/>
          <w:sz w:val="24"/>
          <w:szCs w:val="24"/>
          <w:highlight w:val="none"/>
        </w:rPr>
      </w:pPr>
      <w:r>
        <w:rPr>
          <w:rFonts w:hint="eastAsia" w:ascii="宋体" w:hAnsi="宋体"/>
          <w:sz w:val="24"/>
          <w:szCs w:val="24"/>
          <w:highlight w:val="none"/>
        </w:rPr>
        <w:t xml:space="preserve">三、我单位具有良好的商业信誉和健全的财务会计制度。 </w:t>
      </w:r>
    </w:p>
    <w:p w14:paraId="62250E5A">
      <w:pPr>
        <w:pageBreakBefore w:val="0"/>
        <w:bidi w:val="0"/>
        <w:adjustRightInd w:val="0"/>
        <w:snapToGrid w:val="0"/>
        <w:spacing w:beforeAutospacing="0" w:afterAutospacing="0" w:line="360" w:lineRule="auto"/>
        <w:ind w:left="0" w:leftChars="0" w:right="0" w:firstLine="480" w:firstLineChars="200"/>
        <w:rPr>
          <w:rFonts w:ascii="宋体" w:hAnsi="宋体"/>
          <w:sz w:val="24"/>
          <w:szCs w:val="24"/>
          <w:highlight w:val="none"/>
        </w:rPr>
      </w:pPr>
      <w:r>
        <w:rPr>
          <w:rFonts w:hint="eastAsia" w:ascii="宋体" w:hAnsi="宋体"/>
          <w:sz w:val="24"/>
          <w:szCs w:val="24"/>
          <w:highlight w:val="none"/>
        </w:rPr>
        <w:t xml:space="preserve">四、我单位具有履行合同所必需的设备和专业技术能力。 </w:t>
      </w:r>
    </w:p>
    <w:p w14:paraId="30D47829">
      <w:pPr>
        <w:pageBreakBefore w:val="0"/>
        <w:bidi w:val="0"/>
        <w:adjustRightInd w:val="0"/>
        <w:snapToGrid w:val="0"/>
        <w:spacing w:beforeAutospacing="0" w:afterAutospacing="0" w:line="360" w:lineRule="auto"/>
        <w:ind w:left="0" w:leftChars="0" w:right="0" w:firstLine="480" w:firstLineChars="200"/>
        <w:rPr>
          <w:rFonts w:ascii="宋体" w:hAnsi="宋体"/>
          <w:sz w:val="24"/>
          <w:szCs w:val="24"/>
          <w:highlight w:val="none"/>
        </w:rPr>
      </w:pPr>
      <w:r>
        <w:rPr>
          <w:rFonts w:hint="eastAsia" w:ascii="宋体" w:hAnsi="宋体"/>
          <w:sz w:val="24"/>
          <w:szCs w:val="24"/>
          <w:highlight w:val="none"/>
        </w:rPr>
        <w:t>五、我单位有依法缴纳税收和社会保障资金的良好记录。</w:t>
      </w:r>
    </w:p>
    <w:p w14:paraId="73FFD917">
      <w:pPr>
        <w:pageBreakBefore w:val="0"/>
        <w:bidi w:val="0"/>
        <w:adjustRightInd w:val="0"/>
        <w:snapToGrid w:val="0"/>
        <w:spacing w:beforeAutospacing="0" w:afterAutospacing="0" w:line="360" w:lineRule="auto"/>
        <w:ind w:left="0" w:leftChars="0" w:right="0" w:firstLine="480" w:firstLineChars="200"/>
        <w:rPr>
          <w:rFonts w:ascii="宋体" w:hAnsi="宋体"/>
          <w:sz w:val="24"/>
          <w:szCs w:val="24"/>
          <w:highlight w:val="none"/>
        </w:rPr>
      </w:pPr>
      <w:r>
        <w:rPr>
          <w:rFonts w:hint="eastAsia" w:ascii="宋体" w:hAnsi="宋体"/>
          <w:sz w:val="24"/>
          <w:szCs w:val="24"/>
          <w:highlight w:val="none"/>
        </w:rPr>
        <w:t>六、我单位参加政府采购活动前三年内，在经营活动中没有重大违法记录。（重大违法记录，是指供应商因违法经营受到刑事处罚或者责令停产停业、吊销许可证或者执照、较大数额罚款等行政处罚。）</w:t>
      </w:r>
    </w:p>
    <w:p w14:paraId="237FA151">
      <w:pPr>
        <w:pageBreakBefore w:val="0"/>
        <w:bidi w:val="0"/>
        <w:adjustRightInd w:val="0"/>
        <w:snapToGrid w:val="0"/>
        <w:spacing w:beforeAutospacing="0" w:afterAutospacing="0" w:line="360" w:lineRule="auto"/>
        <w:ind w:left="0" w:leftChars="0" w:right="0" w:firstLine="480" w:firstLineChars="200"/>
        <w:outlineLvl w:val="1"/>
        <w:rPr>
          <w:rFonts w:ascii="宋体" w:hAnsi="宋体"/>
          <w:sz w:val="24"/>
          <w:szCs w:val="24"/>
          <w:highlight w:val="none"/>
        </w:rPr>
      </w:pPr>
      <w:bookmarkStart w:id="1121" w:name="_Toc12051"/>
      <w:bookmarkStart w:id="1122" w:name="_Toc27798"/>
      <w:bookmarkStart w:id="1123" w:name="_Toc4968"/>
      <w:r>
        <w:rPr>
          <w:rFonts w:hint="eastAsia" w:ascii="宋体" w:hAnsi="宋体"/>
          <w:sz w:val="24"/>
          <w:szCs w:val="24"/>
          <w:highlight w:val="none"/>
        </w:rPr>
        <w:t>七、我单位具备法律、行政法规规定的其他条件。</w:t>
      </w:r>
      <w:bookmarkEnd w:id="1121"/>
      <w:bookmarkEnd w:id="1122"/>
      <w:bookmarkEnd w:id="1123"/>
    </w:p>
    <w:p w14:paraId="279D9199">
      <w:pPr>
        <w:pageBreakBefore w:val="0"/>
        <w:bidi w:val="0"/>
        <w:adjustRightInd w:val="0"/>
        <w:snapToGrid w:val="0"/>
        <w:spacing w:beforeAutospacing="0" w:afterAutospacing="0" w:line="360" w:lineRule="auto"/>
        <w:ind w:left="0" w:leftChars="0" w:right="0" w:firstLine="480" w:firstLineChars="200"/>
        <w:rPr>
          <w:rFonts w:ascii="宋体" w:hAnsi="宋体"/>
          <w:sz w:val="24"/>
          <w:szCs w:val="24"/>
          <w:highlight w:val="none"/>
        </w:rPr>
      </w:pPr>
      <w:r>
        <w:rPr>
          <w:rFonts w:hint="eastAsia" w:ascii="宋体" w:hAnsi="宋体"/>
          <w:sz w:val="24"/>
          <w:szCs w:val="24"/>
          <w:highlight w:val="none"/>
        </w:rPr>
        <w:t>我单位保证上述声明的事项都是真实的，符合《中华人民共和国政府采购法》规定的供应商资格条件。如有弄虚作假，我单位愿意按照“提供虚假材料谋取中标”承担相应的法律责任，同意将违背承诺行为作为失信行为记录到社会信用信息平台，并承担因此所造成的一切损失。</w:t>
      </w:r>
    </w:p>
    <w:p w14:paraId="47E4E511">
      <w:pPr>
        <w:pageBreakBefore w:val="0"/>
        <w:bidi w:val="0"/>
        <w:adjustRightInd w:val="0"/>
        <w:snapToGrid w:val="0"/>
        <w:spacing w:beforeAutospacing="0" w:afterAutospacing="0" w:line="360" w:lineRule="auto"/>
        <w:ind w:left="0" w:leftChars="0" w:right="0"/>
        <w:jc w:val="right"/>
        <w:rPr>
          <w:rFonts w:hint="eastAsia" w:ascii="宋体" w:hAnsi="宋体" w:cs="宋体"/>
          <w:kern w:val="0"/>
          <w:sz w:val="24"/>
          <w:szCs w:val="24"/>
          <w:highlight w:val="none"/>
        </w:rPr>
      </w:pPr>
      <w:r>
        <w:rPr>
          <w:rFonts w:hint="eastAsia" w:ascii="宋体" w:hAnsi="宋体" w:cs="宋体"/>
          <w:sz w:val="24"/>
          <w:szCs w:val="24"/>
          <w:highlight w:val="none"/>
        </w:rPr>
        <w:t xml:space="preserve"> </w:t>
      </w:r>
      <w:r>
        <w:rPr>
          <w:rFonts w:hint="eastAsia" w:ascii="宋体" w:hAnsi="宋体" w:cs="宋体"/>
          <w:sz w:val="24"/>
          <w:szCs w:val="24"/>
          <w:highlight w:val="none"/>
          <w:lang w:val="en-US" w:eastAsia="zh-CN"/>
        </w:rPr>
        <w:t xml:space="preserve">   </w:t>
      </w:r>
      <w:r>
        <w:rPr>
          <w:rFonts w:hint="eastAsia" w:ascii="宋体" w:hAnsi="宋体" w:cs="宋体"/>
          <w:kern w:val="0"/>
          <w:sz w:val="24"/>
          <w:highlight w:val="none"/>
        </w:rPr>
        <w:t>供应商：</w:t>
      </w:r>
      <w:r>
        <w:rPr>
          <w:rFonts w:hint="eastAsia" w:ascii="宋体" w:hAnsi="宋体" w:cs="宋体"/>
          <w:kern w:val="0"/>
          <w:sz w:val="24"/>
          <w:highlight w:val="none"/>
          <w:u w:val="single"/>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电子签章</w:t>
      </w:r>
      <w:r>
        <w:rPr>
          <w:rFonts w:hint="eastAsia" w:ascii="宋体" w:hAnsi="宋体" w:cs="宋体"/>
          <w:kern w:val="0"/>
          <w:sz w:val="24"/>
          <w:szCs w:val="24"/>
          <w:highlight w:val="none"/>
        </w:rPr>
        <w:t>)</w:t>
      </w:r>
    </w:p>
    <w:p w14:paraId="02681491">
      <w:pPr>
        <w:pageBreakBefore w:val="0"/>
        <w:wordWrap w:val="0"/>
        <w:bidi w:val="0"/>
        <w:adjustRightInd w:val="0"/>
        <w:snapToGrid w:val="0"/>
        <w:spacing w:beforeAutospacing="0" w:afterAutospacing="0" w:line="360" w:lineRule="auto"/>
        <w:ind w:left="0" w:leftChars="0" w:right="0"/>
        <w:jc w:val="right"/>
        <w:rPr>
          <w:rFonts w:hint="eastAsia" w:ascii="宋体" w:hAnsi="宋体" w:cs="宋体"/>
          <w:kern w:val="0"/>
          <w:sz w:val="24"/>
          <w:szCs w:val="24"/>
          <w:highlight w:val="none"/>
        </w:rPr>
      </w:pPr>
      <w:r>
        <w:rPr>
          <w:rFonts w:hint="eastAsia" w:ascii="宋体" w:hAnsi="宋体" w:cs="宋体"/>
          <w:kern w:val="0"/>
          <w:sz w:val="24"/>
          <w:szCs w:val="24"/>
          <w:highlight w:val="none"/>
        </w:rPr>
        <w:t>法定代表人：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电子签章</w:t>
      </w:r>
      <w:r>
        <w:rPr>
          <w:rFonts w:hint="eastAsia" w:ascii="宋体" w:hAnsi="宋体" w:cs="宋体"/>
          <w:kern w:val="0"/>
          <w:sz w:val="24"/>
          <w:szCs w:val="24"/>
          <w:highlight w:val="none"/>
        </w:rPr>
        <w:t>）</w:t>
      </w:r>
    </w:p>
    <w:p w14:paraId="7EBC65C8">
      <w:pPr>
        <w:pStyle w:val="9"/>
        <w:pageBreakBefore w:val="0"/>
        <w:bidi w:val="0"/>
        <w:adjustRightInd w:val="0"/>
        <w:snapToGrid w:val="0"/>
        <w:spacing w:beforeAutospacing="0" w:afterAutospacing="0" w:line="360" w:lineRule="auto"/>
        <w:ind w:left="0" w:leftChars="0" w:right="0"/>
        <w:jc w:val="right"/>
        <w:rPr>
          <w:rFonts w:hint="eastAsia" w:hAnsi="宋体" w:cs="宋体"/>
          <w:kern w:val="0"/>
          <w:szCs w:val="24"/>
          <w:highlight w:val="none"/>
          <w:lang w:val="en-US" w:eastAsia="zh-CN"/>
        </w:rPr>
      </w:pPr>
      <w:r>
        <w:rPr>
          <w:rFonts w:hint="eastAsia" w:hAnsi="宋体" w:cs="宋体"/>
          <w:kern w:val="0"/>
          <w:szCs w:val="24"/>
          <w:highlight w:val="none"/>
          <w:lang w:val="en-US" w:eastAsia="zh-CN"/>
        </w:rPr>
        <w:t xml:space="preserve">                             年     月     日</w:t>
      </w:r>
    </w:p>
    <w:p w14:paraId="76391E7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4B6C530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5237229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13BABBF0">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453DF343">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r>
        <w:rPr>
          <w:rFonts w:hint="eastAsia" w:ascii="宋体" w:hAnsi="宋体" w:cs="Times New Roman"/>
          <w:b/>
          <w:kern w:val="0"/>
          <w:sz w:val="28"/>
          <w:szCs w:val="28"/>
          <w:highlight w:val="none"/>
        </w:rPr>
        <w:t xml:space="preserve">附件2： </w:t>
      </w:r>
    </w:p>
    <w:p w14:paraId="00C17DCD">
      <w:pPr>
        <w:pageBreakBefore w:val="0"/>
        <w:widowControl/>
        <w:shd w:val="clear" w:color="auto" w:fill="FFFFFF"/>
        <w:bidi w:val="0"/>
        <w:adjustRightInd w:val="0"/>
        <w:snapToGrid w:val="0"/>
        <w:spacing w:beforeAutospacing="0" w:afterAutospacing="0" w:line="360" w:lineRule="auto"/>
        <w:ind w:left="0" w:leftChars="0" w:right="0" w:firstLine="482" w:firstLineChars="200"/>
        <w:jc w:val="center"/>
        <w:textAlignment w:val="baseline"/>
        <w:rPr>
          <w:rFonts w:hint="eastAsia" w:ascii="宋体" w:hAnsi="宋体" w:cs="宋体-18030"/>
          <w:b/>
          <w:kern w:val="0"/>
          <w:sz w:val="24"/>
          <w:highlight w:val="none"/>
          <w:lang w:val="zh-CN"/>
        </w:rPr>
      </w:pPr>
      <w:r>
        <w:rPr>
          <w:rFonts w:hint="eastAsia" w:ascii="宋体" w:hAnsi="宋体" w:cs="宋体-18030"/>
          <w:b/>
          <w:kern w:val="0"/>
          <w:sz w:val="24"/>
          <w:highlight w:val="none"/>
          <w:lang w:val="zh-CN"/>
        </w:rPr>
        <w:t>无商业贿赂</w:t>
      </w:r>
      <w:r>
        <w:rPr>
          <w:rFonts w:hint="eastAsia" w:ascii="宋体" w:hAnsi="宋体" w:cs="宋体-18030"/>
          <w:b/>
          <w:kern w:val="0"/>
          <w:sz w:val="24"/>
          <w:highlight w:val="none"/>
          <w:lang w:val="en-US" w:eastAsia="zh-CN"/>
        </w:rPr>
        <w:t>及</w:t>
      </w:r>
      <w:r>
        <w:rPr>
          <w:rFonts w:hint="eastAsia" w:ascii="宋体" w:hAnsi="宋体" w:cs="宋体-18030"/>
          <w:b/>
          <w:kern w:val="0"/>
          <w:sz w:val="24"/>
          <w:highlight w:val="none"/>
          <w:lang w:val="zh-CN"/>
        </w:rPr>
        <w:t>无不正当竞争行为的承诺书</w:t>
      </w:r>
    </w:p>
    <w:p w14:paraId="164B7416">
      <w:pPr>
        <w:pageBreakBefore w:val="0"/>
        <w:widowControl/>
        <w:bidi w:val="0"/>
        <w:adjustRightInd w:val="0"/>
        <w:snapToGrid w:val="0"/>
        <w:spacing w:beforeAutospacing="0" w:afterAutospacing="0" w:line="360" w:lineRule="auto"/>
        <w:ind w:left="0" w:leftChars="0" w:right="0"/>
        <w:jc w:val="left"/>
        <w:rPr>
          <w:rFonts w:ascii="宋体" w:hAnsi="宋体" w:cs="宋体"/>
          <w:sz w:val="24"/>
          <w:szCs w:val="24"/>
          <w:highlight w:val="none"/>
        </w:rPr>
      </w:pPr>
    </w:p>
    <w:p w14:paraId="1CE25922">
      <w:pPr>
        <w:pageBreakBefore w:val="0"/>
        <w:widowControl/>
        <w:bidi w:val="0"/>
        <w:adjustRightInd w:val="0"/>
        <w:snapToGrid w:val="0"/>
        <w:spacing w:beforeAutospacing="0" w:afterAutospacing="0" w:line="360" w:lineRule="auto"/>
        <w:ind w:left="0" w:leftChars="0" w:right="0"/>
        <w:jc w:val="left"/>
        <w:rPr>
          <w:rFonts w:ascii="宋体" w:hAnsi="宋体" w:cs="宋体"/>
          <w:sz w:val="24"/>
          <w:szCs w:val="24"/>
          <w:highlight w:val="none"/>
        </w:rPr>
      </w:pPr>
      <w:r>
        <w:rPr>
          <w:rFonts w:hint="eastAsia" w:ascii="宋体" w:hAnsi="宋体" w:cs="宋体"/>
          <w:sz w:val="24"/>
          <w:szCs w:val="24"/>
          <w:highlight w:val="none"/>
        </w:rPr>
        <w:t>我公司承诺：</w:t>
      </w:r>
    </w:p>
    <w:p w14:paraId="63CFEFB2">
      <w:pPr>
        <w:pageBreakBefore w:val="0"/>
        <w:widowControl/>
        <w:bidi w:val="0"/>
        <w:adjustRightInd w:val="0"/>
        <w:snapToGrid w:val="0"/>
        <w:spacing w:beforeAutospacing="0" w:afterAutospacing="0" w:line="360" w:lineRule="auto"/>
        <w:ind w:left="0" w:leftChars="0" w:right="0" w:firstLine="465"/>
        <w:jc w:val="left"/>
        <w:rPr>
          <w:rFonts w:hint="eastAsia" w:ascii="宋体" w:hAnsi="宋体" w:cs="宋体"/>
          <w:sz w:val="24"/>
          <w:szCs w:val="24"/>
          <w:highlight w:val="none"/>
        </w:rPr>
      </w:pPr>
      <w:r>
        <w:rPr>
          <w:rFonts w:hint="eastAsia" w:ascii="宋体" w:hAnsi="宋体" w:cs="宋体"/>
          <w:sz w:val="24"/>
          <w:szCs w:val="24"/>
          <w:highlight w:val="none"/>
        </w:rPr>
        <w:t>一、我公司</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及法人</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自成立以来，在参与政府采购活动中，从无商业贿赂及不正当竞争行为。</w:t>
      </w:r>
    </w:p>
    <w:p w14:paraId="39D93E90">
      <w:pPr>
        <w:pageBreakBefore w:val="0"/>
        <w:widowControl/>
        <w:bidi w:val="0"/>
        <w:adjustRightInd w:val="0"/>
        <w:snapToGrid w:val="0"/>
        <w:spacing w:beforeAutospacing="0" w:afterAutospacing="0" w:line="360" w:lineRule="auto"/>
        <w:ind w:left="0" w:leftChars="0" w:right="0" w:firstLine="465"/>
        <w:jc w:val="left"/>
        <w:rPr>
          <w:rFonts w:ascii="宋体" w:hAnsi="宋体" w:cs="宋体"/>
          <w:sz w:val="24"/>
          <w:szCs w:val="24"/>
          <w:highlight w:val="none"/>
        </w:rPr>
      </w:pPr>
      <w:r>
        <w:rPr>
          <w:rFonts w:hint="eastAsia" w:ascii="宋体" w:hAnsi="宋体" w:cs="宋体"/>
          <w:sz w:val="24"/>
          <w:szCs w:val="24"/>
          <w:highlight w:val="none"/>
        </w:rPr>
        <w:t>二、公平竞争参加本次采购活动。</w:t>
      </w:r>
    </w:p>
    <w:p w14:paraId="61C298C1">
      <w:pPr>
        <w:pageBreakBefore w:val="0"/>
        <w:widowControl/>
        <w:bidi w:val="0"/>
        <w:adjustRightInd w:val="0"/>
        <w:snapToGrid w:val="0"/>
        <w:spacing w:beforeAutospacing="0" w:afterAutospacing="0" w:line="360" w:lineRule="auto"/>
        <w:ind w:left="0" w:leftChars="0" w:right="0" w:firstLine="465"/>
        <w:jc w:val="left"/>
        <w:rPr>
          <w:rFonts w:ascii="宋体" w:hAnsi="宋体" w:cs="宋体"/>
          <w:sz w:val="24"/>
          <w:szCs w:val="24"/>
          <w:highlight w:val="none"/>
        </w:rPr>
      </w:pPr>
      <w:r>
        <w:rPr>
          <w:rFonts w:hint="eastAsia" w:ascii="宋体" w:hAnsi="宋体" w:cs="宋体"/>
          <w:sz w:val="24"/>
          <w:szCs w:val="24"/>
          <w:highlight w:val="none"/>
        </w:rPr>
        <w:t xml:space="preserve">三、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 </w:t>
      </w:r>
    </w:p>
    <w:p w14:paraId="0B410DE1">
      <w:pPr>
        <w:pageBreakBefore w:val="0"/>
        <w:widowControl/>
        <w:bidi w:val="0"/>
        <w:adjustRightInd w:val="0"/>
        <w:snapToGrid w:val="0"/>
        <w:spacing w:beforeAutospacing="0" w:afterAutospacing="0" w:line="360" w:lineRule="auto"/>
        <w:ind w:left="0" w:leftChars="0" w:right="0" w:firstLine="465"/>
        <w:jc w:val="left"/>
        <w:rPr>
          <w:rFonts w:ascii="宋体" w:hAnsi="宋体" w:cs="宋体"/>
          <w:sz w:val="24"/>
          <w:szCs w:val="24"/>
          <w:highlight w:val="none"/>
        </w:rPr>
      </w:pPr>
      <w:r>
        <w:rPr>
          <w:rFonts w:hint="eastAsia" w:ascii="宋体" w:hAnsi="宋体" w:cs="宋体"/>
          <w:sz w:val="24"/>
          <w:szCs w:val="24"/>
          <w:highlight w:val="none"/>
        </w:rPr>
        <w:t>四、坚持投标独立性，保证不以任何手段了解或意图了解其他投标参与人情况及其报价信息。除公开渠道获取相关信息外，保证不以其它方式刺探或意图刺探贵司评标、议标信息及其进展。</w:t>
      </w:r>
    </w:p>
    <w:p w14:paraId="31F3CB7B">
      <w:pPr>
        <w:pageBreakBefore w:val="0"/>
        <w:widowControl/>
        <w:bidi w:val="0"/>
        <w:adjustRightInd w:val="0"/>
        <w:snapToGrid w:val="0"/>
        <w:spacing w:beforeAutospacing="0" w:afterAutospacing="0" w:line="360" w:lineRule="auto"/>
        <w:ind w:left="0" w:leftChars="0" w:right="0" w:firstLine="465"/>
        <w:jc w:val="left"/>
        <w:rPr>
          <w:rFonts w:ascii="宋体" w:hAnsi="宋体" w:cs="宋体"/>
          <w:sz w:val="24"/>
          <w:szCs w:val="24"/>
          <w:highlight w:val="none"/>
        </w:rPr>
      </w:pPr>
      <w:r>
        <w:rPr>
          <w:rFonts w:hint="eastAsia" w:ascii="宋体" w:hAnsi="宋体" w:cs="宋体"/>
          <w:sz w:val="24"/>
          <w:szCs w:val="24"/>
          <w:highlight w:val="none"/>
        </w:rPr>
        <w:t>五、若出现上述行为，与投标的工作人员愿意接受按照国家法律法规等有关规定给子的处罚。</w:t>
      </w:r>
    </w:p>
    <w:p w14:paraId="5531B410">
      <w:pPr>
        <w:pageBreakBefore w:val="0"/>
        <w:widowControl/>
        <w:bidi w:val="0"/>
        <w:adjustRightInd w:val="0"/>
        <w:snapToGrid w:val="0"/>
        <w:spacing w:beforeAutospacing="0" w:afterAutospacing="0" w:line="360" w:lineRule="auto"/>
        <w:ind w:left="0" w:leftChars="0" w:right="0" w:firstLine="465"/>
        <w:jc w:val="left"/>
        <w:rPr>
          <w:rFonts w:ascii="宋体" w:hAnsi="宋体" w:cs="宋体"/>
          <w:sz w:val="24"/>
          <w:szCs w:val="24"/>
          <w:highlight w:val="none"/>
        </w:rPr>
      </w:pPr>
      <w:r>
        <w:rPr>
          <w:rFonts w:hint="eastAsia" w:ascii="宋体" w:hAnsi="宋体" w:cs="宋体"/>
          <w:sz w:val="24"/>
          <w:szCs w:val="24"/>
          <w:highlight w:val="none"/>
        </w:rPr>
        <w:t>特此承诺！</w:t>
      </w:r>
    </w:p>
    <w:p w14:paraId="07FD1B9D">
      <w:pPr>
        <w:pStyle w:val="21"/>
        <w:pageBreakBefore w:val="0"/>
        <w:bidi w:val="0"/>
        <w:adjustRightInd w:val="0"/>
        <w:snapToGrid w:val="0"/>
        <w:spacing w:beforeAutospacing="0" w:afterAutospacing="0" w:line="360" w:lineRule="auto"/>
        <w:ind w:left="0" w:leftChars="0" w:right="0" w:firstLine="200"/>
        <w:rPr>
          <w:highlight w:val="none"/>
        </w:rPr>
      </w:pPr>
    </w:p>
    <w:p w14:paraId="49EAD194">
      <w:pPr>
        <w:pageBreakBefore w:val="0"/>
        <w:bidi w:val="0"/>
        <w:adjustRightInd w:val="0"/>
        <w:snapToGrid w:val="0"/>
        <w:spacing w:beforeAutospacing="0" w:afterAutospacing="0" w:line="360" w:lineRule="auto"/>
        <w:ind w:left="0" w:leftChars="0" w:right="0"/>
        <w:jc w:val="right"/>
        <w:rPr>
          <w:rFonts w:hint="eastAsia" w:ascii="宋体" w:hAnsi="宋体" w:cs="宋体"/>
          <w:kern w:val="0"/>
          <w:sz w:val="24"/>
          <w:szCs w:val="24"/>
          <w:highlight w:val="none"/>
        </w:rPr>
      </w:pPr>
      <w:r>
        <w:rPr>
          <w:rFonts w:hint="eastAsia" w:ascii="宋体" w:hAnsi="宋体" w:cs="宋体"/>
          <w:sz w:val="24"/>
          <w:szCs w:val="24"/>
          <w:highlight w:val="none"/>
        </w:rPr>
        <w:t xml:space="preserve"> </w:t>
      </w:r>
      <w:r>
        <w:rPr>
          <w:rFonts w:hint="eastAsia" w:ascii="宋体" w:hAnsi="宋体" w:cs="宋体"/>
          <w:sz w:val="24"/>
          <w:szCs w:val="24"/>
          <w:highlight w:val="none"/>
          <w:lang w:val="en-US" w:eastAsia="zh-CN"/>
        </w:rPr>
        <w:t xml:space="preserve"> </w:t>
      </w:r>
      <w:r>
        <w:rPr>
          <w:rFonts w:hint="eastAsia" w:ascii="宋体" w:hAnsi="宋体" w:cs="宋体"/>
          <w:kern w:val="0"/>
          <w:sz w:val="24"/>
          <w:highlight w:val="none"/>
        </w:rPr>
        <w:t>供应商：</w:t>
      </w:r>
      <w:r>
        <w:rPr>
          <w:rFonts w:hint="eastAsia" w:ascii="宋体" w:hAnsi="宋体" w:cs="宋体"/>
          <w:kern w:val="0"/>
          <w:sz w:val="24"/>
          <w:highlight w:val="none"/>
          <w:u w:val="single"/>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电子签章</w:t>
      </w:r>
      <w:r>
        <w:rPr>
          <w:rFonts w:hint="eastAsia" w:ascii="宋体" w:hAnsi="宋体" w:cs="宋体"/>
          <w:kern w:val="0"/>
          <w:sz w:val="24"/>
          <w:szCs w:val="24"/>
          <w:highlight w:val="none"/>
        </w:rPr>
        <w:t>)</w:t>
      </w:r>
    </w:p>
    <w:p w14:paraId="76B85391">
      <w:pPr>
        <w:pageBreakBefore w:val="0"/>
        <w:wordWrap w:val="0"/>
        <w:bidi w:val="0"/>
        <w:adjustRightInd w:val="0"/>
        <w:snapToGrid w:val="0"/>
        <w:spacing w:beforeAutospacing="0" w:afterAutospacing="0" w:line="360" w:lineRule="auto"/>
        <w:ind w:left="0" w:leftChars="0" w:right="0"/>
        <w:jc w:val="right"/>
        <w:rPr>
          <w:rFonts w:hint="eastAsia" w:ascii="宋体" w:hAnsi="宋体" w:cs="宋体"/>
          <w:kern w:val="0"/>
          <w:sz w:val="24"/>
          <w:szCs w:val="24"/>
          <w:highlight w:val="none"/>
        </w:rPr>
      </w:pPr>
      <w:r>
        <w:rPr>
          <w:rFonts w:hint="eastAsia" w:ascii="宋体" w:hAnsi="宋体" w:cs="宋体"/>
          <w:kern w:val="0"/>
          <w:sz w:val="24"/>
          <w:szCs w:val="24"/>
          <w:highlight w:val="none"/>
        </w:rPr>
        <w:t>法定代表人：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电子签章</w:t>
      </w:r>
      <w:r>
        <w:rPr>
          <w:rFonts w:hint="eastAsia" w:ascii="宋体" w:hAnsi="宋体" w:cs="宋体"/>
          <w:kern w:val="0"/>
          <w:sz w:val="24"/>
          <w:szCs w:val="24"/>
          <w:highlight w:val="none"/>
        </w:rPr>
        <w:t>）</w:t>
      </w:r>
    </w:p>
    <w:p w14:paraId="4CC1BDF1">
      <w:pPr>
        <w:pStyle w:val="9"/>
        <w:pageBreakBefore w:val="0"/>
        <w:bidi w:val="0"/>
        <w:adjustRightInd w:val="0"/>
        <w:snapToGrid w:val="0"/>
        <w:spacing w:beforeAutospacing="0" w:afterAutospacing="0" w:line="360" w:lineRule="auto"/>
        <w:ind w:left="0" w:leftChars="0" w:right="0"/>
        <w:jc w:val="right"/>
        <w:rPr>
          <w:rFonts w:hint="eastAsia" w:hAnsi="宋体" w:cs="宋体"/>
          <w:kern w:val="0"/>
          <w:szCs w:val="24"/>
          <w:highlight w:val="none"/>
          <w:lang w:val="en-US" w:eastAsia="zh-CN"/>
        </w:rPr>
      </w:pPr>
      <w:r>
        <w:rPr>
          <w:rFonts w:hint="eastAsia" w:hAnsi="宋体" w:cs="宋体"/>
          <w:kern w:val="0"/>
          <w:szCs w:val="24"/>
          <w:highlight w:val="none"/>
          <w:lang w:val="en-US" w:eastAsia="zh-CN"/>
        </w:rPr>
        <w:t xml:space="preserve">                             年     月     日</w:t>
      </w:r>
    </w:p>
    <w:p w14:paraId="376F48C5">
      <w:pPr>
        <w:pageBreakBefore w:val="0"/>
        <w:bidi w:val="0"/>
        <w:adjustRightInd w:val="0"/>
        <w:snapToGrid w:val="0"/>
        <w:spacing w:beforeAutospacing="0" w:afterAutospacing="0" w:line="360" w:lineRule="auto"/>
        <w:ind w:left="0" w:leftChars="0" w:right="0"/>
        <w:jc w:val="right"/>
        <w:rPr>
          <w:rFonts w:ascii="宋体" w:hAnsi="宋体" w:cs="黑体"/>
          <w:color w:val="auto"/>
          <w:sz w:val="30"/>
          <w:szCs w:val="30"/>
          <w:highlight w:val="none"/>
        </w:rPr>
      </w:pPr>
    </w:p>
    <w:p w14:paraId="12F2A7D1">
      <w:pPr>
        <w:pageBreakBefore w:val="0"/>
        <w:bidi w:val="0"/>
        <w:adjustRightInd w:val="0"/>
        <w:snapToGrid w:val="0"/>
        <w:spacing w:beforeAutospacing="0" w:afterAutospacing="0" w:line="360" w:lineRule="auto"/>
        <w:ind w:left="0" w:leftChars="0" w:right="0"/>
        <w:rPr>
          <w:rFonts w:hint="eastAsia" w:ascii="宋体" w:hAnsi="宋体"/>
          <w:sz w:val="24"/>
          <w:szCs w:val="24"/>
          <w:highlight w:val="none"/>
        </w:rPr>
      </w:pPr>
    </w:p>
    <w:p w14:paraId="55F8E018">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7073DB9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2224460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5F9ACB2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779EB46C">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p>
    <w:p w14:paraId="76ABA88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cs="Times New Roman"/>
          <w:b/>
          <w:kern w:val="0"/>
          <w:sz w:val="28"/>
          <w:szCs w:val="28"/>
          <w:highlight w:val="none"/>
        </w:rPr>
      </w:pPr>
      <w:r>
        <w:rPr>
          <w:rFonts w:hint="eastAsia" w:ascii="宋体" w:hAnsi="宋体" w:cs="Times New Roman"/>
          <w:b/>
          <w:kern w:val="0"/>
          <w:sz w:val="28"/>
          <w:szCs w:val="28"/>
          <w:highlight w:val="none"/>
        </w:rPr>
        <w:t>附件</w:t>
      </w:r>
      <w:r>
        <w:rPr>
          <w:rFonts w:hint="eastAsia" w:ascii="宋体" w:hAnsi="宋体" w:cs="Times New Roman"/>
          <w:b/>
          <w:kern w:val="0"/>
          <w:sz w:val="28"/>
          <w:szCs w:val="28"/>
          <w:highlight w:val="none"/>
          <w:lang w:val="en-US" w:eastAsia="zh-CN"/>
        </w:rPr>
        <w:t>3</w:t>
      </w:r>
      <w:r>
        <w:rPr>
          <w:rFonts w:hint="eastAsia" w:ascii="宋体" w:hAnsi="宋体" w:cs="Times New Roman"/>
          <w:b/>
          <w:kern w:val="0"/>
          <w:sz w:val="28"/>
          <w:szCs w:val="28"/>
          <w:highlight w:val="none"/>
        </w:rPr>
        <w:t>：</w:t>
      </w:r>
    </w:p>
    <w:p w14:paraId="69BA3218">
      <w:pPr>
        <w:pageBreakBefore w:val="0"/>
        <w:widowControl/>
        <w:shd w:val="clear" w:color="auto" w:fill="FFFFFF"/>
        <w:bidi w:val="0"/>
        <w:adjustRightInd w:val="0"/>
        <w:snapToGrid w:val="0"/>
        <w:spacing w:beforeAutospacing="0" w:afterAutospacing="0" w:line="360" w:lineRule="auto"/>
        <w:ind w:left="0" w:leftChars="0" w:right="0"/>
        <w:jc w:val="center"/>
        <w:textAlignment w:val="baseline"/>
        <w:rPr>
          <w:rFonts w:hint="eastAsia" w:ascii="宋体" w:hAnsi="宋体" w:cs="宋体-18030"/>
          <w:b/>
          <w:kern w:val="0"/>
          <w:sz w:val="24"/>
          <w:highlight w:val="none"/>
          <w:lang w:val="en-US" w:eastAsia="zh-CN"/>
        </w:rPr>
      </w:pPr>
      <w:r>
        <w:rPr>
          <w:rFonts w:hint="eastAsia" w:ascii="宋体" w:hAnsi="宋体" w:cs="宋体-18030"/>
          <w:b/>
          <w:kern w:val="0"/>
          <w:sz w:val="24"/>
          <w:highlight w:val="none"/>
          <w:lang w:val="en-US" w:eastAsia="zh-CN"/>
        </w:rPr>
        <w:t>非联合体投标承诺书</w:t>
      </w:r>
    </w:p>
    <w:p w14:paraId="7D2B225B">
      <w:pPr>
        <w:pageBreakBefore w:val="0"/>
        <w:widowControl/>
        <w:shd w:val="clear" w:color="auto" w:fill="FFFFFF"/>
        <w:bidi w:val="0"/>
        <w:adjustRightInd w:val="0"/>
        <w:snapToGrid w:val="0"/>
        <w:spacing w:beforeAutospacing="0" w:afterAutospacing="0" w:line="360" w:lineRule="auto"/>
        <w:ind w:left="0" w:leftChars="0" w:right="0"/>
        <w:jc w:val="center"/>
        <w:textAlignment w:val="baseline"/>
        <w:rPr>
          <w:rFonts w:hint="eastAsia" w:ascii="宋体" w:hAnsi="宋体" w:cs="宋体-18030"/>
          <w:b/>
          <w:kern w:val="0"/>
          <w:sz w:val="24"/>
          <w:highlight w:val="none"/>
          <w:lang w:val="zh-CN" w:eastAsia="zh-CN"/>
        </w:rPr>
      </w:pPr>
    </w:p>
    <w:p w14:paraId="5299DFE0">
      <w:pPr>
        <w:pageBreakBefore w:val="0"/>
        <w:bidi w:val="0"/>
        <w:adjustRightInd w:val="0"/>
        <w:snapToGrid w:val="0"/>
        <w:spacing w:beforeAutospacing="0" w:afterAutospacing="0" w:line="360" w:lineRule="auto"/>
        <w:ind w:left="0" w:leftChars="0" w:right="0"/>
        <w:rPr>
          <w:rFonts w:ascii="宋体" w:hAnsi="宋体"/>
          <w:sz w:val="24"/>
          <w:szCs w:val="24"/>
          <w:highlight w:val="none"/>
        </w:rPr>
      </w:pPr>
      <w:r>
        <w:rPr>
          <w:rFonts w:hint="eastAsia" w:ascii="宋体" w:hAnsi="宋体"/>
          <w:sz w:val="24"/>
          <w:szCs w:val="24"/>
          <w:highlight w:val="none"/>
        </w:rPr>
        <w:t>致（采购单位）：</w:t>
      </w:r>
    </w:p>
    <w:p w14:paraId="0D381187">
      <w:pPr>
        <w:pageBreakBefore w:val="0"/>
        <w:bidi w:val="0"/>
        <w:adjustRightInd w:val="0"/>
        <w:snapToGrid w:val="0"/>
        <w:spacing w:beforeAutospacing="0" w:afterAutospacing="0" w:line="360" w:lineRule="auto"/>
        <w:ind w:left="0" w:leftChars="0" w:right="0" w:firstLine="480" w:firstLineChars="200"/>
        <w:rPr>
          <w:rFonts w:hint="eastAsia" w:ascii="宋体" w:hAnsi="宋体"/>
          <w:sz w:val="24"/>
          <w:szCs w:val="24"/>
          <w:highlight w:val="none"/>
        </w:rPr>
      </w:pPr>
      <w:r>
        <w:rPr>
          <w:rFonts w:hint="eastAsia" w:ascii="宋体" w:hAnsi="宋体"/>
          <w:sz w:val="24"/>
          <w:szCs w:val="24"/>
          <w:highlight w:val="none"/>
          <w:lang w:val="en-US" w:eastAsia="zh-CN"/>
        </w:rPr>
        <w:t xml:space="preserve">我单位参与本次采购活动中，非联合体投标，特此承诺。 </w:t>
      </w:r>
    </w:p>
    <w:p w14:paraId="5AD418CA">
      <w:pPr>
        <w:pageBreakBefore w:val="0"/>
        <w:bidi w:val="0"/>
        <w:adjustRightInd w:val="0"/>
        <w:snapToGrid w:val="0"/>
        <w:spacing w:beforeAutospacing="0" w:afterAutospacing="0" w:line="360" w:lineRule="auto"/>
        <w:ind w:left="0" w:leftChars="0" w:right="0" w:firstLine="480" w:firstLineChars="200"/>
        <w:rPr>
          <w:rFonts w:hint="eastAsia" w:ascii="宋体" w:hAnsi="宋体"/>
          <w:sz w:val="24"/>
          <w:szCs w:val="24"/>
          <w:highlight w:val="none"/>
        </w:rPr>
      </w:pPr>
      <w:r>
        <w:rPr>
          <w:rFonts w:hint="eastAsia" w:ascii="宋体" w:hAnsi="宋体"/>
          <w:sz w:val="24"/>
          <w:szCs w:val="24"/>
          <w:highlight w:val="none"/>
          <w:lang w:val="en-US" w:eastAsia="zh-CN"/>
        </w:rPr>
        <w:t>若承诺不实，同意取消投标资格，接受相关处理。</w:t>
      </w:r>
    </w:p>
    <w:p w14:paraId="4E59099E">
      <w:pPr>
        <w:pageBreakBefore w:val="0"/>
        <w:bidi w:val="0"/>
        <w:adjustRightInd w:val="0"/>
        <w:snapToGrid w:val="0"/>
        <w:spacing w:beforeAutospacing="0" w:afterAutospacing="0" w:line="360" w:lineRule="auto"/>
        <w:ind w:left="0" w:leftChars="0" w:right="0"/>
        <w:jc w:val="right"/>
        <w:rPr>
          <w:rFonts w:hint="eastAsia" w:ascii="宋体" w:hAnsi="宋体" w:cs="宋体"/>
          <w:sz w:val="24"/>
          <w:szCs w:val="24"/>
          <w:highlight w:val="none"/>
        </w:rPr>
      </w:pPr>
    </w:p>
    <w:p w14:paraId="7CC32D65">
      <w:pPr>
        <w:pageBreakBefore w:val="0"/>
        <w:bidi w:val="0"/>
        <w:adjustRightInd w:val="0"/>
        <w:snapToGrid w:val="0"/>
        <w:spacing w:beforeAutospacing="0" w:afterAutospacing="0" w:line="360" w:lineRule="auto"/>
        <w:ind w:left="0" w:leftChars="0" w:right="0"/>
        <w:jc w:val="right"/>
        <w:rPr>
          <w:rFonts w:hint="eastAsia" w:ascii="宋体" w:hAnsi="宋体" w:cs="宋体"/>
          <w:sz w:val="24"/>
          <w:szCs w:val="24"/>
          <w:highlight w:val="none"/>
        </w:rPr>
      </w:pPr>
    </w:p>
    <w:p w14:paraId="4C9FC07D">
      <w:pPr>
        <w:pageBreakBefore w:val="0"/>
        <w:bidi w:val="0"/>
        <w:adjustRightInd w:val="0"/>
        <w:snapToGrid w:val="0"/>
        <w:spacing w:beforeAutospacing="0" w:afterAutospacing="0" w:line="360" w:lineRule="auto"/>
        <w:ind w:left="0" w:leftChars="0" w:right="0"/>
        <w:jc w:val="right"/>
        <w:rPr>
          <w:rFonts w:hint="eastAsia" w:ascii="宋体" w:hAnsi="宋体" w:cs="宋体"/>
          <w:kern w:val="0"/>
          <w:sz w:val="24"/>
          <w:szCs w:val="24"/>
          <w:highlight w:val="none"/>
        </w:rPr>
      </w:pPr>
      <w:r>
        <w:rPr>
          <w:rFonts w:hint="eastAsia" w:ascii="宋体" w:hAnsi="宋体" w:cs="宋体"/>
          <w:sz w:val="24"/>
          <w:szCs w:val="24"/>
          <w:highlight w:val="none"/>
        </w:rPr>
        <w:t xml:space="preserve"> </w:t>
      </w:r>
      <w:r>
        <w:rPr>
          <w:rFonts w:hint="eastAsia" w:ascii="宋体" w:hAnsi="宋体" w:cs="宋体"/>
          <w:sz w:val="24"/>
          <w:szCs w:val="24"/>
          <w:highlight w:val="none"/>
          <w:lang w:val="en-US" w:eastAsia="zh-CN"/>
        </w:rPr>
        <w:t xml:space="preserve"> </w:t>
      </w:r>
      <w:r>
        <w:rPr>
          <w:rFonts w:hint="eastAsia" w:ascii="宋体" w:hAnsi="宋体" w:cs="宋体"/>
          <w:kern w:val="0"/>
          <w:sz w:val="24"/>
          <w:highlight w:val="none"/>
        </w:rPr>
        <w:t>供应商：</w:t>
      </w:r>
      <w:r>
        <w:rPr>
          <w:rFonts w:hint="eastAsia" w:ascii="宋体" w:hAnsi="宋体" w:cs="宋体"/>
          <w:kern w:val="0"/>
          <w:sz w:val="24"/>
          <w:highlight w:val="none"/>
          <w:u w:val="single"/>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电子签章</w:t>
      </w:r>
      <w:r>
        <w:rPr>
          <w:rFonts w:hint="eastAsia" w:ascii="宋体" w:hAnsi="宋体" w:cs="宋体"/>
          <w:kern w:val="0"/>
          <w:sz w:val="24"/>
          <w:szCs w:val="24"/>
          <w:highlight w:val="none"/>
        </w:rPr>
        <w:t>)</w:t>
      </w:r>
    </w:p>
    <w:p w14:paraId="79BBB2B6">
      <w:pPr>
        <w:pageBreakBefore w:val="0"/>
        <w:wordWrap w:val="0"/>
        <w:bidi w:val="0"/>
        <w:adjustRightInd w:val="0"/>
        <w:snapToGrid w:val="0"/>
        <w:spacing w:beforeAutospacing="0" w:afterAutospacing="0" w:line="360" w:lineRule="auto"/>
        <w:ind w:left="0" w:leftChars="0" w:right="0"/>
        <w:jc w:val="right"/>
        <w:rPr>
          <w:rFonts w:hint="eastAsia" w:ascii="宋体" w:hAnsi="宋体" w:cs="宋体"/>
          <w:kern w:val="0"/>
          <w:sz w:val="24"/>
          <w:szCs w:val="24"/>
          <w:highlight w:val="none"/>
        </w:rPr>
      </w:pPr>
      <w:r>
        <w:rPr>
          <w:rFonts w:hint="eastAsia" w:ascii="宋体" w:hAnsi="宋体" w:cs="宋体"/>
          <w:kern w:val="0"/>
          <w:sz w:val="24"/>
          <w:szCs w:val="24"/>
          <w:highlight w:val="none"/>
        </w:rPr>
        <w:t>法定代表人：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电子签章</w:t>
      </w:r>
      <w:r>
        <w:rPr>
          <w:rFonts w:hint="eastAsia" w:ascii="宋体" w:hAnsi="宋体" w:cs="宋体"/>
          <w:kern w:val="0"/>
          <w:sz w:val="24"/>
          <w:szCs w:val="24"/>
          <w:highlight w:val="none"/>
        </w:rPr>
        <w:t>）</w:t>
      </w:r>
    </w:p>
    <w:p w14:paraId="784B4638">
      <w:pPr>
        <w:pStyle w:val="9"/>
        <w:pageBreakBefore w:val="0"/>
        <w:bidi w:val="0"/>
        <w:adjustRightInd w:val="0"/>
        <w:snapToGrid w:val="0"/>
        <w:spacing w:beforeAutospacing="0" w:afterAutospacing="0" w:line="360" w:lineRule="auto"/>
        <w:ind w:left="0" w:leftChars="0" w:right="0"/>
        <w:jc w:val="right"/>
        <w:rPr>
          <w:rFonts w:hint="eastAsia" w:hAnsi="宋体" w:cs="宋体"/>
          <w:kern w:val="0"/>
          <w:szCs w:val="24"/>
          <w:highlight w:val="none"/>
          <w:lang w:val="en-US" w:eastAsia="zh-CN"/>
        </w:rPr>
      </w:pPr>
      <w:r>
        <w:rPr>
          <w:rFonts w:hint="eastAsia" w:hAnsi="宋体" w:cs="宋体"/>
          <w:kern w:val="0"/>
          <w:szCs w:val="24"/>
          <w:highlight w:val="none"/>
          <w:lang w:val="en-US" w:eastAsia="zh-CN"/>
        </w:rPr>
        <w:t xml:space="preserve">                             年     月     日</w:t>
      </w:r>
    </w:p>
    <w:p w14:paraId="76707D84">
      <w:pPr>
        <w:pStyle w:val="3"/>
        <w:pageBreakBefore w:val="0"/>
        <w:bidi w:val="0"/>
        <w:adjustRightInd w:val="0"/>
        <w:snapToGrid w:val="0"/>
        <w:spacing w:before="0" w:beforeAutospacing="0" w:afterAutospacing="0" w:line="360" w:lineRule="auto"/>
        <w:ind w:left="0" w:leftChars="0" w:right="0"/>
        <w:rPr>
          <w:highlight w:val="none"/>
        </w:rPr>
      </w:pPr>
    </w:p>
    <w:p w14:paraId="2BAE22AA">
      <w:pPr>
        <w:pStyle w:val="10"/>
        <w:pageBreakBefore w:val="0"/>
        <w:kinsoku/>
        <w:overflowPunct/>
        <w:topLinePunct w:val="0"/>
        <w:bidi w:val="0"/>
        <w:adjustRightInd w:val="0"/>
        <w:snapToGrid w:val="0"/>
        <w:spacing w:beforeAutospacing="0" w:after="0" w:afterAutospacing="0" w:line="360" w:lineRule="auto"/>
        <w:ind w:left="0" w:leftChars="0" w:right="0" w:rightChars="0" w:firstLine="0" w:firstLineChars="0"/>
        <w:rPr>
          <w:highlight w:val="none"/>
        </w:rPr>
      </w:pPr>
      <w:r>
        <w:rPr>
          <w:highlight w:val="none"/>
        </w:rPr>
        <w:br w:type="page"/>
      </w:r>
    </w:p>
    <w:p w14:paraId="25813513">
      <w:pPr>
        <w:pageBreakBefore w:val="0"/>
        <w:numPr>
          <w:ilvl w:val="0"/>
          <w:numId w:val="0"/>
        </w:numPr>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cs="宋体"/>
          <w:b/>
          <w:bCs/>
          <w:sz w:val="30"/>
          <w:szCs w:val="30"/>
          <w:highlight w:val="none"/>
          <w:lang w:val="en-US" w:eastAsia="zh-CN"/>
        </w:rPr>
      </w:pPr>
      <w:r>
        <w:rPr>
          <w:rFonts w:hint="eastAsia" w:ascii="宋体" w:hAnsi="宋体" w:cs="宋体"/>
          <w:b/>
          <w:bCs/>
          <w:sz w:val="30"/>
          <w:szCs w:val="30"/>
          <w:highlight w:val="none"/>
          <w:lang w:val="en-US" w:eastAsia="zh-CN"/>
        </w:rPr>
        <w:t>八、服务承诺</w:t>
      </w:r>
    </w:p>
    <w:p w14:paraId="281FFCC4">
      <w:pPr>
        <w:pStyle w:val="21"/>
        <w:pageBreakBefore w:val="0"/>
        <w:numPr>
          <w:ilvl w:val="0"/>
          <w:numId w:val="0"/>
        </w:numPr>
        <w:kinsoku/>
        <w:overflowPunct/>
        <w:topLinePunct w:val="0"/>
        <w:bidi w:val="0"/>
        <w:adjustRightInd w:val="0"/>
        <w:snapToGrid w:val="0"/>
        <w:spacing w:beforeAutospacing="0" w:after="0" w:afterAutospacing="0" w:line="360" w:lineRule="auto"/>
        <w:ind w:left="0" w:leftChars="0" w:right="0" w:rightChars="0" w:firstLine="0" w:firstLineChars="0"/>
        <w:rPr>
          <w:rFonts w:hint="eastAsia"/>
          <w:highlight w:val="none"/>
          <w:lang w:val="en-US" w:eastAsia="zh-CN"/>
        </w:rPr>
      </w:pPr>
    </w:p>
    <w:p w14:paraId="43A00F57">
      <w:pPr>
        <w:pStyle w:val="21"/>
        <w:pageBreakBefore w:val="0"/>
        <w:numPr>
          <w:ilvl w:val="0"/>
          <w:numId w:val="0"/>
        </w:numPr>
        <w:kinsoku/>
        <w:overflowPunct/>
        <w:topLinePunct w:val="0"/>
        <w:bidi w:val="0"/>
        <w:adjustRightInd w:val="0"/>
        <w:snapToGrid w:val="0"/>
        <w:spacing w:beforeAutospacing="0" w:after="0" w:afterAutospacing="0" w:line="360" w:lineRule="auto"/>
        <w:ind w:left="0" w:leftChars="0" w:right="0" w:rightChars="0" w:firstLine="0" w:firstLineChars="0"/>
        <w:rPr>
          <w:rFonts w:hint="default"/>
          <w:sz w:val="30"/>
          <w:szCs w:val="30"/>
          <w:highlight w:val="none"/>
          <w:lang w:val="en-US" w:eastAsia="zh-CN"/>
        </w:rPr>
      </w:pPr>
      <w:r>
        <w:rPr>
          <w:rFonts w:hint="eastAsia"/>
          <w:sz w:val="30"/>
          <w:szCs w:val="30"/>
          <w:highlight w:val="none"/>
          <w:lang w:val="en-US" w:eastAsia="zh-CN"/>
        </w:rPr>
        <w:t>格式自拟</w:t>
      </w:r>
    </w:p>
    <w:p w14:paraId="561D7C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33C17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2BABED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01817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33165D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1E90B5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51EC81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47A90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0A3E4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4BFA04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F57AA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9BBE4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D0995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3CEBCB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284A4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B9FF2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A40BD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24AEE8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2EAC2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73E6E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12262EA2">
      <w:pPr>
        <w:pStyle w:val="22"/>
        <w:pageBreakBefore w:val="0"/>
        <w:kinsoku/>
        <w:overflowPunct/>
        <w:topLinePunct w:val="0"/>
        <w:bidi w:val="0"/>
        <w:adjustRightInd w:val="0"/>
        <w:snapToGrid w:val="0"/>
        <w:spacing w:line="360" w:lineRule="auto"/>
        <w:ind w:left="0" w:leftChars="0" w:firstLine="0" w:firstLineChars="0"/>
        <w:rPr>
          <w:rFonts w:hint="eastAsia"/>
          <w:highlight w:val="none"/>
        </w:rPr>
      </w:pPr>
      <w:bookmarkStart w:id="1124" w:name="_Toc23639"/>
      <w:bookmarkStart w:id="1125" w:name="_Toc23724"/>
      <w:bookmarkStart w:id="1126" w:name="_Toc10242"/>
    </w:p>
    <w:p w14:paraId="057866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0"/>
        <w:rPr>
          <w:rFonts w:hint="eastAsia" w:ascii="宋体" w:hAnsi="宋体" w:eastAsia="宋体" w:cs="宋体"/>
          <w:b/>
          <w:bCs/>
          <w:color w:val="auto"/>
          <w:sz w:val="30"/>
          <w:szCs w:val="30"/>
          <w:highlight w:val="none"/>
          <w:lang w:val="en-US" w:eastAsia="zh-CN"/>
        </w:rPr>
      </w:pPr>
      <w:r>
        <w:rPr>
          <w:rFonts w:hint="eastAsia" w:ascii="宋体" w:hAnsi="宋体" w:eastAsia="宋体" w:cs="宋体"/>
          <w:b/>
          <w:bCs/>
          <w:sz w:val="32"/>
          <w:szCs w:val="32"/>
          <w:highlight w:val="none"/>
          <w:lang w:val="en-US" w:eastAsia="zh-CN"/>
        </w:rPr>
        <w:t>九</w:t>
      </w:r>
      <w:r>
        <w:rPr>
          <w:rFonts w:hint="eastAsia" w:ascii="宋体" w:hAnsi="宋体" w:eastAsia="宋体" w:cs="宋体"/>
          <w:b/>
          <w:bCs/>
          <w:sz w:val="32"/>
          <w:szCs w:val="32"/>
          <w:highlight w:val="none"/>
        </w:rPr>
        <w:t>、</w:t>
      </w:r>
      <w:bookmarkEnd w:id="1124"/>
      <w:bookmarkEnd w:id="1125"/>
      <w:bookmarkEnd w:id="1126"/>
      <w:bookmarkStart w:id="1127" w:name="_Toc26236"/>
      <w:bookmarkStart w:id="1128" w:name="_Toc15896"/>
      <w:r>
        <w:rPr>
          <w:rFonts w:hint="eastAsia" w:ascii="宋体" w:hAnsi="宋体" w:eastAsia="宋体" w:cs="宋体"/>
          <w:b/>
          <w:bCs/>
          <w:color w:val="auto"/>
          <w:sz w:val="30"/>
          <w:szCs w:val="30"/>
          <w:highlight w:val="none"/>
          <w:lang w:val="en-US" w:eastAsia="zh-CN"/>
        </w:rPr>
        <w:t>其他材料</w:t>
      </w:r>
    </w:p>
    <w:bookmarkEnd w:id="1127"/>
    <w:bookmarkEnd w:id="1128"/>
    <w:p w14:paraId="6FC35A60">
      <w:pPr>
        <w:spacing w:line="312" w:lineRule="auto"/>
        <w:ind w:right="-334" w:rightChars="-159"/>
        <w:jc w:val="center"/>
        <w:rPr>
          <w:rFonts w:hint="eastAsia" w:ascii="宋体" w:hAnsi="宋体" w:eastAsia="宋体" w:cs="宋体"/>
          <w:b/>
          <w:bCs/>
          <w:color w:val="auto"/>
          <w:sz w:val="28"/>
          <w:szCs w:val="28"/>
          <w:highlight w:val="none"/>
          <w:lang w:val="en-US" w:eastAsia="zh-CN"/>
        </w:rPr>
      </w:pPr>
      <w:bookmarkStart w:id="1129" w:name="_Toc22169"/>
      <w:bookmarkStart w:id="1130" w:name="_Toc11842"/>
      <w:r>
        <w:rPr>
          <w:rFonts w:hint="eastAsia" w:ascii="宋体" w:hAnsi="宋体" w:eastAsia="宋体" w:cs="宋体"/>
          <w:b/>
          <w:bCs/>
          <w:color w:val="auto"/>
          <w:sz w:val="28"/>
          <w:szCs w:val="28"/>
          <w:highlight w:val="none"/>
          <w:lang w:val="en-US" w:eastAsia="zh-CN"/>
        </w:rPr>
        <w:t>投标人认为可提交的其他资料</w:t>
      </w:r>
    </w:p>
    <w:p w14:paraId="60D222EC">
      <w:pPr>
        <w:spacing w:line="312" w:lineRule="auto"/>
        <w:ind w:right="-334" w:rightChars="-159"/>
        <w:jc w:val="both"/>
        <w:rPr>
          <w:rFonts w:hint="eastAsia" w:ascii="宋体" w:hAnsi="宋体" w:cs="宋体"/>
          <w:b/>
          <w:bCs/>
          <w:kern w:val="10"/>
          <w:sz w:val="28"/>
          <w:szCs w:val="28"/>
          <w:highlight w:val="none"/>
          <w:lang w:val="en-US" w:eastAsia="zh-CN"/>
        </w:rPr>
      </w:pPr>
    </w:p>
    <w:p w14:paraId="78886583">
      <w:pPr>
        <w:spacing w:line="312" w:lineRule="auto"/>
        <w:ind w:right="-334" w:rightChars="-159"/>
        <w:jc w:val="both"/>
        <w:rPr>
          <w:rFonts w:hint="eastAsia" w:ascii="宋体" w:hAnsi="宋体" w:cs="宋体"/>
          <w:b/>
          <w:bCs/>
          <w:kern w:val="10"/>
          <w:sz w:val="28"/>
          <w:szCs w:val="28"/>
          <w:highlight w:val="none"/>
          <w:lang w:val="en-US" w:eastAsia="zh-CN"/>
        </w:rPr>
      </w:pPr>
    </w:p>
    <w:p w14:paraId="2629F34F">
      <w:pPr>
        <w:spacing w:line="312" w:lineRule="auto"/>
        <w:ind w:right="-334" w:rightChars="-159"/>
        <w:jc w:val="both"/>
        <w:rPr>
          <w:rFonts w:hint="eastAsia" w:ascii="宋体" w:hAnsi="宋体" w:cs="宋体"/>
          <w:b/>
          <w:bCs/>
          <w:kern w:val="10"/>
          <w:sz w:val="28"/>
          <w:szCs w:val="28"/>
          <w:highlight w:val="none"/>
          <w:lang w:val="en-US" w:eastAsia="zh-CN"/>
        </w:rPr>
      </w:pPr>
    </w:p>
    <w:p w14:paraId="3A08141F">
      <w:pPr>
        <w:spacing w:line="312" w:lineRule="auto"/>
        <w:ind w:right="-334" w:rightChars="-159"/>
        <w:jc w:val="both"/>
        <w:rPr>
          <w:rFonts w:hint="eastAsia" w:ascii="宋体" w:hAnsi="宋体" w:cs="宋体"/>
          <w:b/>
          <w:bCs/>
          <w:kern w:val="10"/>
          <w:sz w:val="28"/>
          <w:szCs w:val="28"/>
          <w:highlight w:val="none"/>
          <w:lang w:val="en-US" w:eastAsia="zh-CN"/>
        </w:rPr>
      </w:pPr>
    </w:p>
    <w:p w14:paraId="62F21677">
      <w:pPr>
        <w:spacing w:line="312" w:lineRule="auto"/>
        <w:ind w:right="-334" w:rightChars="-159"/>
        <w:jc w:val="both"/>
        <w:rPr>
          <w:rFonts w:hint="eastAsia" w:ascii="宋体" w:hAnsi="宋体" w:cs="宋体"/>
          <w:b/>
          <w:bCs/>
          <w:kern w:val="10"/>
          <w:sz w:val="28"/>
          <w:szCs w:val="28"/>
          <w:highlight w:val="none"/>
          <w:lang w:val="en-US" w:eastAsia="zh-CN"/>
        </w:rPr>
      </w:pPr>
    </w:p>
    <w:p w14:paraId="02C5DC2E">
      <w:pPr>
        <w:spacing w:line="312" w:lineRule="auto"/>
        <w:ind w:right="-334" w:rightChars="-159"/>
        <w:jc w:val="both"/>
        <w:rPr>
          <w:rFonts w:hint="eastAsia" w:ascii="宋体" w:hAnsi="宋体" w:cs="宋体"/>
          <w:b/>
          <w:bCs/>
          <w:kern w:val="10"/>
          <w:sz w:val="28"/>
          <w:szCs w:val="28"/>
          <w:highlight w:val="none"/>
          <w:lang w:val="en-US" w:eastAsia="zh-CN"/>
        </w:rPr>
      </w:pPr>
    </w:p>
    <w:p w14:paraId="4B6BDF46">
      <w:pPr>
        <w:spacing w:line="312" w:lineRule="auto"/>
        <w:ind w:right="-334" w:rightChars="-159"/>
        <w:jc w:val="both"/>
        <w:rPr>
          <w:rFonts w:hint="eastAsia" w:ascii="宋体" w:hAnsi="宋体" w:cs="宋体"/>
          <w:b/>
          <w:bCs/>
          <w:kern w:val="10"/>
          <w:sz w:val="28"/>
          <w:szCs w:val="28"/>
          <w:highlight w:val="none"/>
          <w:lang w:val="en-US" w:eastAsia="zh-CN"/>
        </w:rPr>
      </w:pPr>
    </w:p>
    <w:p w14:paraId="1D4D800A">
      <w:pPr>
        <w:spacing w:line="312" w:lineRule="auto"/>
        <w:ind w:right="-334" w:rightChars="-159"/>
        <w:jc w:val="both"/>
        <w:rPr>
          <w:rFonts w:hint="eastAsia" w:ascii="宋体" w:hAnsi="宋体" w:cs="宋体"/>
          <w:b/>
          <w:bCs/>
          <w:kern w:val="10"/>
          <w:sz w:val="28"/>
          <w:szCs w:val="28"/>
          <w:highlight w:val="none"/>
          <w:lang w:val="en-US" w:eastAsia="zh-CN"/>
        </w:rPr>
      </w:pPr>
    </w:p>
    <w:p w14:paraId="51C743E4">
      <w:pPr>
        <w:spacing w:line="312" w:lineRule="auto"/>
        <w:ind w:right="-334" w:rightChars="-159"/>
        <w:jc w:val="both"/>
        <w:rPr>
          <w:rFonts w:hint="eastAsia" w:ascii="宋体" w:hAnsi="宋体" w:cs="宋体"/>
          <w:b/>
          <w:bCs/>
          <w:kern w:val="10"/>
          <w:sz w:val="28"/>
          <w:szCs w:val="28"/>
          <w:highlight w:val="none"/>
          <w:lang w:val="en-US" w:eastAsia="zh-CN"/>
        </w:rPr>
      </w:pPr>
    </w:p>
    <w:p w14:paraId="054F97BB">
      <w:pPr>
        <w:spacing w:line="312" w:lineRule="auto"/>
        <w:ind w:right="-334" w:rightChars="-159"/>
        <w:jc w:val="both"/>
        <w:rPr>
          <w:rFonts w:hint="eastAsia" w:ascii="宋体" w:hAnsi="宋体" w:cs="宋体"/>
          <w:b/>
          <w:bCs/>
          <w:kern w:val="10"/>
          <w:sz w:val="28"/>
          <w:szCs w:val="28"/>
          <w:highlight w:val="none"/>
          <w:lang w:val="en-US" w:eastAsia="zh-CN"/>
        </w:rPr>
      </w:pPr>
    </w:p>
    <w:p w14:paraId="71170874">
      <w:pPr>
        <w:spacing w:line="312" w:lineRule="auto"/>
        <w:ind w:right="-334" w:rightChars="-159"/>
        <w:jc w:val="both"/>
        <w:rPr>
          <w:rFonts w:hint="eastAsia" w:ascii="宋体" w:hAnsi="宋体" w:cs="宋体"/>
          <w:b/>
          <w:bCs/>
          <w:kern w:val="10"/>
          <w:sz w:val="28"/>
          <w:szCs w:val="28"/>
          <w:highlight w:val="none"/>
          <w:lang w:val="en-US" w:eastAsia="zh-CN"/>
        </w:rPr>
      </w:pPr>
    </w:p>
    <w:p w14:paraId="4BBDAC8F">
      <w:pPr>
        <w:spacing w:line="312" w:lineRule="auto"/>
        <w:ind w:right="-334" w:rightChars="-159"/>
        <w:jc w:val="both"/>
        <w:rPr>
          <w:rFonts w:hint="eastAsia" w:ascii="宋体" w:hAnsi="宋体" w:cs="宋体"/>
          <w:b/>
          <w:bCs/>
          <w:kern w:val="10"/>
          <w:sz w:val="28"/>
          <w:szCs w:val="28"/>
          <w:highlight w:val="none"/>
          <w:lang w:val="en-US" w:eastAsia="zh-CN"/>
        </w:rPr>
      </w:pPr>
    </w:p>
    <w:p w14:paraId="38AE0436">
      <w:pPr>
        <w:spacing w:line="312" w:lineRule="auto"/>
        <w:ind w:right="-334" w:rightChars="-159"/>
        <w:jc w:val="both"/>
        <w:rPr>
          <w:rFonts w:hint="eastAsia" w:ascii="宋体" w:hAnsi="宋体" w:cs="宋体"/>
          <w:b/>
          <w:bCs/>
          <w:kern w:val="10"/>
          <w:sz w:val="28"/>
          <w:szCs w:val="28"/>
          <w:highlight w:val="none"/>
          <w:lang w:val="en-US" w:eastAsia="zh-CN"/>
        </w:rPr>
      </w:pPr>
    </w:p>
    <w:p w14:paraId="3EE54223">
      <w:pPr>
        <w:spacing w:line="312" w:lineRule="auto"/>
        <w:ind w:right="-334" w:rightChars="-159"/>
        <w:jc w:val="both"/>
        <w:rPr>
          <w:rFonts w:hint="eastAsia" w:ascii="宋体" w:hAnsi="宋体" w:cs="宋体"/>
          <w:b/>
          <w:bCs/>
          <w:kern w:val="10"/>
          <w:sz w:val="28"/>
          <w:szCs w:val="28"/>
          <w:highlight w:val="none"/>
          <w:lang w:val="en-US" w:eastAsia="zh-CN"/>
        </w:rPr>
      </w:pPr>
    </w:p>
    <w:p w14:paraId="22CC3767">
      <w:pPr>
        <w:spacing w:line="312" w:lineRule="auto"/>
        <w:ind w:right="-334" w:rightChars="-159"/>
        <w:jc w:val="both"/>
        <w:rPr>
          <w:rFonts w:hint="eastAsia" w:ascii="宋体" w:hAnsi="宋体" w:cs="宋体"/>
          <w:b/>
          <w:bCs/>
          <w:kern w:val="10"/>
          <w:sz w:val="28"/>
          <w:szCs w:val="28"/>
          <w:highlight w:val="none"/>
          <w:lang w:val="en-US" w:eastAsia="zh-CN"/>
        </w:rPr>
      </w:pPr>
    </w:p>
    <w:p w14:paraId="282D4413">
      <w:pPr>
        <w:spacing w:line="312" w:lineRule="auto"/>
        <w:ind w:right="-334" w:rightChars="-159"/>
        <w:jc w:val="both"/>
        <w:rPr>
          <w:rFonts w:hint="eastAsia" w:ascii="宋体" w:hAnsi="宋体" w:cs="宋体"/>
          <w:b/>
          <w:bCs/>
          <w:kern w:val="10"/>
          <w:sz w:val="28"/>
          <w:szCs w:val="28"/>
          <w:highlight w:val="none"/>
          <w:lang w:val="en-US" w:eastAsia="zh-CN"/>
        </w:rPr>
      </w:pPr>
    </w:p>
    <w:p w14:paraId="3AD701D0">
      <w:pPr>
        <w:spacing w:line="312" w:lineRule="auto"/>
        <w:ind w:right="-334" w:rightChars="-159"/>
        <w:jc w:val="both"/>
        <w:rPr>
          <w:rFonts w:hint="eastAsia" w:ascii="宋体" w:hAnsi="宋体" w:cs="宋体"/>
          <w:b/>
          <w:bCs/>
          <w:kern w:val="10"/>
          <w:sz w:val="28"/>
          <w:szCs w:val="28"/>
          <w:highlight w:val="none"/>
          <w:lang w:val="en-US" w:eastAsia="zh-CN"/>
        </w:rPr>
      </w:pPr>
    </w:p>
    <w:p w14:paraId="13DFE180">
      <w:pPr>
        <w:spacing w:line="312" w:lineRule="auto"/>
        <w:ind w:right="-334" w:rightChars="-159"/>
        <w:jc w:val="both"/>
        <w:rPr>
          <w:rFonts w:hint="eastAsia" w:ascii="宋体" w:hAnsi="宋体" w:cs="宋体"/>
          <w:b/>
          <w:bCs/>
          <w:kern w:val="10"/>
          <w:sz w:val="28"/>
          <w:szCs w:val="28"/>
          <w:highlight w:val="none"/>
          <w:lang w:val="en-US" w:eastAsia="zh-CN"/>
        </w:rPr>
      </w:pPr>
    </w:p>
    <w:p w14:paraId="24777E5C">
      <w:pPr>
        <w:spacing w:line="312" w:lineRule="auto"/>
        <w:ind w:right="-334" w:rightChars="-159"/>
        <w:jc w:val="both"/>
        <w:rPr>
          <w:rFonts w:hint="eastAsia" w:ascii="宋体" w:hAnsi="宋体" w:cs="宋体"/>
          <w:b/>
          <w:bCs/>
          <w:kern w:val="10"/>
          <w:sz w:val="28"/>
          <w:szCs w:val="28"/>
          <w:highlight w:val="none"/>
          <w:lang w:val="en-US" w:eastAsia="zh-CN"/>
        </w:rPr>
      </w:pPr>
    </w:p>
    <w:p w14:paraId="2F20C8CD">
      <w:pPr>
        <w:spacing w:line="312" w:lineRule="auto"/>
        <w:ind w:right="-334" w:rightChars="-159"/>
        <w:jc w:val="both"/>
        <w:rPr>
          <w:rFonts w:hint="eastAsia" w:ascii="宋体" w:hAnsi="宋体" w:cs="宋体"/>
          <w:b/>
          <w:bCs/>
          <w:kern w:val="10"/>
          <w:sz w:val="28"/>
          <w:szCs w:val="28"/>
          <w:highlight w:val="none"/>
          <w:lang w:val="en-US" w:eastAsia="zh-CN"/>
        </w:rPr>
      </w:pPr>
    </w:p>
    <w:p w14:paraId="2F977CE8">
      <w:pPr>
        <w:spacing w:line="312" w:lineRule="auto"/>
        <w:ind w:right="-334" w:rightChars="-159"/>
        <w:jc w:val="both"/>
        <w:rPr>
          <w:rFonts w:hint="eastAsia" w:ascii="宋体" w:hAnsi="宋体" w:cs="宋体"/>
          <w:b/>
          <w:bCs/>
          <w:kern w:val="10"/>
          <w:sz w:val="28"/>
          <w:szCs w:val="28"/>
          <w:highlight w:val="none"/>
          <w:lang w:val="en-US" w:eastAsia="zh-CN"/>
        </w:rPr>
      </w:pPr>
      <w:r>
        <w:rPr>
          <w:rFonts w:hint="eastAsia" w:ascii="宋体" w:hAnsi="宋体" w:cs="宋体"/>
          <w:b/>
          <w:bCs/>
          <w:kern w:val="10"/>
          <w:sz w:val="28"/>
          <w:szCs w:val="28"/>
          <w:highlight w:val="none"/>
          <w:lang w:val="en-US" w:eastAsia="zh-CN"/>
        </w:rPr>
        <w:t>附件1</w:t>
      </w:r>
    </w:p>
    <w:p w14:paraId="217ADCC9">
      <w:pPr>
        <w:spacing w:line="312" w:lineRule="auto"/>
        <w:ind w:right="-334" w:rightChars="-159"/>
        <w:jc w:val="both"/>
        <w:rPr>
          <w:rFonts w:hint="eastAsia" w:ascii="宋体" w:hAnsi="宋体" w:cs="宋体"/>
          <w:b/>
          <w:bCs/>
          <w:kern w:val="10"/>
          <w:sz w:val="28"/>
          <w:szCs w:val="28"/>
          <w:highlight w:val="none"/>
          <w:lang w:val="en-US" w:eastAsia="zh-CN"/>
        </w:rPr>
      </w:pPr>
    </w:p>
    <w:p w14:paraId="4A2A302E">
      <w:pPr>
        <w:spacing w:line="312" w:lineRule="auto"/>
        <w:ind w:right="-334" w:rightChars="-159"/>
        <w:jc w:val="center"/>
        <w:rPr>
          <w:rFonts w:hint="eastAsia" w:ascii="宋体" w:hAnsi="宋体" w:cs="宋体"/>
          <w:b/>
          <w:bCs/>
          <w:kern w:val="10"/>
          <w:sz w:val="28"/>
          <w:szCs w:val="28"/>
          <w:highlight w:val="none"/>
        </w:rPr>
      </w:pPr>
      <w:r>
        <w:rPr>
          <w:rFonts w:hint="eastAsia" w:ascii="宋体" w:hAnsi="宋体" w:cs="宋体"/>
          <w:b/>
          <w:bCs/>
          <w:kern w:val="10"/>
          <w:sz w:val="28"/>
          <w:szCs w:val="28"/>
          <w:highlight w:val="none"/>
        </w:rPr>
        <w:t>1、中小企业声明函（工程）</w:t>
      </w:r>
    </w:p>
    <w:p w14:paraId="1BA2BAF1">
      <w:pPr>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本公司（联合体）郑重声明，根据《政府采购促进中小企业发展管理办法》（财库﹝2020﹞46 号）的规定，本公司（联合体）参加</w:t>
      </w:r>
      <w:r>
        <w:rPr>
          <w:rFonts w:hint="eastAsia" w:ascii="宋体" w:hAnsi="宋体" w:cs="宋体"/>
          <w:kern w:val="0"/>
          <w:sz w:val="24"/>
          <w:szCs w:val="24"/>
          <w:highlight w:val="none"/>
          <w:u w:val="single"/>
        </w:rPr>
        <w:t>（单位名称）</w:t>
      </w:r>
      <w:r>
        <w:rPr>
          <w:rFonts w:hint="eastAsia" w:ascii="宋体" w:hAnsi="宋体" w:cs="宋体"/>
          <w:kern w:val="0"/>
          <w:sz w:val="24"/>
          <w:szCs w:val="24"/>
          <w:highlight w:val="none"/>
        </w:rPr>
        <w:t>的</w:t>
      </w:r>
      <w:r>
        <w:rPr>
          <w:rFonts w:hint="eastAsia" w:ascii="宋体" w:hAnsi="宋体" w:cs="宋体"/>
          <w:kern w:val="0"/>
          <w:sz w:val="24"/>
          <w:szCs w:val="24"/>
          <w:highlight w:val="none"/>
          <w:u w:val="single"/>
        </w:rPr>
        <w:t>（项目名称）</w:t>
      </w:r>
      <w:r>
        <w:rPr>
          <w:rFonts w:hint="eastAsia" w:ascii="宋体" w:hAnsi="宋体" w:cs="宋体"/>
          <w:kern w:val="0"/>
          <w:sz w:val="24"/>
          <w:szCs w:val="24"/>
          <w:highlight w:val="none"/>
        </w:rPr>
        <w:t>采购活动，工程的施工单位全部为符合政策要求的中小企业（或者：服务全部由符合政策要求的中小企业承接）。相关企业（含联合 体中的中小企业、签订分包意向协议的中小企业）的具体情况如下：</w:t>
      </w:r>
    </w:p>
    <w:p w14:paraId="0129ADF8">
      <w:pPr>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1.</w:t>
      </w:r>
      <w:r>
        <w:rPr>
          <w:rFonts w:hint="eastAsia" w:ascii="宋体" w:hAnsi="宋体" w:cs="宋体"/>
          <w:kern w:val="0"/>
          <w:sz w:val="24"/>
          <w:szCs w:val="24"/>
          <w:highlight w:val="none"/>
          <w:u w:val="single"/>
        </w:rPr>
        <w:t>（标的名称）</w:t>
      </w:r>
      <w:r>
        <w:rPr>
          <w:rFonts w:hint="eastAsia" w:ascii="宋体" w:hAnsi="宋体" w:cs="宋体"/>
          <w:kern w:val="0"/>
          <w:sz w:val="24"/>
          <w:szCs w:val="24"/>
          <w:highlight w:val="none"/>
        </w:rPr>
        <w:t>，属于（</w:t>
      </w:r>
      <w:r>
        <w:rPr>
          <w:rFonts w:hint="eastAsia" w:ascii="宋体" w:hAnsi="宋体" w:cs="宋体"/>
          <w:kern w:val="0"/>
          <w:sz w:val="24"/>
          <w:szCs w:val="24"/>
          <w:highlight w:val="none"/>
          <w:u w:val="single"/>
        </w:rPr>
        <w:t>采购文件中明确的所属行业）</w:t>
      </w:r>
      <w:r>
        <w:rPr>
          <w:rFonts w:hint="eastAsia" w:ascii="宋体" w:hAnsi="宋体" w:cs="宋体"/>
          <w:kern w:val="0"/>
          <w:sz w:val="24"/>
          <w:szCs w:val="24"/>
          <w:highlight w:val="none"/>
        </w:rPr>
        <w:t>；承建（承接）企业为</w:t>
      </w:r>
      <w:r>
        <w:rPr>
          <w:rFonts w:hint="eastAsia" w:ascii="宋体" w:hAnsi="宋体" w:cs="宋体"/>
          <w:kern w:val="0"/>
          <w:sz w:val="24"/>
          <w:szCs w:val="24"/>
          <w:highlight w:val="none"/>
          <w:u w:val="single"/>
        </w:rPr>
        <w:t>（企业名称）</w:t>
      </w:r>
      <w:r>
        <w:rPr>
          <w:rFonts w:hint="eastAsia" w:ascii="宋体" w:hAnsi="宋体" w:cs="宋体"/>
          <w:kern w:val="0"/>
          <w:sz w:val="24"/>
          <w:szCs w:val="24"/>
          <w:highlight w:val="none"/>
        </w:rPr>
        <w:t>，从业人员</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rPr>
        <w:tab/>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人，营业收入为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rPr>
        <w:tab/>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万元，资产总额为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rPr>
        <w:tab/>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万元，属于</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（中型企业、 小型企业、微型企业）；</w:t>
      </w:r>
    </w:p>
    <w:p w14:paraId="3F3F3171">
      <w:pPr>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2.</w:t>
      </w:r>
      <w:r>
        <w:rPr>
          <w:rFonts w:hint="eastAsia" w:ascii="宋体" w:hAnsi="宋体" w:cs="宋体"/>
          <w:kern w:val="0"/>
          <w:sz w:val="24"/>
          <w:szCs w:val="24"/>
          <w:highlight w:val="none"/>
          <w:u w:val="single"/>
        </w:rPr>
        <w:t>（标的名称</w:t>
      </w:r>
      <w:r>
        <w:rPr>
          <w:rFonts w:hint="eastAsia" w:ascii="宋体" w:hAnsi="宋体" w:cs="宋体"/>
          <w:kern w:val="0"/>
          <w:sz w:val="24"/>
          <w:szCs w:val="24"/>
          <w:highlight w:val="none"/>
        </w:rPr>
        <w:t>），属于</w:t>
      </w:r>
      <w:r>
        <w:rPr>
          <w:rFonts w:hint="eastAsia" w:ascii="宋体" w:hAnsi="宋体" w:cs="宋体"/>
          <w:kern w:val="0"/>
          <w:sz w:val="24"/>
          <w:szCs w:val="24"/>
          <w:highlight w:val="none"/>
          <w:u w:val="single"/>
        </w:rPr>
        <w:t>（采购文件中明确的所属行业）</w:t>
      </w:r>
      <w:r>
        <w:rPr>
          <w:rFonts w:hint="eastAsia" w:ascii="宋体" w:hAnsi="宋体" w:cs="宋体"/>
          <w:kern w:val="0"/>
          <w:sz w:val="24"/>
          <w:szCs w:val="24"/>
          <w:highlight w:val="none"/>
        </w:rPr>
        <w:t>；承建（承接）企业为</w:t>
      </w:r>
      <w:r>
        <w:rPr>
          <w:rFonts w:hint="eastAsia" w:ascii="宋体" w:hAnsi="宋体" w:cs="宋体"/>
          <w:kern w:val="0"/>
          <w:sz w:val="24"/>
          <w:szCs w:val="24"/>
          <w:highlight w:val="none"/>
          <w:u w:val="single"/>
        </w:rPr>
        <w:t>（企业名称）</w:t>
      </w:r>
      <w:r>
        <w:rPr>
          <w:rFonts w:hint="eastAsia" w:ascii="宋体" w:hAnsi="宋体" w:cs="宋体"/>
          <w:kern w:val="0"/>
          <w:sz w:val="24"/>
          <w:szCs w:val="24"/>
          <w:highlight w:val="none"/>
        </w:rPr>
        <w:t>，从业人员</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rPr>
        <w:tab/>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人，营业收入为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rPr>
        <w:tab/>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ab/>
      </w:r>
      <w:r>
        <w:rPr>
          <w:rFonts w:hint="eastAsia" w:ascii="宋体" w:hAnsi="宋体" w:cs="宋体"/>
          <w:kern w:val="0"/>
          <w:sz w:val="24"/>
          <w:szCs w:val="24"/>
          <w:highlight w:val="none"/>
        </w:rPr>
        <w:t>万元，资产总额为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u w:val="single"/>
        </w:rPr>
        <w:tab/>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万元，属于</w:t>
      </w:r>
      <w:r>
        <w:rPr>
          <w:rFonts w:hint="eastAsia" w:ascii="宋体" w:hAnsi="宋体" w:cs="宋体"/>
          <w:kern w:val="0"/>
          <w:sz w:val="24"/>
          <w:szCs w:val="24"/>
          <w:highlight w:val="none"/>
          <w:u w:val="single"/>
          <w:lang w:val="en-US" w:eastAsia="zh-CN"/>
        </w:rPr>
        <w:t xml:space="preserve">        </w:t>
      </w:r>
      <w:r>
        <w:rPr>
          <w:rFonts w:hint="eastAsia" w:ascii="宋体" w:hAnsi="宋体" w:cs="宋体"/>
          <w:kern w:val="0"/>
          <w:sz w:val="24"/>
          <w:szCs w:val="24"/>
          <w:highlight w:val="none"/>
        </w:rPr>
        <w:t>（中型企业、 小型企业、微型企业）；</w:t>
      </w:r>
    </w:p>
    <w:p w14:paraId="44B05EF4">
      <w:pPr>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w:t>
      </w:r>
    </w:p>
    <w:p w14:paraId="559C94CC">
      <w:pPr>
        <w:spacing w:line="360" w:lineRule="auto"/>
        <w:ind w:firstLine="480" w:firstLineChars="200"/>
        <w:rPr>
          <w:rFonts w:hint="eastAsia" w:ascii="宋体" w:hAnsi="宋体" w:cs="宋体"/>
          <w:kern w:val="0"/>
          <w:sz w:val="24"/>
          <w:szCs w:val="24"/>
          <w:highlight w:val="none"/>
        </w:rPr>
      </w:pPr>
    </w:p>
    <w:p w14:paraId="3255B780">
      <w:pPr>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以上企业，不属于大企业的分支机构，不存在控股股东为大企业的情形，也不存在与大企业的负责人为同一人的情 形。</w:t>
      </w:r>
    </w:p>
    <w:p w14:paraId="77F52C7C">
      <w:pPr>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本企业对上述声明内容的真实性负责。如有虚假，将依 法承担相应责任。</w:t>
      </w:r>
    </w:p>
    <w:p w14:paraId="3F112A85">
      <w:pPr>
        <w:spacing w:line="312" w:lineRule="auto"/>
        <w:ind w:firstLine="480" w:firstLineChars="200"/>
        <w:jc w:val="left"/>
        <w:rPr>
          <w:rFonts w:hint="eastAsia" w:ascii="宋体" w:hAnsi="宋体" w:cs="宋体"/>
          <w:kern w:val="0"/>
          <w:sz w:val="24"/>
          <w:szCs w:val="24"/>
          <w:highlight w:val="none"/>
        </w:rPr>
      </w:pPr>
    </w:p>
    <w:p w14:paraId="3178B47E">
      <w:pPr>
        <w:spacing w:line="312" w:lineRule="auto"/>
        <w:ind w:firstLine="480" w:firstLineChars="200"/>
        <w:jc w:val="left"/>
        <w:rPr>
          <w:rFonts w:hint="eastAsia" w:ascii="宋体" w:hAnsi="宋体" w:cs="宋体"/>
          <w:kern w:val="0"/>
          <w:sz w:val="24"/>
          <w:szCs w:val="24"/>
          <w:highlight w:val="none"/>
        </w:rPr>
      </w:pPr>
    </w:p>
    <w:p w14:paraId="6B0FF1E2">
      <w:pPr>
        <w:spacing w:line="312" w:lineRule="auto"/>
        <w:ind w:firstLine="480" w:firstLineChars="200"/>
        <w:jc w:val="left"/>
        <w:rPr>
          <w:rFonts w:hint="eastAsia" w:ascii="宋体" w:hAnsi="宋体" w:cs="宋体"/>
          <w:kern w:val="0"/>
          <w:sz w:val="24"/>
          <w:szCs w:val="24"/>
          <w:highlight w:val="none"/>
        </w:rPr>
      </w:pPr>
      <w:r>
        <w:rPr>
          <w:rFonts w:hint="eastAsia" w:ascii="宋体" w:hAnsi="宋体" w:cs="宋体"/>
          <w:kern w:val="0"/>
          <w:sz w:val="24"/>
          <w:szCs w:val="24"/>
          <w:highlight w:val="none"/>
        </w:rPr>
        <w:t>企业名称（盖章）：</w:t>
      </w:r>
    </w:p>
    <w:p w14:paraId="04A012DB">
      <w:pPr>
        <w:spacing w:line="312" w:lineRule="auto"/>
        <w:ind w:firstLine="480" w:firstLineChars="200"/>
        <w:jc w:val="left"/>
        <w:rPr>
          <w:rFonts w:hint="eastAsia" w:ascii="宋体" w:hAnsi="宋体" w:cs="宋体"/>
          <w:kern w:val="0"/>
          <w:sz w:val="24"/>
          <w:szCs w:val="24"/>
          <w:highlight w:val="none"/>
        </w:rPr>
      </w:pPr>
      <w:r>
        <w:rPr>
          <w:rFonts w:hint="eastAsia" w:ascii="宋体" w:hAnsi="宋体" w:cs="宋体"/>
          <w:kern w:val="0"/>
          <w:sz w:val="24"/>
          <w:szCs w:val="24"/>
          <w:highlight w:val="none"/>
        </w:rPr>
        <w:t>日期：</w:t>
      </w:r>
    </w:p>
    <w:p w14:paraId="0C7110B9">
      <w:pPr>
        <w:autoSpaceDE w:val="0"/>
        <w:autoSpaceDN w:val="0"/>
        <w:snapToGrid w:val="0"/>
        <w:spacing w:line="360" w:lineRule="auto"/>
        <w:jc w:val="center"/>
        <w:rPr>
          <w:rFonts w:ascii="宋体" w:hAnsi="宋体" w:cs="宋体"/>
          <w:b/>
          <w:bCs/>
          <w:kern w:val="10"/>
          <w:sz w:val="28"/>
          <w:szCs w:val="28"/>
          <w:highlight w:val="none"/>
        </w:rPr>
      </w:pPr>
    </w:p>
    <w:p w14:paraId="4526FEBF">
      <w:pPr>
        <w:jc w:val="center"/>
        <w:rPr>
          <w:rFonts w:hint="eastAsia" w:ascii="宋体" w:hAnsi="宋体" w:cs="宋体"/>
          <w:kern w:val="0"/>
          <w:sz w:val="22"/>
          <w:highlight w:val="none"/>
        </w:rPr>
      </w:pPr>
      <w:r>
        <w:rPr>
          <w:rFonts w:hint="eastAsia" w:ascii="宋体" w:hAnsi="宋体" w:cs="宋体"/>
          <w:b/>
          <w:bCs/>
          <w:kern w:val="10"/>
          <w:sz w:val="28"/>
          <w:szCs w:val="28"/>
          <w:highlight w:val="none"/>
        </w:rPr>
        <w:br w:type="page"/>
      </w:r>
      <w:r>
        <w:rPr>
          <w:rFonts w:hint="eastAsia" w:ascii="宋体" w:hAnsi="宋体" w:cs="宋体"/>
          <w:b/>
          <w:bCs/>
          <w:kern w:val="10"/>
          <w:sz w:val="28"/>
          <w:szCs w:val="28"/>
          <w:highlight w:val="none"/>
        </w:rPr>
        <w:t>2、残疾人福利性单位声明函</w:t>
      </w:r>
    </w:p>
    <w:p w14:paraId="10BFE644">
      <w:pPr>
        <w:autoSpaceDE w:val="0"/>
        <w:autoSpaceDN w:val="0"/>
        <w:spacing w:line="360" w:lineRule="auto"/>
        <w:ind w:firstLine="504" w:firstLineChars="200"/>
        <w:jc w:val="left"/>
        <w:rPr>
          <w:rFonts w:hint="eastAsia" w:ascii="宋体" w:hAnsi="宋体" w:cs="宋体"/>
          <w:spacing w:val="6"/>
          <w:kern w:val="0"/>
          <w:sz w:val="24"/>
          <w:szCs w:val="24"/>
          <w:highlight w:val="none"/>
        </w:rPr>
      </w:pPr>
      <w:r>
        <w:rPr>
          <w:rFonts w:hint="eastAsia" w:ascii="宋体" w:hAnsi="宋体" w:cs="宋体"/>
          <w:spacing w:val="6"/>
          <w:kern w:val="0"/>
          <w:sz w:val="24"/>
          <w:szCs w:val="24"/>
          <w:highlight w:val="none"/>
        </w:rPr>
        <w:t>本单位郑重声明，根据《财政部 民政部 中国残疾人联合会关于促进残疾人就业政府采购政策的通知》（财库</w:t>
      </w:r>
      <w:r>
        <w:rPr>
          <w:rFonts w:hint="eastAsia" w:ascii="宋体" w:hAnsi="宋体" w:cs="宋体"/>
          <w:kern w:val="0"/>
          <w:sz w:val="24"/>
          <w:szCs w:val="24"/>
          <w:highlight w:val="none"/>
        </w:rPr>
        <w:t>〔2017〕 141</w:t>
      </w:r>
      <w:r>
        <w:rPr>
          <w:rFonts w:hint="eastAsia" w:ascii="宋体" w:hAnsi="宋体" w:cs="宋体"/>
          <w:spacing w:val="6"/>
          <w:kern w:val="0"/>
          <w:sz w:val="24"/>
          <w:szCs w:val="24"/>
          <w:highlight w:val="none"/>
        </w:rPr>
        <w:t>号）的规定，本单位为符合条件的残疾人福利性单位，且本单位参加</w:t>
      </w:r>
      <w:r>
        <w:rPr>
          <w:rFonts w:hint="eastAsia" w:ascii="宋体" w:hAnsi="宋体" w:cs="宋体"/>
          <w:spacing w:val="6"/>
          <w:kern w:val="0"/>
          <w:sz w:val="24"/>
          <w:szCs w:val="24"/>
          <w:highlight w:val="none"/>
          <w:u w:val="single"/>
        </w:rPr>
        <w:t xml:space="preserve">        </w:t>
      </w:r>
      <w:r>
        <w:rPr>
          <w:rFonts w:hint="eastAsia" w:ascii="宋体" w:hAnsi="宋体" w:cs="宋体"/>
          <w:spacing w:val="6"/>
          <w:kern w:val="0"/>
          <w:sz w:val="24"/>
          <w:szCs w:val="24"/>
          <w:highlight w:val="none"/>
        </w:rPr>
        <w:t>单位的</w:t>
      </w:r>
      <w:r>
        <w:rPr>
          <w:rFonts w:hint="eastAsia" w:ascii="宋体" w:hAnsi="宋体" w:cs="宋体"/>
          <w:spacing w:val="6"/>
          <w:kern w:val="0"/>
          <w:sz w:val="24"/>
          <w:szCs w:val="24"/>
          <w:highlight w:val="none"/>
          <w:u w:val="single"/>
        </w:rPr>
        <w:t xml:space="preserve">        </w:t>
      </w:r>
      <w:r>
        <w:rPr>
          <w:rFonts w:hint="eastAsia" w:ascii="宋体" w:hAnsi="宋体" w:cs="宋体"/>
          <w:spacing w:val="6"/>
          <w:kern w:val="0"/>
          <w:sz w:val="24"/>
          <w:szCs w:val="24"/>
          <w:highlight w:val="none"/>
        </w:rPr>
        <w:t>项目采购活动提供本单位制造的货物（由本单位承担工程/提供服务），或者提供其他残疾人福利性单位制造的货物（不包括使用非残疾人福利性单位注册商标的货物）。</w:t>
      </w:r>
    </w:p>
    <w:p w14:paraId="40CD6DA6">
      <w:pPr>
        <w:autoSpaceDE w:val="0"/>
        <w:autoSpaceDN w:val="0"/>
        <w:spacing w:line="360" w:lineRule="auto"/>
        <w:ind w:firstLine="504" w:firstLineChars="200"/>
        <w:jc w:val="left"/>
        <w:rPr>
          <w:rFonts w:hint="eastAsia" w:ascii="宋体" w:hAnsi="宋体" w:cs="宋体"/>
          <w:spacing w:val="6"/>
          <w:kern w:val="0"/>
          <w:sz w:val="24"/>
          <w:szCs w:val="24"/>
          <w:highlight w:val="none"/>
        </w:rPr>
      </w:pPr>
      <w:r>
        <w:rPr>
          <w:rFonts w:hint="eastAsia" w:ascii="宋体" w:hAnsi="宋体" w:cs="宋体"/>
          <w:spacing w:val="6"/>
          <w:kern w:val="0"/>
          <w:sz w:val="24"/>
          <w:szCs w:val="24"/>
          <w:highlight w:val="none"/>
        </w:rPr>
        <w:t>本单位对上述声明的真实性负责。如有虚假，将依法承担相应责任。</w:t>
      </w:r>
    </w:p>
    <w:p w14:paraId="20E55D9B">
      <w:pPr>
        <w:autoSpaceDE w:val="0"/>
        <w:autoSpaceDN w:val="0"/>
        <w:spacing w:line="360" w:lineRule="auto"/>
        <w:ind w:firstLine="504" w:firstLineChars="200"/>
        <w:jc w:val="left"/>
        <w:rPr>
          <w:rFonts w:hint="eastAsia" w:ascii="宋体" w:hAnsi="宋体" w:cs="宋体"/>
          <w:spacing w:val="6"/>
          <w:kern w:val="0"/>
          <w:sz w:val="24"/>
          <w:szCs w:val="24"/>
          <w:highlight w:val="none"/>
        </w:rPr>
      </w:pPr>
    </w:p>
    <w:p w14:paraId="4333D041">
      <w:pPr>
        <w:tabs>
          <w:tab w:val="left" w:pos="4860"/>
        </w:tabs>
        <w:autoSpaceDE w:val="0"/>
        <w:autoSpaceDN w:val="0"/>
        <w:spacing w:line="360" w:lineRule="auto"/>
        <w:ind w:right="1560" w:firstLine="504" w:firstLineChars="200"/>
        <w:jc w:val="center"/>
        <w:rPr>
          <w:rFonts w:hint="eastAsia" w:ascii="宋体" w:hAnsi="宋体" w:cs="宋体"/>
          <w:spacing w:val="6"/>
          <w:kern w:val="0"/>
          <w:sz w:val="24"/>
          <w:szCs w:val="24"/>
          <w:highlight w:val="none"/>
        </w:rPr>
      </w:pPr>
      <w:r>
        <w:rPr>
          <w:rFonts w:hint="eastAsia" w:ascii="宋体" w:hAnsi="宋体" w:cs="宋体"/>
          <w:spacing w:val="6"/>
          <w:kern w:val="0"/>
          <w:sz w:val="24"/>
          <w:szCs w:val="24"/>
          <w:highlight w:val="none"/>
        </w:rPr>
        <w:t xml:space="preserve">               单位名称（盖章）：</w:t>
      </w:r>
    </w:p>
    <w:p w14:paraId="6F892975">
      <w:pPr>
        <w:tabs>
          <w:tab w:val="left" w:pos="4860"/>
        </w:tabs>
        <w:autoSpaceDE w:val="0"/>
        <w:autoSpaceDN w:val="0"/>
        <w:spacing w:line="360" w:lineRule="auto"/>
        <w:ind w:right="1560" w:firstLine="504" w:firstLineChars="200"/>
        <w:jc w:val="center"/>
        <w:rPr>
          <w:rFonts w:hint="eastAsia" w:ascii="宋体" w:hAnsi="宋体" w:cs="宋体"/>
          <w:spacing w:val="6"/>
          <w:kern w:val="0"/>
          <w:sz w:val="24"/>
          <w:szCs w:val="24"/>
          <w:highlight w:val="none"/>
        </w:rPr>
      </w:pPr>
      <w:r>
        <w:rPr>
          <w:rFonts w:hint="eastAsia" w:ascii="宋体" w:hAnsi="宋体" w:cs="宋体"/>
          <w:spacing w:val="6"/>
          <w:kern w:val="0"/>
          <w:sz w:val="24"/>
          <w:szCs w:val="24"/>
          <w:highlight w:val="none"/>
        </w:rPr>
        <w:t xml:space="preserve">       日  期：</w:t>
      </w:r>
    </w:p>
    <w:p w14:paraId="0669F522">
      <w:pPr>
        <w:widowControl/>
        <w:autoSpaceDE w:val="0"/>
        <w:autoSpaceDN w:val="0"/>
        <w:ind w:firstLine="482" w:firstLineChars="200"/>
        <w:rPr>
          <w:rFonts w:hint="eastAsia" w:ascii="宋体" w:hAnsi="宋体" w:cs="宋体"/>
          <w:b/>
          <w:kern w:val="0"/>
          <w:sz w:val="24"/>
          <w:szCs w:val="24"/>
          <w:highlight w:val="none"/>
        </w:rPr>
      </w:pPr>
      <w:r>
        <w:rPr>
          <w:rFonts w:hint="eastAsia" w:ascii="宋体" w:hAnsi="宋体" w:cs="宋体"/>
          <w:b/>
          <w:kern w:val="0"/>
          <w:sz w:val="24"/>
          <w:szCs w:val="24"/>
          <w:highlight w:val="none"/>
        </w:rPr>
        <w:t>（提醒：如果供应商</w:t>
      </w:r>
      <w:r>
        <w:rPr>
          <w:rFonts w:hint="eastAsia" w:ascii="宋体" w:hAnsi="宋体" w:cs="宋体"/>
          <w:b/>
          <w:spacing w:val="10"/>
          <w:kern w:val="0"/>
          <w:sz w:val="24"/>
          <w:szCs w:val="24"/>
          <w:highlight w:val="none"/>
        </w:rPr>
        <w:t>不是残疾人福利性单位</w:t>
      </w:r>
      <w:r>
        <w:rPr>
          <w:rFonts w:hint="eastAsia" w:ascii="宋体" w:hAnsi="宋体" w:cs="宋体"/>
          <w:b/>
          <w:kern w:val="0"/>
          <w:sz w:val="24"/>
          <w:szCs w:val="24"/>
          <w:highlight w:val="none"/>
        </w:rPr>
        <w:t>，则不需要提供《残疾人福利性单位声明函》。否则，因此导致虚假投标的后果由供应商自行承担。）</w:t>
      </w:r>
    </w:p>
    <w:p w14:paraId="41A0E364">
      <w:pPr>
        <w:autoSpaceDE w:val="0"/>
        <w:autoSpaceDN w:val="0"/>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《财政部民政部中国残疾人联合会关于促进残疾人就业政府采购政策的通知》（财库（2017〔141〕号）的规定：</w:t>
      </w:r>
    </w:p>
    <w:p w14:paraId="3BFA2CC8">
      <w:pPr>
        <w:autoSpaceDE w:val="0"/>
        <w:autoSpaceDN w:val="0"/>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一、享受政府采购支持政策的残疾人福利性单位应当同时满足以下条件：</w:t>
      </w:r>
    </w:p>
    <w:p w14:paraId="67F328A4">
      <w:pPr>
        <w:autoSpaceDE w:val="0"/>
        <w:autoSpaceDN w:val="0"/>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（1）安置的残疾人占本单位在职职工人数的比例不低于25%（含25%），并且安置的残疾人人数不少于10人（含10人）；</w:t>
      </w:r>
    </w:p>
    <w:p w14:paraId="323E74A1">
      <w:pPr>
        <w:autoSpaceDE w:val="0"/>
        <w:autoSpaceDN w:val="0"/>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（2）依法与安置的每位残疾人签订了一年以上（含一年）的劳动合同或服务协议；</w:t>
      </w:r>
    </w:p>
    <w:p w14:paraId="76FC4A65">
      <w:pPr>
        <w:autoSpaceDE w:val="0"/>
        <w:autoSpaceDN w:val="0"/>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（3）为安置的每位残疾人按月足额缴纳了基本养老保险、基本医疗保险、失业保险、工伤保险和生育保险等社会保险费；</w:t>
      </w:r>
    </w:p>
    <w:p w14:paraId="01A43554">
      <w:pPr>
        <w:autoSpaceDE w:val="0"/>
        <w:autoSpaceDN w:val="0"/>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（4）通过银行等金融机构向安置的每位残疾人，按月支付了不低于单位所在区县适用的经省级人民政府批准的月最低工资标准的工资；</w:t>
      </w:r>
    </w:p>
    <w:p w14:paraId="17FB92E8">
      <w:pPr>
        <w:autoSpaceDE w:val="0"/>
        <w:autoSpaceDN w:val="0"/>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（5）提供本单位制造的货物、承担的工程或者服务（以下简称产品），或者提供其他残疾人福利性单位制造的货物（不包括使用非残疾人福利性单位注册商标的货物）。</w:t>
      </w:r>
    </w:p>
    <w:p w14:paraId="23AAA6B8">
      <w:pPr>
        <w:autoSpaceDE w:val="0"/>
        <w:autoSpaceDN w:val="0"/>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二、中标、成交供应商为残疾人福利性单位的，招标人或者其委托的招标代理机构应当随中标、成交结果同时公告其《残疾人福利性单位声明函》，接受社会监督。</w:t>
      </w:r>
    </w:p>
    <w:p w14:paraId="21189906">
      <w:pPr>
        <w:autoSpaceDE w:val="0"/>
        <w:autoSpaceDN w:val="0"/>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供应商提供的《残疾人福利性单位声明函》与事实不符的，依照《政府采购法》第七十七条第一款的规定追究法律责任。</w:t>
      </w:r>
    </w:p>
    <w:p w14:paraId="65E30CF8">
      <w:pPr>
        <w:numPr>
          <w:ilvl w:val="0"/>
          <w:numId w:val="4"/>
        </w:numPr>
        <w:autoSpaceDE w:val="0"/>
        <w:autoSpaceDN w:val="0"/>
        <w:ind w:firstLine="480" w:firstLineChars="200"/>
        <w:rPr>
          <w:rFonts w:hint="eastAsia" w:ascii="宋体" w:hAnsi="宋体" w:cs="宋体"/>
          <w:b/>
          <w:bCs/>
          <w:kern w:val="10"/>
          <w:sz w:val="28"/>
          <w:szCs w:val="28"/>
          <w:highlight w:val="none"/>
        </w:rPr>
      </w:pPr>
      <w:r>
        <w:rPr>
          <w:rFonts w:hint="eastAsia" w:ascii="宋体" w:hAnsi="宋体" w:cs="宋体"/>
          <w:kern w:val="0"/>
          <w:sz w:val="24"/>
          <w:szCs w:val="24"/>
          <w:highlight w:val="none"/>
        </w:rPr>
        <w:t>在政府采购活动中，</w:t>
      </w:r>
      <w:r>
        <w:rPr>
          <w:rFonts w:hint="eastAsia" w:ascii="宋体" w:hAnsi="宋体" w:cs="宋体"/>
          <w:b/>
          <w:bCs/>
          <w:kern w:val="0"/>
          <w:sz w:val="24"/>
          <w:szCs w:val="24"/>
          <w:highlight w:val="none"/>
        </w:rPr>
        <w:t>残疾人福利性单位视同小型、微型企业</w:t>
      </w:r>
      <w:r>
        <w:rPr>
          <w:rFonts w:hint="eastAsia" w:ascii="宋体" w:hAnsi="宋体" w:cs="宋体"/>
          <w:kern w:val="0"/>
          <w:sz w:val="24"/>
          <w:szCs w:val="24"/>
          <w:highlight w:val="none"/>
        </w:rPr>
        <w:t>，享受预留份额、评审中价格扣除等促进中小企业发展的政府采购政策。向残疾人福利性单位采购的金额，计入面向中小企业采购的统计数据。残疾人福利性单位属于小型、微型企业的，不重复享受政策。</w:t>
      </w:r>
    </w:p>
    <w:p w14:paraId="3AC98D73">
      <w:pPr>
        <w:jc w:val="center"/>
        <w:rPr>
          <w:rFonts w:hint="eastAsia" w:ascii="宋体" w:hAnsi="宋体" w:cs="宋体"/>
          <w:b/>
          <w:bCs/>
          <w:kern w:val="10"/>
          <w:sz w:val="28"/>
          <w:szCs w:val="28"/>
          <w:highlight w:val="none"/>
        </w:rPr>
      </w:pPr>
      <w:r>
        <w:rPr>
          <w:rFonts w:hint="eastAsia" w:ascii="宋体" w:hAnsi="宋体" w:cs="宋体"/>
          <w:b/>
          <w:bCs/>
          <w:kern w:val="10"/>
          <w:sz w:val="28"/>
          <w:szCs w:val="28"/>
          <w:highlight w:val="none"/>
        </w:rPr>
        <w:br w:type="page"/>
      </w:r>
      <w:r>
        <w:rPr>
          <w:rFonts w:hint="eastAsia" w:ascii="宋体" w:hAnsi="宋体" w:cs="宋体"/>
          <w:b/>
          <w:bCs/>
          <w:kern w:val="10"/>
          <w:sz w:val="28"/>
          <w:szCs w:val="28"/>
          <w:highlight w:val="none"/>
        </w:rPr>
        <w:t>3、监狱企业证明文件</w:t>
      </w:r>
    </w:p>
    <w:p w14:paraId="5EA5E52B">
      <w:pPr>
        <w:autoSpaceDE w:val="0"/>
        <w:autoSpaceDN w:val="0"/>
        <w:spacing w:line="360" w:lineRule="auto"/>
        <w:ind w:firstLine="480" w:firstLineChars="200"/>
        <w:rPr>
          <w:rFonts w:hint="eastAsia" w:ascii="宋体" w:hAnsi="宋体" w:cs="宋体"/>
          <w:sz w:val="24"/>
          <w:szCs w:val="24"/>
          <w:highlight w:val="none"/>
        </w:rPr>
      </w:pPr>
    </w:p>
    <w:p w14:paraId="48B68BD7">
      <w:pPr>
        <w:autoSpaceDE w:val="0"/>
        <w:autoSpaceDN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省级以上监狱管理局、戒毒管理局（含新疆生产建设兵团）出具的属于监狱企业的证明文件。</w:t>
      </w:r>
    </w:p>
    <w:p w14:paraId="0CB15D8A">
      <w:pPr>
        <w:autoSpaceDE w:val="0"/>
        <w:autoSpaceDN w:val="0"/>
        <w:spacing w:line="360" w:lineRule="auto"/>
        <w:ind w:firstLine="480" w:firstLineChars="200"/>
        <w:rPr>
          <w:rFonts w:hint="eastAsia" w:ascii="宋体" w:hAnsi="宋体" w:cs="宋体"/>
          <w:sz w:val="24"/>
          <w:szCs w:val="24"/>
          <w:highlight w:val="none"/>
        </w:rPr>
      </w:pPr>
    </w:p>
    <w:p w14:paraId="22214511">
      <w:pPr>
        <w:autoSpaceDE w:val="0"/>
        <w:autoSpaceDN w:val="0"/>
        <w:spacing w:line="360" w:lineRule="auto"/>
        <w:ind w:firstLine="480" w:firstLineChars="200"/>
        <w:rPr>
          <w:rFonts w:hint="eastAsia" w:ascii="宋体" w:hAnsi="宋体" w:cs="宋体"/>
          <w:sz w:val="24"/>
          <w:szCs w:val="24"/>
          <w:highlight w:val="none"/>
        </w:rPr>
      </w:pPr>
    </w:p>
    <w:p w14:paraId="7FF58444">
      <w:pPr>
        <w:autoSpaceDE w:val="0"/>
        <w:autoSpaceDN w:val="0"/>
        <w:spacing w:line="360" w:lineRule="auto"/>
        <w:ind w:firstLine="480" w:firstLineChars="200"/>
        <w:rPr>
          <w:rFonts w:hint="eastAsia" w:ascii="宋体" w:hAnsi="宋体" w:cs="宋体"/>
          <w:sz w:val="24"/>
          <w:szCs w:val="24"/>
          <w:highlight w:val="none"/>
        </w:rPr>
      </w:pPr>
    </w:p>
    <w:p w14:paraId="406BBF8C">
      <w:pPr>
        <w:autoSpaceDE w:val="0"/>
        <w:autoSpaceDN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kern w:val="0"/>
          <w:sz w:val="24"/>
          <w:szCs w:val="24"/>
          <w:highlight w:val="none"/>
        </w:rPr>
        <w:t>在政府采购活动中，</w:t>
      </w:r>
      <w:r>
        <w:rPr>
          <w:rFonts w:hint="eastAsia" w:ascii="宋体" w:hAnsi="宋体" w:cs="宋体"/>
          <w:b/>
          <w:bCs/>
          <w:kern w:val="0"/>
          <w:sz w:val="24"/>
          <w:szCs w:val="24"/>
          <w:highlight w:val="none"/>
        </w:rPr>
        <w:t>监狱企业视同小型、微型企业</w:t>
      </w:r>
      <w:r>
        <w:rPr>
          <w:rFonts w:hint="eastAsia" w:ascii="宋体" w:hAnsi="宋体" w:cs="宋体"/>
          <w:kern w:val="0"/>
          <w:sz w:val="24"/>
          <w:szCs w:val="24"/>
          <w:highlight w:val="none"/>
        </w:rPr>
        <w:t>，享受预留份额、评审中价格扣除等政府采购促进中小企业发展的政府采购政策。但监狱企业参加政府采购活动时，</w:t>
      </w:r>
      <w:r>
        <w:rPr>
          <w:rFonts w:hint="eastAsia" w:ascii="宋体" w:hAnsi="宋体" w:cs="宋体"/>
          <w:b/>
          <w:bCs/>
          <w:kern w:val="0"/>
          <w:sz w:val="24"/>
          <w:szCs w:val="24"/>
          <w:highlight w:val="none"/>
        </w:rPr>
        <w:t>应当提供由省级以上监狱管理局、戒毒管理局（含新疆生产建设兵团）出具的属于监狱企业的证明文件</w:t>
      </w:r>
      <w:r>
        <w:rPr>
          <w:rFonts w:hint="eastAsia" w:ascii="宋体" w:hAnsi="宋体" w:cs="宋体"/>
          <w:kern w:val="0"/>
          <w:sz w:val="24"/>
          <w:szCs w:val="24"/>
          <w:highlight w:val="none"/>
        </w:rPr>
        <w:t>，否则不能认为其为监狱企业）</w:t>
      </w:r>
    </w:p>
    <w:p w14:paraId="210DC9CF">
      <w:pPr>
        <w:pageBreakBefore w:val="0"/>
        <w:kinsoku/>
        <w:wordWrap/>
        <w:overflowPunct/>
        <w:topLinePunct w:val="0"/>
        <w:bidi w:val="0"/>
        <w:adjustRightInd w:val="0"/>
        <w:snapToGrid w:val="0"/>
        <w:spacing w:beforeAutospacing="0" w:afterAutospacing="0" w:line="384" w:lineRule="auto"/>
        <w:ind w:right="0" w:rightChars="0" w:firstLine="1920" w:firstLineChars="800"/>
        <w:jc w:val="right"/>
        <w:rPr>
          <w:rFonts w:hint="eastAsia" w:ascii="宋体" w:hAnsi="宋体" w:eastAsia="宋体" w:cs="宋体"/>
          <w:b w:val="0"/>
          <w:bCs/>
          <w:caps w:val="0"/>
          <w:smallCaps w:val="0"/>
          <w:snapToGrid w:val="0"/>
          <w:color w:val="000000"/>
          <w:kern w:val="0"/>
          <w:sz w:val="24"/>
          <w:szCs w:val="24"/>
          <w:highlight w:val="none"/>
        </w:rPr>
      </w:pPr>
    </w:p>
    <w:p w14:paraId="53CE57D0">
      <w:pP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br w:type="page"/>
      </w:r>
    </w:p>
    <w:bookmarkEnd w:id="1129"/>
    <w:bookmarkEnd w:id="1130"/>
    <w:p w14:paraId="1EA80FEE">
      <w:pPr>
        <w:spacing w:line="312" w:lineRule="auto"/>
        <w:ind w:right="-334" w:rightChars="-159"/>
        <w:jc w:val="both"/>
        <w:rPr>
          <w:rFonts w:hint="eastAsia" w:ascii="宋体" w:hAnsi="宋体" w:cs="宋体"/>
          <w:b/>
          <w:bCs/>
          <w:kern w:val="10"/>
          <w:sz w:val="28"/>
          <w:szCs w:val="28"/>
          <w:highlight w:val="none"/>
          <w:lang w:val="en-US" w:eastAsia="zh-CN"/>
        </w:rPr>
      </w:pPr>
      <w:r>
        <w:rPr>
          <w:rFonts w:hint="eastAsia" w:ascii="宋体" w:hAnsi="宋体" w:cs="宋体"/>
          <w:b/>
          <w:bCs/>
          <w:kern w:val="10"/>
          <w:sz w:val="28"/>
          <w:szCs w:val="28"/>
          <w:highlight w:val="none"/>
          <w:lang w:val="en-US" w:eastAsia="zh-CN"/>
        </w:rPr>
        <w:t>附件2</w:t>
      </w:r>
    </w:p>
    <w:p w14:paraId="65CF4E01">
      <w:pPr>
        <w:jc w:val="center"/>
        <w:rPr>
          <w:rFonts w:ascii="宋体" w:hAnsi="宋体"/>
          <w:b/>
          <w:sz w:val="32"/>
          <w:highlight w:val="none"/>
        </w:rPr>
      </w:pPr>
      <w:r>
        <w:rPr>
          <w:rFonts w:hint="eastAsia" w:ascii="宋体" w:hAnsi="宋体"/>
          <w:b/>
          <w:sz w:val="32"/>
          <w:highlight w:val="none"/>
        </w:rPr>
        <w:t>农民工工资支付承诺书</w:t>
      </w:r>
    </w:p>
    <w:p w14:paraId="36A703F1">
      <w:pPr>
        <w:rPr>
          <w:rFonts w:ascii="宋体" w:hAnsi="宋体"/>
          <w:sz w:val="24"/>
          <w:highlight w:val="none"/>
        </w:rPr>
      </w:pPr>
    </w:p>
    <w:p w14:paraId="5D032ECC">
      <w:pPr>
        <w:spacing w:line="540" w:lineRule="exact"/>
        <w:ind w:firstLine="480" w:firstLineChars="200"/>
        <w:rPr>
          <w:rFonts w:ascii="宋体" w:hAnsi="宋体"/>
          <w:sz w:val="24"/>
          <w:highlight w:val="none"/>
        </w:rPr>
      </w:pPr>
      <w:r>
        <w:rPr>
          <w:rFonts w:ascii="宋体" w:hAnsi="宋体"/>
          <w:sz w:val="24"/>
          <w:highlight w:val="none"/>
        </w:rPr>
        <w:t>为保护农民工的合法权益，不拖欠农民工工资，本公司郑重承诺：</w:t>
      </w:r>
    </w:p>
    <w:p w14:paraId="46174395">
      <w:pPr>
        <w:spacing w:line="540" w:lineRule="exact"/>
        <w:ind w:firstLine="480" w:firstLineChars="200"/>
        <w:rPr>
          <w:rFonts w:ascii="宋体" w:hAnsi="宋体"/>
          <w:sz w:val="24"/>
          <w:highlight w:val="none"/>
        </w:rPr>
      </w:pPr>
      <w:r>
        <w:rPr>
          <w:rFonts w:ascii="宋体" w:hAnsi="宋体"/>
          <w:sz w:val="24"/>
          <w:highlight w:val="none"/>
        </w:rPr>
        <w:t>1、不转包或违法分包，并禁止分包单位再分包或层层转包。</w:t>
      </w:r>
    </w:p>
    <w:p w14:paraId="30E0E58A">
      <w:pPr>
        <w:spacing w:line="540" w:lineRule="exact"/>
        <w:ind w:firstLine="480" w:firstLineChars="200"/>
        <w:rPr>
          <w:rFonts w:ascii="宋体" w:hAnsi="宋体"/>
          <w:sz w:val="24"/>
          <w:highlight w:val="none"/>
        </w:rPr>
      </w:pPr>
      <w:r>
        <w:rPr>
          <w:rFonts w:ascii="宋体" w:hAnsi="宋体"/>
          <w:sz w:val="24"/>
          <w:highlight w:val="none"/>
        </w:rPr>
        <w:t>2、自己雇佣农民工，与农民工签订劳务合同，如果有分包的督促劳务公司与农民工签订劳务合同并到总包单位备案。农民工工资由本公司或劳务公司直接足额发放到农民工本人手里，严禁发放给“包工头”。如“包工头”携款逃逸，或因其他原因无法支付民工工资，由本公司负责支付。</w:t>
      </w:r>
    </w:p>
    <w:p w14:paraId="13C66461">
      <w:pPr>
        <w:spacing w:line="540" w:lineRule="exact"/>
        <w:ind w:firstLine="480" w:firstLineChars="200"/>
        <w:rPr>
          <w:rFonts w:ascii="宋体" w:hAnsi="宋体"/>
          <w:sz w:val="24"/>
          <w:highlight w:val="none"/>
        </w:rPr>
      </w:pPr>
      <w:r>
        <w:rPr>
          <w:rFonts w:ascii="宋体" w:hAnsi="宋体"/>
          <w:sz w:val="24"/>
          <w:highlight w:val="none"/>
        </w:rPr>
        <w:t>3、按照“总包负总责”的原则，若发生集体上访事件，第一时间到场解决，若确认拖欠农民工工资的，不论何种原因将由我公司先行垫付。不能垫付的同意动用农民工工资保证金并及时按规定补齐。</w:t>
      </w:r>
    </w:p>
    <w:p w14:paraId="202C61D4">
      <w:pPr>
        <w:spacing w:line="540" w:lineRule="exact"/>
        <w:ind w:firstLine="480" w:firstLineChars="200"/>
        <w:rPr>
          <w:rFonts w:ascii="宋体" w:hAnsi="宋体"/>
          <w:sz w:val="24"/>
          <w:highlight w:val="none"/>
        </w:rPr>
      </w:pPr>
      <w:r>
        <w:rPr>
          <w:rFonts w:ascii="宋体" w:hAnsi="宋体"/>
          <w:sz w:val="24"/>
          <w:highlight w:val="none"/>
        </w:rPr>
        <w:t>4、切实做好农民工记工考勤工作，按约定及时与农民工结算工资。如果发生违反规定拖欠和克扣农民工工资行为，或因劳资纠纷造成农民工上访，并引发群体性突发事件，本单位愿意无条件接受</w:t>
      </w:r>
      <w:r>
        <w:rPr>
          <w:rFonts w:hint="eastAsia" w:ascii="宋体" w:hAnsi="宋体"/>
          <w:sz w:val="24"/>
          <w:highlight w:val="none"/>
        </w:rPr>
        <w:t>相关</w:t>
      </w:r>
      <w:r>
        <w:rPr>
          <w:rFonts w:ascii="宋体" w:hAnsi="宋体"/>
          <w:sz w:val="24"/>
          <w:highlight w:val="none"/>
        </w:rPr>
        <w:t>部门依照有关规定作出的任何处罚决定。</w:t>
      </w:r>
    </w:p>
    <w:p w14:paraId="066409C5">
      <w:pPr>
        <w:spacing w:line="540" w:lineRule="exact"/>
        <w:ind w:firstLine="480" w:firstLineChars="200"/>
        <w:rPr>
          <w:rFonts w:ascii="宋体" w:hAnsi="宋体"/>
          <w:sz w:val="24"/>
          <w:highlight w:val="none"/>
        </w:rPr>
      </w:pPr>
      <w:r>
        <w:rPr>
          <w:rFonts w:ascii="宋体" w:hAnsi="宋体"/>
          <w:sz w:val="24"/>
          <w:highlight w:val="none"/>
        </w:rPr>
        <w:t>特此承诺!</w:t>
      </w:r>
    </w:p>
    <w:p w14:paraId="70F03DA8">
      <w:pPr>
        <w:rPr>
          <w:rFonts w:ascii="宋体" w:hAnsi="宋体"/>
          <w:sz w:val="24"/>
          <w:highlight w:val="none"/>
        </w:rPr>
      </w:pPr>
    </w:p>
    <w:p w14:paraId="6BF547B7">
      <w:pPr>
        <w:rPr>
          <w:rFonts w:ascii="宋体" w:hAnsi="宋体"/>
          <w:highlight w:val="none"/>
        </w:rPr>
      </w:pPr>
    </w:p>
    <w:p w14:paraId="3C66270B">
      <w:pPr>
        <w:spacing w:line="480" w:lineRule="exact"/>
        <w:ind w:firstLine="2244" w:firstLineChars="935"/>
        <w:rPr>
          <w:rFonts w:ascii="宋体" w:hAnsi="宋体"/>
          <w:sz w:val="24"/>
          <w:highlight w:val="none"/>
          <w:u w:val="single"/>
        </w:rPr>
      </w:pPr>
      <w:r>
        <w:rPr>
          <w:rFonts w:hint="eastAsia" w:ascii="宋体" w:hAnsi="宋体"/>
          <w:sz w:val="24"/>
          <w:highlight w:val="none"/>
        </w:rPr>
        <w:t xml:space="preserve">投标人：（盖章） </w:t>
      </w:r>
      <w:r>
        <w:rPr>
          <w:rFonts w:hint="eastAsia" w:ascii="宋体" w:hAnsi="宋体"/>
          <w:sz w:val="24"/>
          <w:highlight w:val="none"/>
          <w:u w:val="single"/>
        </w:rPr>
        <w:t xml:space="preserve">         </w:t>
      </w:r>
    </w:p>
    <w:p w14:paraId="3F8DE4FE">
      <w:pPr>
        <w:spacing w:line="480" w:lineRule="exact"/>
        <w:ind w:firstLine="2244" w:firstLineChars="935"/>
        <w:rPr>
          <w:rFonts w:ascii="宋体" w:hAnsi="宋体"/>
          <w:sz w:val="24"/>
          <w:highlight w:val="none"/>
          <w:u w:val="single"/>
        </w:rPr>
      </w:pPr>
      <w:r>
        <w:rPr>
          <w:rFonts w:hint="eastAsia" w:ascii="宋体" w:hAnsi="宋体"/>
          <w:sz w:val="24"/>
          <w:highlight w:val="none"/>
        </w:rPr>
        <w:t>法定代表人：（电子签章）</w:t>
      </w:r>
      <w:r>
        <w:rPr>
          <w:rFonts w:hint="eastAsia" w:ascii="宋体" w:hAnsi="宋体"/>
          <w:sz w:val="24"/>
          <w:highlight w:val="none"/>
          <w:u w:val="single"/>
        </w:rPr>
        <w:t xml:space="preserve">            </w:t>
      </w:r>
    </w:p>
    <w:p w14:paraId="7020A483">
      <w:pPr>
        <w:spacing w:line="480" w:lineRule="exact"/>
        <w:ind w:firstLine="2724" w:firstLineChars="1135"/>
        <w:rPr>
          <w:rFonts w:ascii="宋体" w:hAnsi="宋体"/>
          <w:sz w:val="24"/>
          <w:highlight w:val="none"/>
        </w:rPr>
      </w:pPr>
      <w:r>
        <w:rPr>
          <w:rFonts w:hint="eastAsia" w:ascii="宋体" w:hAnsi="宋体"/>
          <w:sz w:val="24"/>
          <w:highlight w:val="none"/>
        </w:rPr>
        <w:t>年</w:t>
      </w:r>
      <w:r>
        <w:rPr>
          <w:rFonts w:hint="eastAsia" w:ascii="宋体" w:hAnsi="宋体"/>
          <w:sz w:val="24"/>
          <w:highlight w:val="none"/>
          <w:lang w:val="en-US" w:eastAsia="zh-CN"/>
        </w:rPr>
        <w:t xml:space="preserve">  </w:t>
      </w:r>
      <w:r>
        <w:rPr>
          <w:rFonts w:hint="eastAsia" w:ascii="宋体" w:hAnsi="宋体"/>
          <w:sz w:val="24"/>
          <w:highlight w:val="none"/>
        </w:rPr>
        <w:t>月</w:t>
      </w:r>
      <w:r>
        <w:rPr>
          <w:rFonts w:hint="eastAsia" w:ascii="宋体" w:hAnsi="宋体"/>
          <w:sz w:val="24"/>
          <w:highlight w:val="none"/>
          <w:lang w:val="en-US" w:eastAsia="zh-CN"/>
        </w:rPr>
        <w:t xml:space="preserve">  </w:t>
      </w:r>
      <w:r>
        <w:rPr>
          <w:rFonts w:hint="eastAsia" w:ascii="宋体" w:hAnsi="宋体"/>
          <w:sz w:val="24"/>
          <w:highlight w:val="none"/>
        </w:rPr>
        <w:t>日</w:t>
      </w:r>
    </w:p>
    <w:p w14:paraId="38E64B49">
      <w:pPr>
        <w:rPr>
          <w:rFonts w:ascii="宋体" w:hAnsi="宋体"/>
          <w:highlight w:val="none"/>
        </w:rPr>
      </w:pPr>
    </w:p>
    <w:p w14:paraId="30883D09">
      <w:pPr>
        <w:widowControl/>
        <w:spacing w:line="240" w:lineRule="auto"/>
        <w:jc w:val="left"/>
        <w:rPr>
          <w:rFonts w:hint="eastAsia" w:eastAsiaTheme="minorEastAsia"/>
          <w:highlight w:val="none"/>
          <w:lang w:val="en-US" w:eastAsia="zh-CN"/>
        </w:rPr>
      </w:pPr>
    </w:p>
    <w:p w14:paraId="4F102057">
      <w:pPr>
        <w:pStyle w:val="21"/>
        <w:rPr>
          <w:rFonts w:hint="eastAsia" w:eastAsiaTheme="minorEastAsia"/>
          <w:highlight w:val="none"/>
          <w:lang w:val="en-US" w:eastAsia="zh-CN"/>
        </w:rPr>
      </w:pPr>
    </w:p>
    <w:p w14:paraId="5DE0A32D">
      <w:pPr>
        <w:pStyle w:val="22"/>
        <w:rPr>
          <w:rFonts w:hint="eastAsia" w:eastAsiaTheme="minorEastAsia"/>
          <w:highlight w:val="none"/>
          <w:lang w:val="en-US" w:eastAsia="zh-CN"/>
        </w:rPr>
      </w:pPr>
    </w:p>
    <w:p w14:paraId="3494867C">
      <w:pPr>
        <w:rPr>
          <w:rFonts w:hint="eastAsia" w:eastAsiaTheme="minorEastAsia"/>
          <w:highlight w:val="none"/>
          <w:lang w:val="en-US" w:eastAsia="zh-CN"/>
        </w:rPr>
      </w:pPr>
    </w:p>
    <w:p w14:paraId="08D4BF43">
      <w:pPr>
        <w:pStyle w:val="21"/>
        <w:rPr>
          <w:rFonts w:hint="eastAsia" w:eastAsiaTheme="minorEastAsia"/>
          <w:highlight w:val="none"/>
          <w:lang w:val="en-US" w:eastAsia="zh-CN"/>
        </w:rPr>
      </w:pPr>
    </w:p>
    <w:p w14:paraId="507FDC8C">
      <w:pPr>
        <w:spacing w:line="312" w:lineRule="auto"/>
        <w:ind w:right="-334" w:rightChars="-159"/>
        <w:jc w:val="both"/>
        <w:rPr>
          <w:rFonts w:hint="eastAsia" w:ascii="宋体" w:hAnsi="宋体" w:cs="宋体"/>
          <w:b/>
          <w:bCs/>
          <w:kern w:val="10"/>
          <w:sz w:val="28"/>
          <w:szCs w:val="28"/>
          <w:highlight w:val="none"/>
          <w:lang w:val="en-US" w:eastAsia="zh-CN"/>
        </w:rPr>
      </w:pPr>
      <w:r>
        <w:rPr>
          <w:rFonts w:hint="eastAsia" w:ascii="宋体" w:hAnsi="宋体" w:cs="宋体"/>
          <w:b/>
          <w:bCs/>
          <w:kern w:val="10"/>
          <w:sz w:val="28"/>
          <w:szCs w:val="28"/>
          <w:highlight w:val="none"/>
          <w:lang w:val="en-US" w:eastAsia="zh-CN"/>
        </w:rPr>
        <w:t>附件3</w:t>
      </w:r>
    </w:p>
    <w:p w14:paraId="433AC292">
      <w:pPr>
        <w:widowControl/>
        <w:spacing w:line="240" w:lineRule="auto"/>
        <w:jc w:val="left"/>
        <w:rPr>
          <w:rFonts w:ascii="宋体" w:hAnsi="宋体"/>
          <w:highlight w:val="none"/>
        </w:rPr>
      </w:pPr>
      <w:r>
        <w:rPr>
          <w:rFonts w:ascii="宋体" w:hAnsi="宋体"/>
          <w:highlight w:val="none"/>
        </w:rPr>
        <w:drawing>
          <wp:anchor distT="0" distB="0" distL="114300" distR="114300" simplePos="0" relativeHeight="251659264" behindDoc="0" locked="0" layoutInCell="1" allowOverlap="1">
            <wp:simplePos x="0" y="0"/>
            <wp:positionH relativeFrom="column">
              <wp:posOffset>-73660</wp:posOffset>
            </wp:positionH>
            <wp:positionV relativeFrom="paragraph">
              <wp:posOffset>354965</wp:posOffset>
            </wp:positionV>
            <wp:extent cx="5481955" cy="7312660"/>
            <wp:effectExtent l="0" t="0" r="4445" b="2540"/>
            <wp:wrapNone/>
            <wp:docPr id="1" name="图片 1" descr="C:\Users\Administrator\Documents\WeChat Files\wxid_dednxlkh0egp21\FileStorage\Temp\b361ce7ff8decfdc9d784e495c6d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dednxlkh0egp21\FileStorage\Temp\b361ce7ff8decfdc9d784e495c6d255.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1955" cy="7312660"/>
                    </a:xfrm>
                    <a:prstGeom prst="rect">
                      <a:avLst/>
                    </a:prstGeom>
                    <a:noFill/>
                    <a:ln>
                      <a:noFill/>
                    </a:ln>
                  </pic:spPr>
                </pic:pic>
              </a:graphicData>
            </a:graphic>
          </wp:anchor>
        </w:drawing>
      </w:r>
      <w:r>
        <w:rPr>
          <w:rFonts w:ascii="宋体" w:hAnsi="宋体"/>
          <w:highlight w:val="none"/>
        </w:rPr>
        <w:br w:type="page"/>
      </w:r>
    </w:p>
    <w:p w14:paraId="6413671F">
      <w:pPr>
        <w:rPr>
          <w:rFonts w:ascii="宋体" w:hAnsi="宋体"/>
          <w:highlight w:val="none"/>
        </w:rPr>
      </w:pPr>
      <w:r>
        <w:rPr>
          <w:rFonts w:ascii="宋体" w:hAnsi="宋体"/>
          <w:highlight w:val="none"/>
        </w:rPr>
        <w:drawing>
          <wp:anchor distT="0" distB="0" distL="114300" distR="114300" simplePos="0" relativeHeight="251660288" behindDoc="0" locked="0" layoutInCell="1" allowOverlap="1">
            <wp:simplePos x="0" y="0"/>
            <wp:positionH relativeFrom="column">
              <wp:posOffset>-140970</wp:posOffset>
            </wp:positionH>
            <wp:positionV relativeFrom="paragraph">
              <wp:posOffset>203835</wp:posOffset>
            </wp:positionV>
            <wp:extent cx="5688330" cy="7588250"/>
            <wp:effectExtent l="0" t="0" r="7620" b="12700"/>
            <wp:wrapNone/>
            <wp:docPr id="5" name="图片 5" descr="C:\Users\Administrator\Documents\WeChat Files\wxid_dednxlkh0egp21\FileStorage\Temp\429aaf5db35b8d561a891a7349c5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wxid_dednxlkh0egp21\FileStorage\Temp\429aaf5db35b8d561a891a7349c5beb.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688614" cy="7588333"/>
                    </a:xfrm>
                    <a:prstGeom prst="rect">
                      <a:avLst/>
                    </a:prstGeom>
                    <a:noFill/>
                    <a:ln>
                      <a:noFill/>
                    </a:ln>
                  </pic:spPr>
                </pic:pic>
              </a:graphicData>
            </a:graphic>
          </wp:anchor>
        </w:drawing>
      </w:r>
    </w:p>
    <w:p w14:paraId="17D654C6">
      <w:pPr>
        <w:widowControl/>
        <w:spacing w:line="240" w:lineRule="auto"/>
        <w:jc w:val="left"/>
        <w:rPr>
          <w:rFonts w:ascii="宋体" w:hAnsi="宋体"/>
          <w:highlight w:val="none"/>
        </w:rPr>
      </w:pPr>
      <w:r>
        <w:rPr>
          <w:rFonts w:ascii="宋体" w:hAnsi="宋体"/>
          <w:highlight w:val="none"/>
        </w:rPr>
        <w:br w:type="page"/>
      </w:r>
    </w:p>
    <w:p w14:paraId="489FE2AB">
      <w:pPr>
        <w:rPr>
          <w:rFonts w:ascii="宋体" w:hAnsi="宋体"/>
          <w:highlight w:val="none"/>
        </w:rPr>
      </w:pPr>
      <w:r>
        <w:rPr>
          <w:rFonts w:ascii="宋体" w:hAnsi="宋体"/>
          <w:highlight w:val="none"/>
        </w:rPr>
        <w:drawing>
          <wp:anchor distT="0" distB="0" distL="114300" distR="114300" simplePos="0" relativeHeight="251661312" behindDoc="0" locked="0" layoutInCell="1" allowOverlap="1">
            <wp:simplePos x="0" y="0"/>
            <wp:positionH relativeFrom="column">
              <wp:posOffset>34290</wp:posOffset>
            </wp:positionH>
            <wp:positionV relativeFrom="paragraph">
              <wp:posOffset>46990</wp:posOffset>
            </wp:positionV>
            <wp:extent cx="5486400" cy="7315200"/>
            <wp:effectExtent l="0" t="0" r="0" b="0"/>
            <wp:wrapNone/>
            <wp:docPr id="6" name="图片 6" descr="C:\Users\Administrator\Documents\WeChat Files\wxid_dednxlkh0egp21\FileStorage\Temp\5edc92d0ba47a3185fbc646a64b7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WeChat Files\wxid_dednxlkh0egp21\FileStorage\Temp\5edc92d0ba47a3185fbc646a64b7fbc.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6400" cy="7315200"/>
                    </a:xfrm>
                    <a:prstGeom prst="rect">
                      <a:avLst/>
                    </a:prstGeom>
                    <a:noFill/>
                    <a:ln>
                      <a:noFill/>
                    </a:ln>
                  </pic:spPr>
                </pic:pic>
              </a:graphicData>
            </a:graphic>
          </wp:anchor>
        </w:drawing>
      </w:r>
    </w:p>
    <w:p w14:paraId="0686F772">
      <w:pPr>
        <w:rPr>
          <w:rFonts w:ascii="宋体" w:hAnsi="宋体"/>
          <w:highlight w:val="none"/>
        </w:rPr>
      </w:pPr>
    </w:p>
    <w:p w14:paraId="233EED7A">
      <w:pPr>
        <w:widowControl/>
        <w:spacing w:line="240" w:lineRule="auto"/>
        <w:jc w:val="left"/>
        <w:rPr>
          <w:rFonts w:ascii="宋体" w:hAnsi="宋体"/>
          <w:highlight w:val="none"/>
        </w:rPr>
      </w:pPr>
      <w:r>
        <w:rPr>
          <w:rFonts w:ascii="宋体" w:hAnsi="宋体"/>
          <w:highlight w:val="none"/>
        </w:rPr>
        <w:br w:type="page"/>
      </w:r>
    </w:p>
    <w:p w14:paraId="2085A2DC">
      <w:pPr>
        <w:spacing w:line="700" w:lineRule="exact"/>
        <w:jc w:val="left"/>
        <w:rPr>
          <w:rFonts w:ascii="黑体" w:hAnsi="黑体" w:eastAsia="黑体" w:cs="黑体"/>
          <w:bCs/>
          <w:spacing w:val="57"/>
          <w:w w:val="90"/>
          <w:sz w:val="24"/>
          <w:szCs w:val="44"/>
          <w:highlight w:val="none"/>
        </w:rPr>
      </w:pPr>
      <w:r>
        <w:rPr>
          <w:rFonts w:hint="eastAsia" w:ascii="宋体" w:hAnsi="宋体"/>
          <w:sz w:val="24"/>
          <w:highlight w:val="none"/>
        </w:rPr>
        <w:t>无拖欠农民工（员工）工资证明（函）</w:t>
      </w:r>
    </w:p>
    <w:p w14:paraId="3A3F9A6F">
      <w:pPr>
        <w:spacing w:line="700" w:lineRule="exact"/>
        <w:ind w:firstLine="1111" w:firstLineChars="200"/>
        <w:jc w:val="center"/>
        <w:rPr>
          <w:rFonts w:ascii="黑体" w:hAnsi="黑体" w:eastAsia="黑体" w:cs="黑体"/>
          <w:b/>
          <w:bCs/>
          <w:spacing w:val="57"/>
          <w:sz w:val="44"/>
          <w:szCs w:val="44"/>
          <w:highlight w:val="none"/>
        </w:rPr>
      </w:pPr>
      <w:r>
        <w:rPr>
          <w:rFonts w:hint="eastAsia" w:ascii="黑体" w:hAnsi="黑体" w:eastAsia="黑体" w:cs="黑体"/>
          <w:b/>
          <w:bCs/>
          <w:spacing w:val="57"/>
          <w:sz w:val="44"/>
          <w:szCs w:val="44"/>
          <w:highlight w:val="none"/>
        </w:rPr>
        <w:t>无拖欠农民工工资证明</w:t>
      </w:r>
    </w:p>
    <w:p w14:paraId="0E9A903D">
      <w:pPr>
        <w:spacing w:line="700" w:lineRule="exact"/>
        <w:ind w:firstLine="1111" w:firstLineChars="200"/>
        <w:jc w:val="center"/>
        <w:rPr>
          <w:rFonts w:ascii="黑体" w:hAnsi="黑体" w:eastAsia="黑体" w:cs="黑体"/>
          <w:b/>
          <w:bCs/>
          <w:spacing w:val="57"/>
          <w:sz w:val="44"/>
          <w:szCs w:val="44"/>
          <w:highlight w:val="none"/>
        </w:rPr>
      </w:pPr>
      <w:r>
        <w:rPr>
          <w:rFonts w:hint="eastAsia" w:ascii="黑体" w:hAnsi="黑体" w:eastAsia="黑体" w:cs="黑体"/>
          <w:b/>
          <w:bCs/>
          <w:spacing w:val="57"/>
          <w:sz w:val="44"/>
          <w:szCs w:val="44"/>
          <w:highlight w:val="none"/>
        </w:rPr>
        <w:t>（函）</w:t>
      </w:r>
    </w:p>
    <w:p w14:paraId="4610800D">
      <w:pPr>
        <w:spacing w:line="560" w:lineRule="exact"/>
        <w:ind w:firstLine="640" w:firstLineChars="200"/>
        <w:rPr>
          <w:rFonts w:ascii="仿宋" w:hAnsi="仿宋" w:eastAsia="仿宋" w:cs="仿宋"/>
          <w:sz w:val="32"/>
          <w:szCs w:val="32"/>
          <w:highlight w:val="none"/>
        </w:rPr>
      </w:pPr>
    </w:p>
    <w:p w14:paraId="4258BBD1">
      <w:pPr>
        <w:spacing w:line="560" w:lineRule="exact"/>
        <w:ind w:left="283" w:leftChars="135"/>
        <w:rPr>
          <w:rFonts w:hint="eastAsia" w:ascii="仿宋" w:hAnsi="仿宋" w:eastAsia="仿宋" w:cs="仿宋"/>
          <w:sz w:val="32"/>
          <w:szCs w:val="32"/>
          <w:highlight w:val="none"/>
        </w:rPr>
      </w:pPr>
      <w:r>
        <w:rPr>
          <w:rFonts w:hint="eastAsia" w:ascii="仿宋" w:hAnsi="仿宋" w:eastAsia="仿宋" w:cs="仿宋"/>
          <w:sz w:val="32"/>
          <w:szCs w:val="32"/>
          <w:highlight w:val="none"/>
        </w:rPr>
        <w:t>经审核，</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自</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年</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月至</w:t>
      </w:r>
    </w:p>
    <w:p w14:paraId="2577F357">
      <w:pPr>
        <w:spacing w:line="560" w:lineRule="exact"/>
        <w:ind w:left="283" w:leftChars="135"/>
        <w:rPr>
          <w:rFonts w:ascii="仿宋" w:hAnsi="仿宋" w:eastAsia="仿宋" w:cs="仿宋"/>
          <w:sz w:val="32"/>
          <w:szCs w:val="32"/>
          <w:highlight w:val="none"/>
        </w:rPr>
      </w:pP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年</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月期间，未发现拖欠农民工工资的情况（此证明仅用于</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招标）。</w:t>
      </w:r>
    </w:p>
    <w:p w14:paraId="57BFF236">
      <w:pPr>
        <w:spacing w:line="560" w:lineRule="exact"/>
        <w:ind w:left="283" w:leftChars="135"/>
        <w:rPr>
          <w:rFonts w:ascii="仿宋" w:hAnsi="仿宋" w:eastAsia="仿宋" w:cs="仿宋"/>
          <w:sz w:val="32"/>
          <w:szCs w:val="32"/>
          <w:highlight w:val="none"/>
        </w:rPr>
      </w:pPr>
      <w:r>
        <w:rPr>
          <w:rFonts w:hint="eastAsia" w:ascii="仿宋" w:hAnsi="仿宋" w:eastAsia="仿宋" w:cs="仿宋"/>
          <w:sz w:val="32"/>
          <w:szCs w:val="32"/>
          <w:highlight w:val="none"/>
        </w:rPr>
        <w:t>特此证明</w:t>
      </w:r>
    </w:p>
    <w:p w14:paraId="45BC7A3D">
      <w:pPr>
        <w:spacing w:line="560" w:lineRule="exact"/>
        <w:ind w:left="283" w:leftChars="135"/>
        <w:rPr>
          <w:rFonts w:ascii="仿宋" w:hAnsi="仿宋" w:eastAsia="仿宋" w:cs="仿宋"/>
          <w:sz w:val="32"/>
          <w:szCs w:val="32"/>
          <w:highlight w:val="none"/>
        </w:rPr>
      </w:pPr>
      <w:r>
        <w:rPr>
          <w:rFonts w:hint="eastAsia" w:ascii="仿宋" w:hAnsi="仿宋" w:eastAsia="仿宋" w:cs="仿宋"/>
          <w:sz w:val="32"/>
          <w:szCs w:val="32"/>
          <w:highlight w:val="none"/>
        </w:rPr>
        <w:t>（有效期30天）</w:t>
      </w:r>
    </w:p>
    <w:p w14:paraId="7B3E7FF8">
      <w:pPr>
        <w:spacing w:line="560" w:lineRule="exact"/>
        <w:ind w:left="283" w:leftChars="135"/>
        <w:rPr>
          <w:rFonts w:ascii="仿宋" w:hAnsi="仿宋" w:eastAsia="仿宋" w:cs="仿宋"/>
          <w:sz w:val="32"/>
          <w:szCs w:val="32"/>
          <w:highlight w:val="none"/>
        </w:rPr>
      </w:pPr>
    </w:p>
    <w:p w14:paraId="6550AEED">
      <w:pPr>
        <w:spacing w:line="560" w:lineRule="exact"/>
        <w:ind w:left="283" w:leftChars="135"/>
        <w:jc w:val="center"/>
        <w:rPr>
          <w:rFonts w:ascii="仿宋" w:hAnsi="仿宋" w:eastAsia="仿宋" w:cs="仿宋"/>
          <w:sz w:val="32"/>
          <w:szCs w:val="32"/>
          <w:highlight w:val="none"/>
        </w:rPr>
      </w:pPr>
      <w:r>
        <w:rPr>
          <w:rFonts w:hint="eastAsia" w:ascii="仿宋" w:hAnsi="仿宋" w:eastAsia="仿宋" w:cs="仿宋"/>
          <w:sz w:val="32"/>
          <w:szCs w:val="32"/>
          <w:highlight w:val="none"/>
        </w:rPr>
        <w:t xml:space="preserve">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劳动保障监察大队</w:t>
      </w:r>
    </w:p>
    <w:p w14:paraId="26C4522B">
      <w:pPr>
        <w:spacing w:line="560" w:lineRule="exact"/>
        <w:ind w:left="283" w:leftChars="135"/>
        <w:jc w:val="center"/>
        <w:rPr>
          <w:rFonts w:ascii="仿宋" w:hAnsi="仿宋" w:eastAsia="仿宋" w:cs="仿宋"/>
          <w:sz w:val="32"/>
          <w:szCs w:val="32"/>
          <w:highlight w:val="none"/>
        </w:rPr>
      </w:pPr>
      <w:r>
        <w:rPr>
          <w:rFonts w:hint="eastAsia" w:ascii="仿宋" w:hAnsi="仿宋" w:eastAsia="仿宋" w:cs="仿宋"/>
          <w:sz w:val="32"/>
          <w:szCs w:val="32"/>
          <w:highlight w:val="none"/>
        </w:rPr>
        <w:t xml:space="preserve">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年</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月</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日</w:t>
      </w:r>
    </w:p>
    <w:p w14:paraId="0FC9708B">
      <w:pPr>
        <w:spacing w:line="560" w:lineRule="exact"/>
        <w:ind w:left="283" w:leftChars="135"/>
        <w:rPr>
          <w:rFonts w:ascii="仿宋" w:hAnsi="仿宋" w:eastAsia="仿宋" w:cs="仿宋"/>
          <w:sz w:val="32"/>
          <w:szCs w:val="32"/>
          <w:highlight w:val="none"/>
        </w:rPr>
      </w:pPr>
    </w:p>
    <w:p w14:paraId="4A629126">
      <w:pPr>
        <w:spacing w:line="560" w:lineRule="exact"/>
        <w:ind w:left="283" w:leftChars="135"/>
        <w:rPr>
          <w:rFonts w:ascii="仿宋" w:hAnsi="仿宋" w:eastAsia="仿宋" w:cs="仿宋"/>
          <w:sz w:val="32"/>
          <w:szCs w:val="32"/>
          <w:highlight w:val="none"/>
        </w:rPr>
      </w:pPr>
    </w:p>
    <w:p w14:paraId="594037FE">
      <w:pPr>
        <w:spacing w:line="560" w:lineRule="exact"/>
        <w:ind w:left="283" w:leftChars="135"/>
        <w:rPr>
          <w:rFonts w:ascii="仿宋" w:hAnsi="仿宋" w:eastAsia="仿宋" w:cs="仿宋"/>
          <w:sz w:val="32"/>
          <w:szCs w:val="32"/>
          <w:highlight w:val="none"/>
        </w:rPr>
      </w:pPr>
      <w:r>
        <w:rPr>
          <w:rFonts w:hint="eastAsia" w:ascii="仿宋" w:hAnsi="仿宋" w:eastAsia="仿宋" w:cs="仿宋"/>
          <w:sz w:val="32"/>
          <w:szCs w:val="32"/>
          <w:highlight w:val="none"/>
        </w:rPr>
        <w:t>联系人：</w:t>
      </w:r>
      <w:r>
        <w:rPr>
          <w:rFonts w:hint="eastAsia" w:ascii="仿宋" w:hAnsi="仿宋" w:eastAsia="仿宋" w:cs="仿宋"/>
          <w:sz w:val="32"/>
          <w:szCs w:val="32"/>
          <w:highlight w:val="none"/>
          <w:u w:val="single"/>
        </w:rPr>
        <w:t xml:space="preserve">                              </w:t>
      </w:r>
    </w:p>
    <w:p w14:paraId="4200521D">
      <w:pPr>
        <w:spacing w:line="560" w:lineRule="exact"/>
        <w:ind w:left="283" w:leftChars="135"/>
        <w:rPr>
          <w:rFonts w:ascii="仿宋" w:hAnsi="仿宋" w:eastAsia="仿宋" w:cs="仿宋"/>
          <w:sz w:val="32"/>
          <w:szCs w:val="32"/>
          <w:highlight w:val="none"/>
        </w:rPr>
      </w:pPr>
    </w:p>
    <w:p w14:paraId="2F84A91B">
      <w:pPr>
        <w:spacing w:line="560" w:lineRule="exact"/>
        <w:ind w:left="283" w:leftChars="135"/>
        <w:rPr>
          <w:rFonts w:ascii="仿宋" w:hAnsi="仿宋" w:eastAsia="仿宋" w:cs="仿宋"/>
          <w:sz w:val="32"/>
          <w:szCs w:val="32"/>
          <w:highlight w:val="none"/>
        </w:rPr>
      </w:pP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single"/>
        </w:rPr>
        <w:t xml:space="preserve">                            </w:t>
      </w:r>
    </w:p>
    <w:p w14:paraId="3C0ACD18">
      <w:pPr>
        <w:spacing w:line="560" w:lineRule="exact"/>
        <w:ind w:left="283" w:leftChars="135"/>
        <w:rPr>
          <w:rFonts w:ascii="仿宋" w:hAnsi="仿宋" w:eastAsia="仿宋" w:cs="仿宋"/>
          <w:sz w:val="32"/>
          <w:szCs w:val="32"/>
          <w:highlight w:val="none"/>
        </w:rPr>
      </w:pPr>
    </w:p>
    <w:p w14:paraId="0749EBE4">
      <w:pPr>
        <w:spacing w:line="560" w:lineRule="exact"/>
        <w:ind w:left="283" w:leftChars="135"/>
        <w:rPr>
          <w:rFonts w:ascii="仿宋" w:hAnsi="仿宋" w:eastAsia="仿宋" w:cs="仿宋"/>
          <w:sz w:val="32"/>
          <w:szCs w:val="32"/>
          <w:highlight w:val="none"/>
        </w:rPr>
      </w:pPr>
    </w:p>
    <w:p w14:paraId="7F7178EE">
      <w:pPr>
        <w:spacing w:line="560" w:lineRule="exact"/>
        <w:ind w:left="283" w:leftChars="135"/>
        <w:rPr>
          <w:rFonts w:ascii="仿宋" w:hAnsi="仿宋" w:eastAsia="仿宋" w:cs="仿宋"/>
          <w:sz w:val="32"/>
          <w:szCs w:val="32"/>
          <w:highlight w:val="none"/>
        </w:rPr>
      </w:pPr>
      <w:r>
        <w:rPr>
          <w:rFonts w:ascii="Arial" w:hAnsi="Arial" w:eastAsia="仿宋" w:cs="Arial"/>
          <w:sz w:val="32"/>
          <w:szCs w:val="32"/>
          <w:highlight w:val="none"/>
        </w:rPr>
        <w:t>……………………………………………………………</w:t>
      </w:r>
      <w:r>
        <w:rPr>
          <w:rFonts w:hint="eastAsia" w:ascii="仿宋" w:hAnsi="仿宋" w:eastAsia="仿宋" w:cs="仿宋"/>
          <w:sz w:val="32"/>
          <w:szCs w:val="32"/>
          <w:highlight w:val="none"/>
        </w:rPr>
        <w:t xml:space="preserve"> </w:t>
      </w:r>
    </w:p>
    <w:p w14:paraId="2A2E7869">
      <w:pPr>
        <w:spacing w:line="560" w:lineRule="exact"/>
        <w:ind w:left="283" w:leftChars="135"/>
        <w:rPr>
          <w:rFonts w:ascii="仿宋" w:hAnsi="仿宋" w:eastAsia="仿宋" w:cs="仿宋"/>
          <w:sz w:val="32"/>
          <w:szCs w:val="32"/>
          <w:highlight w:val="none"/>
        </w:rPr>
      </w:pPr>
      <w:r>
        <w:rPr>
          <w:rFonts w:hint="eastAsia" w:ascii="仿宋" w:hAnsi="仿宋" w:eastAsia="仿宋" w:cs="仿宋"/>
          <w:sz w:val="32"/>
          <w:szCs w:val="32"/>
          <w:highlight w:val="none"/>
        </w:rPr>
        <w:t>注：本书一式两份，一份交投标企业，一份留存。</w:t>
      </w:r>
    </w:p>
    <w:p w14:paraId="28F89C67">
      <w:pPr>
        <w:spacing w:line="240" w:lineRule="auto"/>
        <w:ind w:left="283" w:leftChars="135"/>
        <w:rPr>
          <w:szCs w:val="24"/>
          <w:highlight w:val="none"/>
        </w:rPr>
      </w:pPr>
    </w:p>
    <w:p w14:paraId="3C547DEC">
      <w:pPr>
        <w:rPr>
          <w:rFonts w:hint="eastAsia" w:eastAsiaTheme="minorEastAsia"/>
          <w:highlight w:val="none"/>
          <w:lang w:val="en-US" w:eastAsia="zh-CN"/>
        </w:rPr>
      </w:pPr>
    </w:p>
    <w:p w14:paraId="5F02D9E5">
      <w:pPr>
        <w:pStyle w:val="22"/>
        <w:rPr>
          <w:rFonts w:hint="eastAsia"/>
          <w:highlight w:val="none"/>
          <w:lang w:val="en-US" w:eastAsia="zh-CN"/>
        </w:rPr>
      </w:pPr>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04C03">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A6937">
    <w:pPr>
      <w:pStyle w:val="16"/>
      <w:tabs>
        <w:tab w:val="center" w:pos="4536"/>
        <w:tab w:val="clear" w:pos="4153"/>
        <w:tab w:val="clear" w:pos="8306"/>
      </w:tabs>
      <w:rPr>
        <w:rFonts w:ascii="宋体" w:hAnsi="宋体"/>
        <w:sz w:val="19"/>
        <w:szCs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E8810">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6499A">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906499A">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958D9">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18F89">
                          <w:pPr>
                            <w:pStyle w:val="16"/>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8A18F89">
                    <w:pPr>
                      <w:pStyle w:val="16"/>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88D16">
    <w:pPr>
      <w:pStyle w:val="17"/>
      <w:pBdr>
        <w:bottom w:val="none" w:color="auto" w:sz="0" w:space="1"/>
      </w:pBdr>
      <w:jc w:val="left"/>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E2B2AA"/>
    <w:multiLevelType w:val="singleLevel"/>
    <w:tmpl w:val="A5E2B2AA"/>
    <w:lvl w:ilvl="0" w:tentative="0">
      <w:start w:val="3"/>
      <w:numFmt w:val="chineseCounting"/>
      <w:suff w:val="nothing"/>
      <w:lvlText w:val="%1、"/>
      <w:lvlJc w:val="left"/>
      <w:rPr>
        <w:rFonts w:hint="eastAsia"/>
      </w:rPr>
    </w:lvl>
  </w:abstractNum>
  <w:abstractNum w:abstractNumId="1">
    <w:nsid w:val="EF2B090E"/>
    <w:multiLevelType w:val="singleLevel"/>
    <w:tmpl w:val="EF2B090E"/>
    <w:lvl w:ilvl="0" w:tentative="0">
      <w:start w:val="3"/>
      <w:numFmt w:val="chineseCounting"/>
      <w:suff w:val="nothing"/>
      <w:lvlText w:val="（%1）"/>
      <w:lvlJc w:val="left"/>
      <w:rPr>
        <w:rFonts w:hint="eastAsia"/>
      </w:rPr>
    </w:lvl>
  </w:abstractNum>
  <w:abstractNum w:abstractNumId="2">
    <w:nsid w:val="5D304E27"/>
    <w:multiLevelType w:val="singleLevel"/>
    <w:tmpl w:val="5D304E27"/>
    <w:lvl w:ilvl="0" w:tentative="0">
      <w:start w:val="1"/>
      <w:numFmt w:val="chineseCounting"/>
      <w:suff w:val="space"/>
      <w:lvlText w:val="第%1章"/>
      <w:lvlJc w:val="left"/>
      <w:rPr>
        <w:rFonts w:hint="eastAsia"/>
      </w:rPr>
    </w:lvl>
  </w:abstractNum>
  <w:abstractNum w:abstractNumId="3">
    <w:nsid w:val="669F2904"/>
    <w:multiLevelType w:val="singleLevel"/>
    <w:tmpl w:val="669F2904"/>
    <w:lvl w:ilvl="0" w:tentative="0">
      <w:start w:val="1"/>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trackRevisions w:val="1"/>
  <w:documentProtection w:edit="trackedChanges" w:enforcement="1" w:cryptProviderType="rsaFull" w:cryptAlgorithmClass="hash" w:cryptAlgorithmType="typeAny" w:cryptAlgorithmSid="4" w:cryptSpinCount="0" w:hash="DnDfHxJ7ksN38EjidXXaLOXNrvI=" w:salt="w4VZs38lJbvWnBduUYp8YA=="/>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kYmZmYjM3MDg5NmRlNTNmYzBmNGY4MDI4MzRjNWYifQ=="/>
  </w:docVars>
  <w:rsids>
    <w:rsidRoot w:val="6BE66F35"/>
    <w:rsid w:val="02F46664"/>
    <w:rsid w:val="03B56367"/>
    <w:rsid w:val="03D2609A"/>
    <w:rsid w:val="04613C59"/>
    <w:rsid w:val="04B50EB1"/>
    <w:rsid w:val="05A76A4C"/>
    <w:rsid w:val="05AC2C98"/>
    <w:rsid w:val="06B304CB"/>
    <w:rsid w:val="07144B94"/>
    <w:rsid w:val="077315DD"/>
    <w:rsid w:val="08B63B10"/>
    <w:rsid w:val="08C6368D"/>
    <w:rsid w:val="095A3DD5"/>
    <w:rsid w:val="0B225961"/>
    <w:rsid w:val="0C2572CB"/>
    <w:rsid w:val="0C2D643A"/>
    <w:rsid w:val="0C3C3C66"/>
    <w:rsid w:val="0C7D22B4"/>
    <w:rsid w:val="0C992E66"/>
    <w:rsid w:val="0DA6000F"/>
    <w:rsid w:val="0F7D4C2A"/>
    <w:rsid w:val="0F852AF2"/>
    <w:rsid w:val="0FCE59E1"/>
    <w:rsid w:val="10481576"/>
    <w:rsid w:val="10807106"/>
    <w:rsid w:val="1130052C"/>
    <w:rsid w:val="113A4C18"/>
    <w:rsid w:val="11D15E6A"/>
    <w:rsid w:val="12B47A9F"/>
    <w:rsid w:val="13461F80"/>
    <w:rsid w:val="13967451"/>
    <w:rsid w:val="139C5DAD"/>
    <w:rsid w:val="13EB21F9"/>
    <w:rsid w:val="14092680"/>
    <w:rsid w:val="149C7998"/>
    <w:rsid w:val="14AD74AF"/>
    <w:rsid w:val="15674EC2"/>
    <w:rsid w:val="166B5873"/>
    <w:rsid w:val="172E0667"/>
    <w:rsid w:val="17BE1B6A"/>
    <w:rsid w:val="18507D42"/>
    <w:rsid w:val="18BD24C2"/>
    <w:rsid w:val="198862BD"/>
    <w:rsid w:val="19E33973"/>
    <w:rsid w:val="1A3D3083"/>
    <w:rsid w:val="1A750A6F"/>
    <w:rsid w:val="1B1262BE"/>
    <w:rsid w:val="1B867438"/>
    <w:rsid w:val="1BD17F27"/>
    <w:rsid w:val="1CE774F0"/>
    <w:rsid w:val="1D13456F"/>
    <w:rsid w:val="1DD24ACF"/>
    <w:rsid w:val="1EE53CE9"/>
    <w:rsid w:val="1F3852CA"/>
    <w:rsid w:val="1F9C4CF0"/>
    <w:rsid w:val="1FC85AE5"/>
    <w:rsid w:val="217750CC"/>
    <w:rsid w:val="22145011"/>
    <w:rsid w:val="22D34D9D"/>
    <w:rsid w:val="237F1DD9"/>
    <w:rsid w:val="23897339"/>
    <w:rsid w:val="23D83E1C"/>
    <w:rsid w:val="23F64F3C"/>
    <w:rsid w:val="25B03150"/>
    <w:rsid w:val="262E183C"/>
    <w:rsid w:val="26345C82"/>
    <w:rsid w:val="266D6A9E"/>
    <w:rsid w:val="268F110A"/>
    <w:rsid w:val="26CA6B05"/>
    <w:rsid w:val="26CD6F21"/>
    <w:rsid w:val="276C4FA7"/>
    <w:rsid w:val="27723044"/>
    <w:rsid w:val="28372FFA"/>
    <w:rsid w:val="28DD318F"/>
    <w:rsid w:val="295E1EA5"/>
    <w:rsid w:val="29C63C15"/>
    <w:rsid w:val="2A351FC9"/>
    <w:rsid w:val="2A9F01E2"/>
    <w:rsid w:val="2B997B5B"/>
    <w:rsid w:val="2BFB76D0"/>
    <w:rsid w:val="2C5902D2"/>
    <w:rsid w:val="2D0A3FA6"/>
    <w:rsid w:val="2D263476"/>
    <w:rsid w:val="2D986AF6"/>
    <w:rsid w:val="2DE7532E"/>
    <w:rsid w:val="2E5F7614"/>
    <w:rsid w:val="2F1847ED"/>
    <w:rsid w:val="2F3C2725"/>
    <w:rsid w:val="2FB4573E"/>
    <w:rsid w:val="3014442E"/>
    <w:rsid w:val="3061710D"/>
    <w:rsid w:val="31EC6BC4"/>
    <w:rsid w:val="31FD353C"/>
    <w:rsid w:val="32081D71"/>
    <w:rsid w:val="32701CFF"/>
    <w:rsid w:val="32B85545"/>
    <w:rsid w:val="32E875B7"/>
    <w:rsid w:val="33166AA7"/>
    <w:rsid w:val="3368588E"/>
    <w:rsid w:val="337634BA"/>
    <w:rsid w:val="33AF4B9A"/>
    <w:rsid w:val="34CD0E7F"/>
    <w:rsid w:val="35346B5C"/>
    <w:rsid w:val="35387BED"/>
    <w:rsid w:val="364F61C0"/>
    <w:rsid w:val="3A5244D1"/>
    <w:rsid w:val="3AC90631"/>
    <w:rsid w:val="3AE84769"/>
    <w:rsid w:val="3B2D45F6"/>
    <w:rsid w:val="3B365BA1"/>
    <w:rsid w:val="3B3B4F65"/>
    <w:rsid w:val="3C4D3F8E"/>
    <w:rsid w:val="3C6D55F2"/>
    <w:rsid w:val="3C757445"/>
    <w:rsid w:val="3CC701F0"/>
    <w:rsid w:val="3CDB1958"/>
    <w:rsid w:val="3D3D6D72"/>
    <w:rsid w:val="3D416F17"/>
    <w:rsid w:val="3D521DFC"/>
    <w:rsid w:val="3D553D12"/>
    <w:rsid w:val="3D694964"/>
    <w:rsid w:val="3D747AF0"/>
    <w:rsid w:val="3E672ADA"/>
    <w:rsid w:val="3FC10A9F"/>
    <w:rsid w:val="408476E2"/>
    <w:rsid w:val="41764F49"/>
    <w:rsid w:val="435B43F6"/>
    <w:rsid w:val="450B366A"/>
    <w:rsid w:val="451A2B1D"/>
    <w:rsid w:val="45406E38"/>
    <w:rsid w:val="45782B3C"/>
    <w:rsid w:val="45833AEE"/>
    <w:rsid w:val="46275125"/>
    <w:rsid w:val="464F7B16"/>
    <w:rsid w:val="467F198E"/>
    <w:rsid w:val="471C3E9C"/>
    <w:rsid w:val="473507CA"/>
    <w:rsid w:val="47384505"/>
    <w:rsid w:val="48AF65F2"/>
    <w:rsid w:val="48BB1493"/>
    <w:rsid w:val="48D9333D"/>
    <w:rsid w:val="495C0214"/>
    <w:rsid w:val="498B5309"/>
    <w:rsid w:val="4A7162AD"/>
    <w:rsid w:val="4A9B6AF9"/>
    <w:rsid w:val="4AD565B7"/>
    <w:rsid w:val="4AE42F23"/>
    <w:rsid w:val="4D447CA9"/>
    <w:rsid w:val="4DC011FF"/>
    <w:rsid w:val="4E437F61"/>
    <w:rsid w:val="4E531500"/>
    <w:rsid w:val="4E776CF0"/>
    <w:rsid w:val="4ECC264C"/>
    <w:rsid w:val="4EDE412D"/>
    <w:rsid w:val="4F391364"/>
    <w:rsid w:val="4FFC486B"/>
    <w:rsid w:val="502720EE"/>
    <w:rsid w:val="50EE68AA"/>
    <w:rsid w:val="51343ECB"/>
    <w:rsid w:val="51450494"/>
    <w:rsid w:val="519438C7"/>
    <w:rsid w:val="529D25C1"/>
    <w:rsid w:val="53133071"/>
    <w:rsid w:val="54251C38"/>
    <w:rsid w:val="559E0A3C"/>
    <w:rsid w:val="55CE495A"/>
    <w:rsid w:val="55F3682D"/>
    <w:rsid w:val="55FD75BA"/>
    <w:rsid w:val="577949F3"/>
    <w:rsid w:val="57BA21BF"/>
    <w:rsid w:val="57DA101B"/>
    <w:rsid w:val="580544D9"/>
    <w:rsid w:val="581B7AC0"/>
    <w:rsid w:val="58525935"/>
    <w:rsid w:val="59350DEE"/>
    <w:rsid w:val="597F4113"/>
    <w:rsid w:val="59BB7545"/>
    <w:rsid w:val="59BC5A1F"/>
    <w:rsid w:val="5A47702B"/>
    <w:rsid w:val="5A667936"/>
    <w:rsid w:val="5B90055D"/>
    <w:rsid w:val="5BBB5BF7"/>
    <w:rsid w:val="5CB04800"/>
    <w:rsid w:val="5D6545CE"/>
    <w:rsid w:val="5D790B89"/>
    <w:rsid w:val="5E044899"/>
    <w:rsid w:val="5E0E0938"/>
    <w:rsid w:val="5E3F1677"/>
    <w:rsid w:val="5E78032A"/>
    <w:rsid w:val="5F0157EA"/>
    <w:rsid w:val="5FE80968"/>
    <w:rsid w:val="60F153BB"/>
    <w:rsid w:val="617C0DC9"/>
    <w:rsid w:val="618F4B0C"/>
    <w:rsid w:val="61B718A7"/>
    <w:rsid w:val="62894684"/>
    <w:rsid w:val="62B3262E"/>
    <w:rsid w:val="62D1447B"/>
    <w:rsid w:val="62FD288C"/>
    <w:rsid w:val="64312FEF"/>
    <w:rsid w:val="64334033"/>
    <w:rsid w:val="65456BD3"/>
    <w:rsid w:val="65C459D3"/>
    <w:rsid w:val="65E61B13"/>
    <w:rsid w:val="669C5E64"/>
    <w:rsid w:val="673F58BB"/>
    <w:rsid w:val="67DF6AF4"/>
    <w:rsid w:val="67F65BEC"/>
    <w:rsid w:val="68C036A8"/>
    <w:rsid w:val="69567B1D"/>
    <w:rsid w:val="6A7C2557"/>
    <w:rsid w:val="6AAF43BF"/>
    <w:rsid w:val="6B607DD6"/>
    <w:rsid w:val="6B797260"/>
    <w:rsid w:val="6BDF70C3"/>
    <w:rsid w:val="6BE66F35"/>
    <w:rsid w:val="6C297B24"/>
    <w:rsid w:val="6DB215CF"/>
    <w:rsid w:val="6DB21D5B"/>
    <w:rsid w:val="6DEB3489"/>
    <w:rsid w:val="6E876AC8"/>
    <w:rsid w:val="6F745D74"/>
    <w:rsid w:val="6FAE1EB3"/>
    <w:rsid w:val="6FC50CC6"/>
    <w:rsid w:val="708B5A6B"/>
    <w:rsid w:val="70A4744B"/>
    <w:rsid w:val="70F00039"/>
    <w:rsid w:val="70FD2C17"/>
    <w:rsid w:val="717379B2"/>
    <w:rsid w:val="71E965E3"/>
    <w:rsid w:val="722717C4"/>
    <w:rsid w:val="73320420"/>
    <w:rsid w:val="735008A6"/>
    <w:rsid w:val="7467234B"/>
    <w:rsid w:val="746E36DA"/>
    <w:rsid w:val="75377F70"/>
    <w:rsid w:val="7541467F"/>
    <w:rsid w:val="754601B3"/>
    <w:rsid w:val="755B39B7"/>
    <w:rsid w:val="756C200D"/>
    <w:rsid w:val="759E1D9D"/>
    <w:rsid w:val="75EF25F8"/>
    <w:rsid w:val="75EF3F7E"/>
    <w:rsid w:val="76A4753E"/>
    <w:rsid w:val="76D4359C"/>
    <w:rsid w:val="772D5B56"/>
    <w:rsid w:val="778D6739"/>
    <w:rsid w:val="784C3D32"/>
    <w:rsid w:val="78A7540C"/>
    <w:rsid w:val="7A0B3779"/>
    <w:rsid w:val="7A8157E9"/>
    <w:rsid w:val="7AA651BE"/>
    <w:rsid w:val="7BA50EA0"/>
    <w:rsid w:val="7C036DFE"/>
    <w:rsid w:val="7C435750"/>
    <w:rsid w:val="7C6353F0"/>
    <w:rsid w:val="7CAB2FF1"/>
    <w:rsid w:val="7CC55E61"/>
    <w:rsid w:val="7CF76237"/>
    <w:rsid w:val="7DA91662"/>
    <w:rsid w:val="7DAC0DCF"/>
    <w:rsid w:val="7DFB376C"/>
    <w:rsid w:val="7E1D37BF"/>
    <w:rsid w:val="7E2802E4"/>
    <w:rsid w:val="7E4653C6"/>
    <w:rsid w:val="7E7246BB"/>
    <w:rsid w:val="7F1D09C6"/>
    <w:rsid w:val="7F232C49"/>
    <w:rsid w:val="7F5B0048"/>
    <w:rsid w:val="7FB1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8"/>
    <w:qFormat/>
    <w:uiPriority w:val="99"/>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3">
    <w:name w:val="heading 2"/>
    <w:basedOn w:val="1"/>
    <w:next w:val="1"/>
    <w:autoRedefine/>
    <w:unhideWhenUsed/>
    <w:qFormat/>
    <w:uiPriority w:val="0"/>
    <w:pPr>
      <w:keepNext/>
      <w:keepLines/>
      <w:spacing w:before="260" w:after="260" w:line="412" w:lineRule="auto"/>
      <w:outlineLvl w:val="1"/>
    </w:pPr>
    <w:rPr>
      <w:rFonts w:ascii="Arial" w:hAnsi="Arial" w:eastAsia="黑体"/>
      <w:b/>
      <w:bCs/>
      <w:sz w:val="32"/>
      <w:szCs w:val="32"/>
      <w:lang w:val="zh-CN"/>
    </w:rPr>
  </w:style>
  <w:style w:type="paragraph" w:styleId="4">
    <w:name w:val="heading 3"/>
    <w:basedOn w:val="1"/>
    <w:next w:val="1"/>
    <w:autoRedefine/>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qFormat/>
    <w:uiPriority w:val="99"/>
    <w:pPr>
      <w:keepNext/>
      <w:keepLines/>
      <w:spacing w:line="360" w:lineRule="auto"/>
      <w:outlineLvl w:val="3"/>
    </w:pPr>
    <w:rPr>
      <w:rFonts w:ascii="Arial" w:hAnsi="Arial" w:eastAsia="楷体_GB2312"/>
      <w:b/>
      <w:bCs/>
      <w:szCs w:val="28"/>
    </w:rPr>
  </w:style>
  <w:style w:type="paragraph" w:styleId="6">
    <w:name w:val="heading 5"/>
    <w:basedOn w:val="1"/>
    <w:next w:val="1"/>
    <w:qFormat/>
    <w:uiPriority w:val="0"/>
    <w:pPr>
      <w:keepNext/>
      <w:keepLines/>
      <w:spacing w:before="280" w:beforeLines="0" w:after="290" w:afterLines="0" w:line="372" w:lineRule="auto"/>
      <w:outlineLvl w:val="4"/>
    </w:pPr>
    <w:rPr>
      <w:b/>
      <w:bCs/>
      <w:sz w:val="28"/>
      <w:szCs w:val="28"/>
    </w:rPr>
  </w:style>
  <w:style w:type="character" w:default="1" w:styleId="24">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spacing w:after="200" w:line="276" w:lineRule="auto"/>
      <w:ind w:firstLine="420" w:firstLineChars="200"/>
    </w:pPr>
    <w:rPr>
      <w:rFonts w:ascii="宋体" w:hAnsi="Calibri" w:eastAsia="仿宋"/>
      <w:sz w:val="24"/>
      <w:szCs w:val="21"/>
    </w:rPr>
  </w:style>
  <w:style w:type="paragraph" w:styleId="8">
    <w:name w:val="annotation text"/>
    <w:basedOn w:val="1"/>
    <w:autoRedefine/>
    <w:qFormat/>
    <w:uiPriority w:val="99"/>
    <w:pPr>
      <w:widowControl/>
      <w:jc w:val="left"/>
    </w:pPr>
    <w:rPr>
      <w:kern w:val="0"/>
      <w:sz w:val="20"/>
      <w:szCs w:val="20"/>
    </w:rPr>
  </w:style>
  <w:style w:type="paragraph" w:styleId="9">
    <w:name w:val="Body Text 3"/>
    <w:basedOn w:val="1"/>
    <w:autoRedefine/>
    <w:qFormat/>
    <w:uiPriority w:val="0"/>
    <w:rPr>
      <w:rFonts w:ascii="宋体"/>
      <w:sz w:val="24"/>
      <w:szCs w:val="20"/>
    </w:rPr>
  </w:style>
  <w:style w:type="paragraph" w:styleId="10">
    <w:name w:val="Body Text"/>
    <w:basedOn w:val="1"/>
    <w:next w:val="11"/>
    <w:autoRedefine/>
    <w:unhideWhenUsed/>
    <w:qFormat/>
    <w:uiPriority w:val="99"/>
    <w:pPr>
      <w:spacing w:after="120"/>
    </w:pPr>
  </w:style>
  <w:style w:type="paragraph" w:styleId="11">
    <w:name w:val="Body Text 2"/>
    <w:basedOn w:val="1"/>
    <w:next w:val="10"/>
    <w:autoRedefine/>
    <w:qFormat/>
    <w:uiPriority w:val="0"/>
    <w:pPr>
      <w:spacing w:line="360" w:lineRule="auto"/>
    </w:pPr>
    <w:rPr>
      <w:sz w:val="24"/>
      <w:szCs w:val="20"/>
    </w:rPr>
  </w:style>
  <w:style w:type="paragraph" w:styleId="12">
    <w:name w:val="Body Text Indent"/>
    <w:basedOn w:val="1"/>
    <w:next w:val="13"/>
    <w:autoRedefine/>
    <w:qFormat/>
    <w:uiPriority w:val="0"/>
    <w:pPr>
      <w:spacing w:after="120" w:line="276" w:lineRule="auto"/>
      <w:ind w:left="420" w:leftChars="200"/>
    </w:pPr>
    <w:rPr>
      <w:rFonts w:ascii="宋体" w:hAnsi="Calibri" w:eastAsia="仿宋"/>
      <w:sz w:val="24"/>
      <w:szCs w:val="21"/>
    </w:rPr>
  </w:style>
  <w:style w:type="paragraph" w:styleId="13">
    <w:name w:val="envelope return"/>
    <w:basedOn w:val="1"/>
    <w:autoRedefine/>
    <w:semiHidden/>
    <w:qFormat/>
    <w:uiPriority w:val="0"/>
    <w:pPr>
      <w:snapToGrid w:val="0"/>
      <w:spacing w:after="200" w:line="276" w:lineRule="auto"/>
    </w:pPr>
    <w:rPr>
      <w:rFonts w:ascii="Arial" w:hAnsi="Arial" w:cs="Arial"/>
      <w:sz w:val="22"/>
      <w:szCs w:val="22"/>
      <w:lang w:eastAsia="en-US" w:bidi="en-US"/>
    </w:rPr>
  </w:style>
  <w:style w:type="paragraph" w:styleId="14">
    <w:name w:val="Plain Text"/>
    <w:basedOn w:val="1"/>
    <w:autoRedefine/>
    <w:unhideWhenUsed/>
    <w:qFormat/>
    <w:uiPriority w:val="99"/>
    <w:rPr>
      <w:rFonts w:ascii="宋体" w:hAnsi="Courier New"/>
    </w:rPr>
  </w:style>
  <w:style w:type="paragraph" w:styleId="15">
    <w:name w:val="Body Text Indent 2"/>
    <w:basedOn w:val="1"/>
    <w:autoRedefine/>
    <w:qFormat/>
    <w:uiPriority w:val="0"/>
    <w:pPr>
      <w:spacing w:after="120" w:line="480" w:lineRule="auto"/>
      <w:ind w:left="420" w:leftChars="200"/>
    </w:pPr>
    <w:rPr>
      <w:rFonts w:ascii="宋体" w:hAnsi="Calibri" w:eastAsia="仿宋"/>
      <w:sz w:val="24"/>
      <w:szCs w:val="21"/>
    </w:rPr>
  </w:style>
  <w:style w:type="paragraph" w:styleId="16">
    <w:name w:val="footer"/>
    <w:basedOn w:val="1"/>
    <w:autoRedefine/>
    <w:semiHidden/>
    <w:unhideWhenUsed/>
    <w:qFormat/>
    <w:uiPriority w:val="99"/>
    <w:pPr>
      <w:tabs>
        <w:tab w:val="center" w:pos="4153"/>
        <w:tab w:val="right" w:pos="8306"/>
      </w:tabs>
      <w:snapToGrid w:val="0"/>
      <w:jc w:val="left"/>
    </w:pPr>
    <w:rPr>
      <w:sz w:val="18"/>
      <w:szCs w:val="18"/>
    </w:rPr>
  </w:style>
  <w:style w:type="paragraph" w:styleId="17">
    <w:name w:val="header"/>
    <w:basedOn w:val="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0"/>
  </w:style>
  <w:style w:type="paragraph" w:styleId="19">
    <w:name w:val="footnote text"/>
    <w:basedOn w:val="1"/>
    <w:autoRedefine/>
    <w:qFormat/>
    <w:uiPriority w:val="0"/>
    <w:rPr>
      <w:sz w:val="20"/>
      <w:szCs w:val="20"/>
    </w:rPr>
  </w:style>
  <w:style w:type="paragraph" w:styleId="20">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21">
    <w:name w:val="Body Text First Indent"/>
    <w:basedOn w:val="10"/>
    <w:next w:val="22"/>
    <w:autoRedefine/>
    <w:qFormat/>
    <w:uiPriority w:val="0"/>
    <w:pPr>
      <w:spacing w:line="360" w:lineRule="auto"/>
      <w:ind w:firstLine="420"/>
    </w:pPr>
    <w:rPr>
      <w:rFonts w:ascii="Calibri" w:hAnsi="Calibri" w:eastAsia="Arial Unicode MS"/>
      <w:color w:val="000000"/>
      <w:kern w:val="0"/>
      <w:sz w:val="28"/>
      <w:szCs w:val="28"/>
    </w:rPr>
  </w:style>
  <w:style w:type="paragraph" w:styleId="22">
    <w:name w:val="Body Text First Indent 2"/>
    <w:basedOn w:val="1"/>
    <w:next w:val="1"/>
    <w:autoRedefine/>
    <w:qFormat/>
    <w:uiPriority w:val="0"/>
    <w:pPr>
      <w:ind w:firstLine="420" w:firstLineChars="200"/>
    </w:pPr>
  </w:style>
  <w:style w:type="character" w:styleId="25">
    <w:name w:val="Strong"/>
    <w:basedOn w:val="24"/>
    <w:autoRedefine/>
    <w:qFormat/>
    <w:uiPriority w:val="0"/>
    <w:rPr>
      <w:b/>
      <w:bCs/>
    </w:rPr>
  </w:style>
  <w:style w:type="character" w:styleId="26">
    <w:name w:val="FollowedHyperlink"/>
    <w:basedOn w:val="24"/>
    <w:autoRedefine/>
    <w:qFormat/>
    <w:uiPriority w:val="0"/>
    <w:rPr>
      <w:color w:val="800080"/>
      <w:u w:val="none"/>
    </w:rPr>
  </w:style>
  <w:style w:type="character" w:styleId="27">
    <w:name w:val="Emphasis"/>
    <w:basedOn w:val="24"/>
    <w:autoRedefine/>
    <w:qFormat/>
    <w:uiPriority w:val="0"/>
    <w:rPr>
      <w:b/>
      <w:bCs/>
    </w:rPr>
  </w:style>
  <w:style w:type="character" w:styleId="28">
    <w:name w:val="HTML Definition"/>
    <w:basedOn w:val="24"/>
    <w:autoRedefine/>
    <w:qFormat/>
    <w:uiPriority w:val="0"/>
  </w:style>
  <w:style w:type="character" w:styleId="29">
    <w:name w:val="HTML Typewriter"/>
    <w:basedOn w:val="24"/>
    <w:autoRedefine/>
    <w:qFormat/>
    <w:uiPriority w:val="0"/>
    <w:rPr>
      <w:rFonts w:ascii="monospace" w:hAnsi="monospace" w:eastAsia="monospace" w:cs="monospace"/>
      <w:sz w:val="20"/>
    </w:rPr>
  </w:style>
  <w:style w:type="character" w:styleId="30">
    <w:name w:val="HTML Acronym"/>
    <w:basedOn w:val="24"/>
    <w:autoRedefine/>
    <w:qFormat/>
    <w:uiPriority w:val="0"/>
  </w:style>
  <w:style w:type="character" w:styleId="31">
    <w:name w:val="HTML Variable"/>
    <w:basedOn w:val="24"/>
    <w:autoRedefine/>
    <w:qFormat/>
    <w:uiPriority w:val="0"/>
  </w:style>
  <w:style w:type="character" w:styleId="32">
    <w:name w:val="Hyperlink"/>
    <w:basedOn w:val="24"/>
    <w:autoRedefine/>
    <w:qFormat/>
    <w:uiPriority w:val="0"/>
    <w:rPr>
      <w:color w:val="0000FF"/>
      <w:u w:val="none"/>
    </w:rPr>
  </w:style>
  <w:style w:type="character" w:styleId="33">
    <w:name w:val="HTML Code"/>
    <w:basedOn w:val="24"/>
    <w:autoRedefine/>
    <w:qFormat/>
    <w:uiPriority w:val="0"/>
    <w:rPr>
      <w:rFonts w:hint="default" w:ascii="monospace" w:hAnsi="monospace" w:eastAsia="monospace" w:cs="monospace"/>
      <w:sz w:val="20"/>
    </w:rPr>
  </w:style>
  <w:style w:type="character" w:styleId="34">
    <w:name w:val="HTML Cite"/>
    <w:basedOn w:val="24"/>
    <w:autoRedefine/>
    <w:qFormat/>
    <w:uiPriority w:val="0"/>
  </w:style>
  <w:style w:type="character" w:styleId="35">
    <w:name w:val="HTML Keyboard"/>
    <w:basedOn w:val="24"/>
    <w:autoRedefine/>
    <w:qFormat/>
    <w:uiPriority w:val="0"/>
    <w:rPr>
      <w:rFonts w:hint="default" w:ascii="monospace" w:hAnsi="monospace" w:eastAsia="monospace" w:cs="monospace"/>
      <w:sz w:val="20"/>
    </w:rPr>
  </w:style>
  <w:style w:type="character" w:styleId="36">
    <w:name w:val="HTML Sample"/>
    <w:basedOn w:val="24"/>
    <w:autoRedefine/>
    <w:qFormat/>
    <w:uiPriority w:val="0"/>
    <w:rPr>
      <w:rFonts w:hint="default" w:ascii="monospace" w:hAnsi="monospace" w:eastAsia="monospace" w:cs="monospace"/>
    </w:rPr>
  </w:style>
  <w:style w:type="paragraph" w:customStyle="1" w:styleId="37">
    <w:name w:val="无间隔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8">
    <w:name w:val="Default"/>
    <w:next w:val="19"/>
    <w:autoRedefine/>
    <w:qFormat/>
    <w:uiPriority w:val="0"/>
    <w:pPr>
      <w:widowControl w:val="0"/>
      <w:autoSpaceDE w:val="0"/>
      <w:autoSpaceDN w:val="0"/>
      <w:adjustRightInd w:val="0"/>
      <w:spacing w:after="200" w:line="276" w:lineRule="auto"/>
    </w:pPr>
    <w:rPr>
      <w:rFonts w:ascii="宋体" w:hAnsi="Calibri" w:eastAsia="宋体" w:cs="宋体"/>
      <w:color w:val="000000"/>
      <w:sz w:val="24"/>
      <w:szCs w:val="24"/>
      <w:lang w:val="en-US" w:eastAsia="zh-CN" w:bidi="ar-SA"/>
    </w:rPr>
  </w:style>
  <w:style w:type="paragraph" w:customStyle="1" w:styleId="39">
    <w:name w:val="大标题"/>
    <w:basedOn w:val="1"/>
    <w:next w:val="22"/>
    <w:autoRedefine/>
    <w:qFormat/>
    <w:uiPriority w:val="0"/>
    <w:pPr>
      <w:pageBreakBefore/>
      <w:spacing w:after="200" w:line="720" w:lineRule="auto"/>
      <w:jc w:val="center"/>
      <w:outlineLvl w:val="0"/>
    </w:pPr>
    <w:rPr>
      <w:rFonts w:ascii="黑体" w:hAnsi="Calibri" w:eastAsia="黑体"/>
      <w:sz w:val="32"/>
      <w:szCs w:val="30"/>
      <w:lang w:eastAsia="en-US" w:bidi="en-US"/>
    </w:rPr>
  </w:style>
  <w:style w:type="paragraph" w:customStyle="1" w:styleId="40">
    <w:name w:val="cjk"/>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Table Paragraph"/>
    <w:basedOn w:val="1"/>
    <w:autoRedefine/>
    <w:qFormat/>
    <w:uiPriority w:val="1"/>
  </w:style>
  <w:style w:type="paragraph" w:customStyle="1" w:styleId="42">
    <w:name w:val="p0"/>
    <w:basedOn w:val="1"/>
    <w:autoRedefine/>
    <w:qFormat/>
    <w:uiPriority w:val="0"/>
    <w:pPr>
      <w:widowControl/>
    </w:pPr>
    <w:rPr>
      <w:kern w:val="0"/>
      <w:szCs w:val="21"/>
    </w:rPr>
  </w:style>
  <w:style w:type="character" w:customStyle="1" w:styleId="43">
    <w:name w:val="标题4 Char"/>
    <w:link w:val="44"/>
    <w:autoRedefine/>
    <w:qFormat/>
    <w:uiPriority w:val="0"/>
    <w:rPr>
      <w:rFonts w:asciiTheme="minorHAnsi" w:hAnsiTheme="minorHAnsi" w:eastAsiaTheme="minorEastAsia" w:cstheme="minorBidi"/>
      <w:kern w:val="0"/>
      <w:sz w:val="28"/>
      <w:szCs w:val="20"/>
    </w:rPr>
  </w:style>
  <w:style w:type="paragraph" w:customStyle="1" w:styleId="44">
    <w:name w:val="标题4"/>
    <w:basedOn w:val="1"/>
    <w:next w:val="1"/>
    <w:link w:val="43"/>
    <w:autoRedefine/>
    <w:qFormat/>
    <w:uiPriority w:val="0"/>
    <w:pPr>
      <w:spacing w:line="360" w:lineRule="auto"/>
      <w:ind w:firstLine="105" w:firstLineChars="50"/>
      <w:jc w:val="left"/>
    </w:pPr>
    <w:rPr>
      <w:rFonts w:asciiTheme="minorHAnsi" w:hAnsiTheme="minorHAnsi" w:eastAsiaTheme="minorEastAsia" w:cstheme="minorBidi"/>
      <w:kern w:val="0"/>
      <w:sz w:val="28"/>
      <w:szCs w:val="20"/>
    </w:rPr>
  </w:style>
  <w:style w:type="character" w:customStyle="1" w:styleId="45">
    <w:name w:val="layui-layer-tabnow"/>
    <w:basedOn w:val="24"/>
    <w:autoRedefine/>
    <w:qFormat/>
    <w:uiPriority w:val="0"/>
    <w:rPr>
      <w:bdr w:val="single" w:color="CCCCCC" w:sz="6" w:space="0"/>
      <w:shd w:val="clear" w:fill="FFFFFF"/>
    </w:rPr>
  </w:style>
  <w:style w:type="character" w:customStyle="1" w:styleId="46">
    <w:name w:val="first-child"/>
    <w:basedOn w:val="24"/>
    <w:autoRedefine/>
    <w:qFormat/>
    <w:uiPriority w:val="0"/>
  </w:style>
  <w:style w:type="paragraph" w:customStyle="1" w:styleId="47">
    <w:name w:val="报告正文"/>
    <w:basedOn w:val="1"/>
    <w:autoRedefine/>
    <w:qFormat/>
    <w:uiPriority w:val="0"/>
    <w:pPr>
      <w:adjustRightInd w:val="0"/>
      <w:ind w:firstLine="560" w:firstLineChars="200"/>
    </w:pPr>
    <w:rPr>
      <w:rFonts w:ascii="宋体" w:hAnsi="宋体"/>
      <w:kern w:val="0"/>
      <w:sz w:val="28"/>
      <w:szCs w:val="20"/>
    </w:rPr>
  </w:style>
  <w:style w:type="character" w:customStyle="1" w:styleId="48">
    <w:name w:val="hover1"/>
    <w:basedOn w:val="24"/>
    <w:autoRedefine/>
    <w:qFormat/>
    <w:uiPriority w:val="0"/>
  </w:style>
  <w:style w:type="character" w:customStyle="1" w:styleId="49">
    <w:name w:val="hover2"/>
    <w:basedOn w:val="24"/>
    <w:autoRedefine/>
    <w:qFormat/>
    <w:uiPriority w:val="0"/>
    <w:rPr>
      <w:color w:val="2590EB"/>
    </w:rPr>
  </w:style>
  <w:style w:type="character" w:customStyle="1" w:styleId="50">
    <w:name w:val="hover3"/>
    <w:basedOn w:val="24"/>
    <w:autoRedefine/>
    <w:qFormat/>
    <w:uiPriority w:val="0"/>
    <w:rPr>
      <w:color w:val="2590EB"/>
    </w:rPr>
  </w:style>
  <w:style w:type="character" w:customStyle="1" w:styleId="51">
    <w:name w:val="mini-outputtext1"/>
    <w:basedOn w:val="24"/>
    <w:autoRedefine/>
    <w:qFormat/>
    <w:uiPriority w:val="0"/>
  </w:style>
  <w:style w:type="character" w:customStyle="1" w:styleId="52">
    <w:name w:val="hover"/>
    <w:basedOn w:val="24"/>
    <w:autoRedefine/>
    <w:qFormat/>
    <w:uiPriority w:val="0"/>
    <w:rPr>
      <w:color w:val="2590EB"/>
    </w:rPr>
  </w:style>
  <w:style w:type="paragraph" w:customStyle="1" w:styleId="53">
    <w:name w:val="正文 1.1"/>
    <w:basedOn w:val="1"/>
    <w:next w:val="54"/>
    <w:autoRedefine/>
    <w:qFormat/>
    <w:uiPriority w:val="0"/>
    <w:pPr>
      <w:adjustRightInd/>
      <w:snapToGrid/>
      <w:spacing w:before="100" w:beforeAutospacing="1" w:line="268" w:lineRule="auto"/>
      <w:ind w:left="980" w:hanging="980"/>
      <w:outlineLvl w:val="1"/>
    </w:pPr>
    <w:rPr>
      <w:rFonts w:hint="eastAsia" w:ascii="仿宋" w:hAnsi="仿宋" w:eastAsia="仿宋" w:cs="Times New Roman"/>
      <w:b/>
      <w:sz w:val="24"/>
      <w:szCs w:val="24"/>
    </w:rPr>
  </w:style>
  <w:style w:type="paragraph" w:customStyle="1" w:styleId="54">
    <w:name w:val="正文 1.1.1"/>
    <w:basedOn w:val="1"/>
    <w:next w:val="1"/>
    <w:autoRedefine/>
    <w:qFormat/>
    <w:uiPriority w:val="0"/>
    <w:pPr>
      <w:adjustRightInd/>
      <w:snapToGrid/>
      <w:spacing w:before="100" w:beforeAutospacing="1" w:line="268" w:lineRule="auto"/>
      <w:ind w:left="710"/>
      <w:outlineLvl w:val="2"/>
    </w:pPr>
    <w:rPr>
      <w:rFonts w:ascii="Calibri" w:hAnsi="宋体" w:eastAsia="宋体" w:cs="Times New Roman"/>
      <w:color w:val="FF0000"/>
    </w:rPr>
  </w:style>
  <w:style w:type="paragraph" w:customStyle="1" w:styleId="55">
    <w:name w:val="正文_5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TOC 标题1"/>
    <w:basedOn w:val="2"/>
    <w:next w:val="1"/>
    <w:qFormat/>
    <w:uiPriority w:val="0"/>
    <w:pPr>
      <w:keepNext/>
      <w:keepLines/>
      <w:widowControl w:val="0"/>
      <w:spacing w:before="340" w:after="330" w:line="578" w:lineRule="auto"/>
      <w:jc w:val="both"/>
      <w:outlineLvl w:val="9"/>
    </w:pPr>
    <w:rPr>
      <w:rFonts w:ascii="Calibri" w:hAnsi="Calibri"/>
      <w:color w:val="auto"/>
      <w:kern w:val="44"/>
      <w:sz w:val="44"/>
      <w:szCs w:val="44"/>
    </w:rPr>
  </w:style>
  <w:style w:type="paragraph" w:customStyle="1" w:styleId="57">
    <w:name w:val="*正文"/>
    <w:basedOn w:val="1"/>
    <w:qFormat/>
    <w:uiPriority w:val="0"/>
    <w:pPr>
      <w:keepNext/>
      <w:keepLines/>
      <w:spacing w:line="360" w:lineRule="auto"/>
      <w:ind w:firstLine="200" w:firstLineChars="200"/>
    </w:pPr>
    <w:rPr>
      <w:rFonts w:ascii="宋体" w:hAnsi="宋体"/>
    </w:rPr>
  </w:style>
  <w:style w:type="character" w:customStyle="1" w:styleId="58">
    <w:name w:val="标题 1 字符"/>
    <w:link w:val="2"/>
    <w:qFormat/>
    <w:uiPriority w:val="0"/>
    <w:rPr>
      <w:rFonts w:ascii="Times New Roman" w:hAnsi="Times New Roman" w:eastAsia="宋体" w:cs="Times New Roman"/>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microsoft.com/office/2007/relationships/hdphoto" Target="media/image7.wdp"/><Relationship Id="rId14" Type="http://schemas.openxmlformats.org/officeDocument/2006/relationships/image" Target="media/image6.jpeg"/><Relationship Id="rId13" Type="http://schemas.microsoft.com/office/2007/relationships/hdphoto" Target="media/image5.wdp"/><Relationship Id="rId12" Type="http://schemas.openxmlformats.org/officeDocument/2006/relationships/image" Target="media/image4.jpeg"/><Relationship Id="rId11" Type="http://schemas.microsoft.com/office/2007/relationships/hdphoto" Target="media/image3.wdp"/><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3832</Words>
  <Characters>4431</Characters>
  <Lines>0</Lines>
  <Paragraphs>0</Paragraphs>
  <TotalTime>89</TotalTime>
  <ScaleCrop>false</ScaleCrop>
  <LinksUpToDate>false</LinksUpToDate>
  <CharactersWithSpaces>4471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2023-03-10T04:00:00Z</dcterms:created>
  <dc:creator>mary</dc:creator>
  <cp:lastModifiedBy>Administrator</cp:lastModifiedBy>
  <cp:lastPrinted>2024-04-22T00:24:00Z</cp:lastPrinted>
  <dcterms:modified xsi:type="dcterms:W3CDTF">2025-01-03T06:44:53Z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DDF76A85A2084BC0A6390C88122B8950_13</vt:lpwstr>
  </property>
  <property fmtid="{D5CDD505-2E9C-101B-9397-08002B2CF9AE}" pid="4" name="KSOTemplateDocerSaveRecord">
    <vt:lpwstr>eyJoZGlkIjoiMGVkYmZmYjM3MDg5NmRlNTNmYzBmNGY4MDI4MzRjNWYiLCJ1c2VySWQiOiIzODU3OTk2NjgifQ==</vt:lpwstr>
  </property>
</Properties>
</file>