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bidi="ar-SA"/>
        </w:rPr>
        <w:t>采购内容</w:t>
      </w:r>
      <w:bookmarkStart w:id="0" w:name="_GoBack"/>
      <w:bookmarkEnd w:id="0"/>
    </w:p>
    <w:p>
      <w:pPr>
        <w:pStyle w:val="2"/>
        <w:rPr>
          <w:rFonts w:hint="eastAsia"/>
          <w:lang w:val="en-US" w:eastAsia="zh-CN"/>
        </w:rPr>
      </w:pPr>
    </w:p>
    <w:p>
      <w:pPr>
        <w:rPr>
          <w:rFonts w:hint="eastAsia"/>
          <w:lang w:val="en-US" w:eastAsia="zh-CN"/>
        </w:rPr>
      </w:pPr>
      <w:r>
        <w:rPr>
          <w:rFonts w:hint="eastAsia" w:ascii="宋体" w:hAnsi="宋体" w:eastAsia="宋体" w:cs="宋体"/>
          <w:b w:val="0"/>
          <w:bCs w:val="0"/>
          <w:color w:val="000000"/>
          <w:kern w:val="0"/>
          <w:sz w:val="21"/>
          <w:szCs w:val="21"/>
          <w:lang w:val="en-US" w:eastAsia="zh-CN" w:bidi="ar-SA"/>
        </w:rPr>
        <w:t>本项目核心产品为三维GIS引擎、一标三实、视频接入、警用移动设备联动、派出所基础工作、警情案件类工作、派出所指挥调度、派出所考评、警务APP、卡口联动、人员管控、预案管理与制作、预案应急启用、专题应用、后台配置支撑、人证核验，其他为非核心产品</w:t>
      </w:r>
    </w:p>
    <w:tbl>
      <w:tblPr>
        <w:tblStyle w:val="5"/>
        <w:tblW w:w="14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58"/>
        <w:gridCol w:w="1087"/>
        <w:gridCol w:w="10637"/>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top"/>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序号</w:t>
            </w:r>
          </w:p>
        </w:tc>
        <w:tc>
          <w:tcPr>
            <w:tcW w:w="2045" w:type="dxa"/>
            <w:gridSpan w:val="2"/>
            <w:noWrap w:val="0"/>
            <w:vAlign w:val="top"/>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lang w:val="en-US" w:eastAsia="zh-CN"/>
              </w:rPr>
              <w:t>名称</w:t>
            </w:r>
          </w:p>
        </w:tc>
        <w:tc>
          <w:tcPr>
            <w:tcW w:w="10637" w:type="dxa"/>
            <w:noWrap w:val="0"/>
            <w:vAlign w:val="top"/>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功能参数</w:t>
            </w:r>
          </w:p>
        </w:tc>
        <w:tc>
          <w:tcPr>
            <w:tcW w:w="639" w:type="dxa"/>
            <w:noWrap w:val="0"/>
            <w:vAlign w:val="top"/>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p>
        </w:tc>
        <w:tc>
          <w:tcPr>
            <w:tcW w:w="958" w:type="dxa"/>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三维GIS引擎</w:t>
            </w:r>
          </w:p>
        </w:tc>
        <w:tc>
          <w:tcPr>
            <w:tcW w:w="1087" w:type="dxa"/>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基础功能</w:t>
            </w:r>
          </w:p>
        </w:tc>
        <w:tc>
          <w:tcPr>
            <w:tcW w:w="10637" w:type="dxa"/>
            <w:noWrap w:val="0"/>
            <w:vAlign w:val="top"/>
          </w:tcPr>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1.3D引擎</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支持地图加载三维模型（如OSGB,3DTILES,GLTF,GLB等）</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2.测量功能</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支持距离、面积、高度、角度</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3.地图漫游</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以无人机视角对兴趣点及常用位置进行连续性浏览</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4.信息标注</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对地理位置信息进行自定义描述并保存</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5.位置查询</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常用POI查询</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6.管辖区域</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支持KML、SHP数据导入及手工绘制</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7.地图标绘</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根据个人要求，保存及调阅标绘内容（线路，文字，区域等）</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8.地图资源</w:t>
            </w:r>
            <w:r>
              <w:rPr>
                <w:rFonts w:hint="eastAsia" w:ascii="宋体" w:hAnsi="宋体" w:cs="宋体"/>
                <w:b w:val="0"/>
                <w:bCs/>
                <w:color w:val="000000"/>
                <w:sz w:val="21"/>
                <w:szCs w:val="21"/>
                <w:vertAlign w:val="baseline"/>
                <w:lang w:eastAsia="zh-CN"/>
              </w:rPr>
              <w:t>：</w:t>
            </w:r>
            <w:r>
              <w:rPr>
                <w:rFonts w:hint="eastAsia" w:ascii="宋体" w:hAnsi="宋体" w:cs="宋体"/>
                <w:b w:val="0"/>
                <w:bCs/>
                <w:color w:val="000000"/>
                <w:sz w:val="21"/>
                <w:szCs w:val="21"/>
                <w:vertAlign w:val="baseline"/>
                <w:lang w:val="en-US" w:eastAsia="zh-CN"/>
              </w:rPr>
              <w:t>对各类图层的显示控制（如摄像头、三维地图、DEM等）</w:t>
            </w:r>
          </w:p>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color w:val="000000"/>
                <w:sz w:val="21"/>
                <w:szCs w:val="21"/>
              </w:rPr>
              <w:sym w:font="Wingdings" w:char="F0AB"/>
            </w:r>
            <w:r>
              <w:rPr>
                <w:rFonts w:hint="eastAsia" w:ascii="宋体" w:hAnsi="宋体" w:cs="宋体"/>
                <w:b w:val="0"/>
                <w:bCs/>
                <w:color w:val="000000"/>
                <w:sz w:val="21"/>
                <w:szCs w:val="21"/>
                <w:vertAlign w:val="baseline"/>
                <w:lang w:val="en-US" w:eastAsia="zh-CN"/>
              </w:rPr>
              <w:t>9.提供SDK/API等多种被集成能力，支持二次开发，提供二次开发文档（含基础实例代码）</w:t>
            </w:r>
          </w:p>
        </w:tc>
        <w:tc>
          <w:tcPr>
            <w:tcW w:w="639" w:type="dxa"/>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一标三实</w:t>
            </w:r>
          </w:p>
        </w:tc>
        <w:tc>
          <w:tcPr>
            <w:tcW w:w="1087" w:type="dxa"/>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数据整理</w:t>
            </w:r>
          </w:p>
        </w:tc>
        <w:tc>
          <w:tcPr>
            <w:tcW w:w="10637" w:type="dxa"/>
            <w:noWrap w:val="0"/>
            <w:vAlign w:val="top"/>
          </w:tcPr>
          <w:p>
            <w:pPr>
              <w:spacing w:line="360" w:lineRule="auto"/>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对接警综一标三实数据、不动产权数据等。</w:t>
            </w:r>
          </w:p>
        </w:tc>
        <w:tc>
          <w:tcPr>
            <w:tcW w:w="639" w:type="dxa"/>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lang w:val="en-US" w:eastAsia="zh-CN"/>
              </w:rPr>
              <w:t>分层分户单体化</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片区民警通过后台软件，对楼</w:t>
            </w:r>
            <w:r>
              <w:rPr>
                <w:rFonts w:hint="eastAsia" w:ascii="宋体" w:hAnsi="宋体" w:cs="宋体"/>
                <w:i w:val="0"/>
                <w:iCs w:val="0"/>
                <w:color w:val="000000"/>
                <w:kern w:val="0"/>
                <w:sz w:val="21"/>
                <w:szCs w:val="21"/>
                <w:u w:val="none"/>
                <w:lang w:val="en-US" w:eastAsia="zh-CN" w:bidi="ar"/>
              </w:rPr>
              <w:t>体模型进行单体化绘制</w:t>
            </w:r>
            <w:r>
              <w:rPr>
                <w:rFonts w:hint="eastAsia" w:ascii="宋体" w:hAnsi="宋体" w:eastAsia="宋体" w:cs="宋体"/>
                <w:i w:val="0"/>
                <w:iCs w:val="0"/>
                <w:color w:val="000000"/>
                <w:kern w:val="0"/>
                <w:sz w:val="21"/>
                <w:szCs w:val="21"/>
                <w:u w:val="none"/>
                <w:lang w:val="en-US" w:eastAsia="zh-CN" w:bidi="ar"/>
              </w:rPr>
              <w:t>层操作。</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“三实”数据挂接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在标准地址与房屋单体化的数据图层基础上，对接常住人口、流动人口、</w:t>
            </w:r>
            <w:r>
              <w:rPr>
                <w:rFonts w:hint="eastAsia" w:ascii="宋体" w:hAnsi="宋体" w:cs="宋体"/>
                <w:i w:val="0"/>
                <w:iCs w:val="0"/>
                <w:color w:val="000000"/>
                <w:kern w:val="0"/>
                <w:sz w:val="21"/>
                <w:szCs w:val="21"/>
                <w:u w:val="none"/>
                <w:lang w:val="en-US" w:eastAsia="zh-CN" w:bidi="ar"/>
              </w:rPr>
              <w:t>警</w:t>
            </w:r>
            <w:r>
              <w:rPr>
                <w:rFonts w:hint="eastAsia" w:ascii="宋体" w:hAnsi="宋体" w:eastAsia="宋体" w:cs="宋体"/>
                <w:i w:val="0"/>
                <w:iCs w:val="0"/>
                <w:color w:val="000000"/>
                <w:kern w:val="0"/>
                <w:sz w:val="21"/>
                <w:szCs w:val="21"/>
                <w:u w:val="none"/>
                <w:lang w:val="en-US" w:eastAsia="zh-CN" w:bidi="ar"/>
              </w:rPr>
              <w:t>综合平台等数据库，将人员信息和小区楼层进行关联融合，实现人员信息精准定位到每层每户。将“三实”数据与空间位置之间的对应关系建立，为“三实”数据后续的使用奠定基础，提高社区居民安全指数。</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辖区管理</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设定派出所管辖范围</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网格管理</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设定网格管辖范围及责任人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3</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视频接入</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视频接入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以治安监控、学校、医院等资源树分类形式接入不多于15000路摄像头，可以在三维场景中点击对应视频标签，弹出对应视频弹窗，实现视频监控画面实时查看调取，支持视频轮播巡检，实现可面向实战的实时视频监控系统。</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视频管理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对区域内安装的监控摄像机，使管理者能够及时快速的掌握情况，找到突发状况地点所对应的监控摄像机。其命名规范与视频平台一致。</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摄像机空间管理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在三维场景中，在各类摄像机（包括治安摄像机、高点相机）实际安装位置上，同样放置摄像机</w:t>
            </w:r>
            <w:r>
              <w:rPr>
                <w:rFonts w:hint="eastAsia" w:ascii="宋体" w:hAnsi="宋体" w:cs="宋体"/>
                <w:i w:val="0"/>
                <w:iCs w:val="0"/>
                <w:color w:val="000000"/>
                <w:kern w:val="0"/>
                <w:sz w:val="21"/>
                <w:szCs w:val="21"/>
                <w:u w:val="none"/>
                <w:lang w:val="en-US" w:eastAsia="zh-CN" w:bidi="ar"/>
              </w:rPr>
              <w:t>图标</w:t>
            </w:r>
            <w:r>
              <w:rPr>
                <w:rFonts w:hint="eastAsia" w:ascii="宋体" w:hAnsi="宋体" w:eastAsia="宋体" w:cs="宋体"/>
                <w:i w:val="0"/>
                <w:iCs w:val="0"/>
                <w:color w:val="000000"/>
                <w:kern w:val="0"/>
                <w:sz w:val="21"/>
                <w:szCs w:val="21"/>
                <w:u w:val="none"/>
                <w:lang w:val="en-US" w:eastAsia="zh-CN" w:bidi="ar"/>
              </w:rPr>
              <w:t>，按类型放置枪机、球机、半球机等设备，设置模型的名称、编码、高度、方向、预置位等位置属性，并根据方向角度自动生成摄像机视野方向</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视野同步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通过视野同步，把相机实时预览画面与3D地图中相机朝向、角度完全一致，使视频画面内容和3D地图视野保持一致；这样通过预览画面能够判断出画面中的人、车的行为特性，增强在实际位置中的判断，增进工作效率。</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视频追查</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通过鼠标在地图上点击某个位置点，准确查询并调阅能看到该位置的视频的监控画面</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通过地图上勾画线路，准确查询沿线上能被监控画面覆盖的摄像机，并调阅所有相机的监控画面 </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视频投地</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cs="宋体"/>
                <w:i w:val="0"/>
                <w:iCs w:val="0"/>
                <w:color w:val="000000"/>
                <w:kern w:val="0"/>
                <w:sz w:val="21"/>
                <w:szCs w:val="21"/>
                <w:u w:val="none"/>
                <w:lang w:val="en-US" w:eastAsia="zh-CN" w:bidi="ar"/>
              </w:rPr>
              <w:t>在重点区域将符合条件的监控摄像头</w:t>
            </w:r>
            <w:r>
              <w:rPr>
                <w:rFonts w:hint="eastAsia" w:ascii="宋体" w:hAnsi="宋体" w:eastAsia="宋体" w:cs="宋体"/>
                <w:i w:val="0"/>
                <w:iCs w:val="0"/>
                <w:color w:val="000000"/>
                <w:kern w:val="0"/>
                <w:sz w:val="21"/>
                <w:szCs w:val="21"/>
                <w:u w:val="none"/>
                <w:lang w:val="en-US" w:eastAsia="zh-CN" w:bidi="ar"/>
              </w:rPr>
              <w:t xml:space="preserve">与地图场景进行空间融合，使得视频监控画面与地图场景的空间表达保持一致，更直观的让监控人员对监控画面中的发现的行为与真实空间位置产生结合，同步支持8路视频投地应用（根据客户端电脑配置情况） </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视频叠加</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大视频场景中，叠加该视频场景中包含的其他视频探头资源，并支持画中画显示。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国标平台软件</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支持设备或平台通过GB28181协议接入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提供用户管理及Web可视化页面管理，开源的前端页面源码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提供设备状态管理，可实时查看设备是否掉线等信息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提供实时流媒体处理，PS（TS）转ES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 WebRTC、RTSP、RTMP、HTTP-FLV、Websocket-FLV、HLS 等多种协议流输出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提供对外服务器获取状态、信息，控制等 HTTP API 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 HTTPS 加密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4</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警用移动设备联动</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4G执法仪接入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GPS定位显示。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4G对讲机接入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实现GPS定位显示。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警用车辆接入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GPS定位显示。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历史轨迹查询</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cs="宋体"/>
                <w:i w:val="0"/>
                <w:iCs w:val="0"/>
                <w:color w:val="000000"/>
                <w:kern w:val="0"/>
                <w:sz w:val="21"/>
                <w:szCs w:val="21"/>
                <w:u w:val="none"/>
                <w:lang w:val="en-US" w:eastAsia="zh-CN" w:bidi="ar"/>
              </w:rPr>
              <w:t>历史轨迹回放功能</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5</w:t>
            </w:r>
          </w:p>
        </w:tc>
        <w:tc>
          <w:tcPr>
            <w:tcW w:w="958"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派出所</w:t>
            </w:r>
            <w:r>
              <w:rPr>
                <w:rFonts w:hint="eastAsia" w:ascii="宋体" w:hAnsi="宋体" w:cs="宋体"/>
                <w:i w:val="0"/>
                <w:iCs w:val="0"/>
                <w:color w:val="000000"/>
                <w:kern w:val="0"/>
                <w:sz w:val="21"/>
                <w:szCs w:val="21"/>
                <w:u w:val="none"/>
                <w:lang w:val="en-US" w:eastAsia="zh-CN" w:bidi="ar"/>
              </w:rPr>
              <w:t>基础工作</w:t>
            </w: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一标三实</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支持以房管人、以人查房、人房互查等功能，可实现人口与实际住址的精确关联，支持重点人口、流动人口等的精细化管理；支持社区特殊人群管理，例如通过留守人员和孤老人群的信息获取，网格员可定期对其走访及时发现关怀人员的困难并对困难人群进行及时帮扶；</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重点场所</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场所特业、重点单位等专题图；实现各专题内容快速调取、切换，用于治安网格化管理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工作对象</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支持重点人口、流动人口等的精细化管理；</w:t>
            </w:r>
            <w:r>
              <w:rPr>
                <w:rFonts w:hint="eastAsia" w:ascii="宋体" w:hAnsi="宋体" w:cs="宋体"/>
                <w:b w:val="0"/>
                <w:bCs/>
                <w:color w:val="000000"/>
                <w:sz w:val="21"/>
                <w:szCs w:val="21"/>
                <w:lang w:val="en-US" w:eastAsia="zh-CN"/>
              </w:rPr>
              <w:t>定期</w:t>
            </w:r>
            <w:r>
              <w:rPr>
                <w:rFonts w:hint="eastAsia" w:ascii="宋体" w:hAnsi="宋体" w:eastAsia="宋体" w:cs="宋体"/>
                <w:b w:val="0"/>
                <w:bCs/>
                <w:color w:val="000000"/>
                <w:sz w:val="21"/>
                <w:szCs w:val="21"/>
              </w:rPr>
              <w:t>摸排、管控重点人管理、走访</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巡逻工作</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 w:val="0"/>
                <w:bCs/>
                <w:color w:val="000000"/>
                <w:sz w:val="21"/>
                <w:szCs w:val="21"/>
                <w:lang w:val="en-US" w:eastAsia="zh-CN"/>
              </w:rPr>
            </w:pPr>
            <w:r>
              <w:rPr>
                <w:rFonts w:hint="eastAsia" w:ascii="宋体" w:hAnsi="宋体" w:cs="宋体"/>
                <w:b w:val="0"/>
                <w:bCs/>
                <w:color w:val="000000"/>
                <w:sz w:val="21"/>
                <w:szCs w:val="21"/>
                <w:lang w:val="en-US" w:eastAsia="zh-CN"/>
              </w:rPr>
              <w:t>对巡逻人员的巡逻轨迹管理、查看、巡情上报、巡情处理等工作。</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矛盾纠纷</w:t>
            </w:r>
            <w:r>
              <w:rPr>
                <w:rFonts w:hint="eastAsia" w:ascii="宋体" w:hAnsi="宋体" w:cs="宋体"/>
                <w:i w:val="0"/>
                <w:iCs w:val="0"/>
                <w:color w:val="000000"/>
                <w:kern w:val="0"/>
                <w:sz w:val="21"/>
                <w:szCs w:val="21"/>
                <w:u w:val="none"/>
                <w:lang w:val="en-US" w:eastAsia="zh-CN" w:bidi="ar"/>
              </w:rPr>
              <w:t>处理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color w:val="000000"/>
                <w:sz w:val="21"/>
                <w:szCs w:val="21"/>
              </w:rPr>
            </w:pPr>
            <w:r>
              <w:rPr>
                <w:rFonts w:hint="eastAsia" w:ascii="宋体" w:hAnsi="宋体" w:cs="宋体"/>
                <w:i w:val="0"/>
                <w:iCs w:val="0"/>
                <w:color w:val="000000"/>
                <w:kern w:val="0"/>
                <w:sz w:val="21"/>
                <w:szCs w:val="21"/>
                <w:u w:val="none"/>
                <w:lang w:val="en-US" w:eastAsia="zh-CN" w:bidi="ar"/>
              </w:rPr>
              <w:t>对矛盾纠纷进行处理，并</w:t>
            </w:r>
            <w:r>
              <w:rPr>
                <w:rFonts w:hint="eastAsia" w:ascii="宋体" w:hAnsi="宋体" w:eastAsia="宋体" w:cs="宋体"/>
                <w:i w:val="0"/>
                <w:iCs w:val="0"/>
                <w:color w:val="000000"/>
                <w:kern w:val="0"/>
                <w:sz w:val="21"/>
                <w:szCs w:val="21"/>
                <w:u w:val="none"/>
                <w:lang w:val="en-US" w:eastAsia="zh-CN" w:bidi="ar"/>
              </w:rPr>
              <w:t>留下相关记录</w:t>
            </w:r>
            <w:r>
              <w:rPr>
                <w:rFonts w:hint="eastAsia" w:ascii="宋体" w:hAnsi="宋体" w:cs="宋体"/>
                <w:i w:val="0"/>
                <w:iCs w:val="0"/>
                <w:color w:val="000000"/>
                <w:kern w:val="0"/>
                <w:sz w:val="21"/>
                <w:szCs w:val="21"/>
                <w:u w:val="none"/>
                <w:lang w:val="en-US" w:eastAsia="zh-CN" w:bidi="ar"/>
              </w:rPr>
              <w:t>。</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6</w:t>
            </w:r>
          </w:p>
        </w:tc>
        <w:tc>
          <w:tcPr>
            <w:tcW w:w="958" w:type="dxa"/>
            <w:vMerge w:val="restart"/>
            <w:noWrap w:val="0"/>
            <w:vAlign w:val="center"/>
          </w:tcPr>
          <w:p>
            <w:pPr>
              <w:spacing w:line="360" w:lineRule="auto"/>
              <w:jc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警情案件类工作</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警情统计分类展示</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color w:val="000000"/>
                <w:sz w:val="21"/>
                <w:szCs w:val="21"/>
              </w:rPr>
            </w:pPr>
            <w:r>
              <w:rPr>
                <w:rFonts w:hint="eastAsia" w:ascii="宋体" w:hAnsi="宋体" w:eastAsia="宋体" w:cs="宋体"/>
                <w:i w:val="0"/>
                <w:iCs w:val="0"/>
                <w:color w:val="000000"/>
                <w:kern w:val="0"/>
                <w:sz w:val="21"/>
                <w:szCs w:val="21"/>
                <w:u w:val="none"/>
                <w:lang w:val="en-US" w:eastAsia="zh-CN" w:bidi="ar"/>
              </w:rPr>
              <w:t>对接警情数据库（</w:t>
            </w:r>
            <w:r>
              <w:rPr>
                <w:rFonts w:hint="eastAsia" w:ascii="宋体"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合一平台），将警情进行可视化分类分析、查询。如警情高发分析等。可视化展示美观、大方，支持多种类型统计图表。</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预警</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sym w:font="Wingdings" w:char="F0AB"/>
            </w:r>
            <w:r>
              <w:rPr>
                <w:rFonts w:hint="eastAsia" w:ascii="宋体" w:hAnsi="宋体" w:cs="宋体"/>
                <w:i w:val="0"/>
                <w:iCs w:val="0"/>
                <w:color w:val="000000"/>
                <w:kern w:val="0"/>
                <w:sz w:val="21"/>
                <w:szCs w:val="21"/>
                <w:u w:val="none"/>
                <w:lang w:val="en-US" w:eastAsia="zh-CN" w:bidi="ar"/>
              </w:rPr>
              <w:t>对管辖区域警情进行趋势分析，往期对比，若警情明显增多应及时预警，加强警力巡逻。</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案件类</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sym w:font="Wingdings" w:char="F0AB"/>
            </w:r>
            <w:r>
              <w:rPr>
                <w:rFonts w:hint="eastAsia" w:ascii="宋体" w:hAnsi="宋体" w:cs="宋体"/>
                <w:b/>
                <w:color w:val="000000"/>
                <w:sz w:val="21"/>
                <w:szCs w:val="21"/>
                <w:lang w:val="en-US" w:eastAsia="zh-CN"/>
              </w:rPr>
              <w:t>对接警综平台，</w:t>
            </w:r>
            <w:r>
              <w:rPr>
                <w:rFonts w:hint="eastAsia" w:ascii="宋体" w:hAnsi="宋体" w:cs="宋体"/>
                <w:i w:val="0"/>
                <w:iCs w:val="0"/>
                <w:color w:val="000000"/>
                <w:kern w:val="0"/>
                <w:sz w:val="21"/>
                <w:szCs w:val="21"/>
                <w:u w:val="none"/>
                <w:lang w:val="en-US" w:eastAsia="zh-CN" w:bidi="ar"/>
              </w:rPr>
              <w:t>查询、统计受案数量、立案数量、撤案数量、拘捕违法嫌疑人数量，并进行统计图形展示。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110接处警</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微信小程序实现获得报警人精准位置信息，发送至平台，指挥中心并将位置发送出警民警</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案件研判</w:t>
            </w:r>
          </w:p>
        </w:tc>
        <w:tc>
          <w:tcPr>
            <w:tcW w:w="10637" w:type="dxa"/>
            <w:noWrap w:val="0"/>
            <w:vAlign w:val="center"/>
          </w:tcPr>
          <w:p>
            <w:pPr>
              <w:keepNext w:val="0"/>
              <w:keepLines w:val="0"/>
              <w:widowControl/>
              <w:suppressLineNumbers w:val="0"/>
              <w:spacing w:line="360" w:lineRule="auto"/>
              <w:jc w:val="left"/>
              <w:textAlignment w:val="center"/>
              <w:rPr>
                <w:rFonts w:hint="default"/>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对接公安提供的各类资源（人口、车辆、人像图片）方便民警进行案件研判，提升效率。例如</w:t>
            </w:r>
            <w:r>
              <w:rPr>
                <w:rFonts w:hint="eastAsia" w:ascii="宋体" w:hAnsi="宋体" w:cs="宋体"/>
                <w:i w:val="0"/>
                <w:iCs w:val="0"/>
                <w:color w:val="000000"/>
                <w:kern w:val="0"/>
                <w:sz w:val="21"/>
                <w:szCs w:val="21"/>
                <w:u w:val="none"/>
                <w:lang w:val="en-US" w:eastAsia="zh-CN" w:bidi="ar"/>
              </w:rPr>
              <w:t>功能10，功能11</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b w:val="0"/>
                <w:bCs/>
                <w:color w:val="000000"/>
                <w:sz w:val="21"/>
                <w:szCs w:val="21"/>
                <w:vertAlign w:val="baseline"/>
                <w:lang w:val="en-US" w:eastAsia="zh-CN"/>
              </w:rPr>
              <w:t>全国人口视图库查询</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b/>
                <w:color w:val="000000"/>
                <w:sz w:val="21"/>
                <w:szCs w:val="21"/>
              </w:rPr>
              <w:sym w:font="Wingdings" w:char="F0AB"/>
            </w:r>
            <w:r>
              <w:rPr>
                <w:rFonts w:hint="eastAsia" w:ascii="宋体" w:hAnsi="宋体" w:cs="宋体"/>
                <w:b/>
                <w:color w:val="000000"/>
                <w:sz w:val="21"/>
                <w:szCs w:val="21"/>
                <w:lang w:val="en-US" w:eastAsia="zh-CN"/>
              </w:rPr>
              <w:t>供应商提供或</w:t>
            </w:r>
            <w:r>
              <w:rPr>
                <w:rFonts w:hint="eastAsia" w:ascii="宋体" w:hAnsi="宋体" w:cs="宋体"/>
                <w:b w:val="0"/>
                <w:bCs/>
                <w:color w:val="000000"/>
                <w:sz w:val="21"/>
                <w:szCs w:val="21"/>
                <w:vertAlign w:val="baseline"/>
                <w:lang w:val="en-US" w:eastAsia="zh-CN"/>
              </w:rPr>
              <w:t>协调人像照片的全国库照片比对。</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7</w:t>
            </w:r>
          </w:p>
        </w:tc>
        <w:tc>
          <w:tcPr>
            <w:tcW w:w="958" w:type="dxa"/>
            <w:vMerge w:val="restart"/>
            <w:noWrap w:val="0"/>
            <w:vAlign w:val="center"/>
          </w:tcPr>
          <w:p>
            <w:pPr>
              <w:spacing w:line="360" w:lineRule="auto"/>
              <w:jc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派出所指挥调度</w:t>
            </w: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视频展示</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功能参照3</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警力显示</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功能参照4</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应急事件调度</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平台标记突发事件位置，并将警情位置及事件描述自动群发至需要出警的民警微信中。</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指挥舱</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 w:val="0"/>
                <w:bCs/>
                <w:color w:val="000000"/>
                <w:sz w:val="21"/>
                <w:szCs w:val="21"/>
                <w:lang w:val="en-US" w:eastAsia="zh-CN"/>
              </w:rPr>
            </w:pPr>
            <w:r>
              <w:rPr>
                <w:rFonts w:hint="eastAsia" w:ascii="宋体" w:hAnsi="宋体" w:cs="宋体"/>
                <w:b w:val="0"/>
                <w:bCs/>
                <w:color w:val="000000"/>
                <w:sz w:val="21"/>
                <w:szCs w:val="21"/>
                <w:lang w:val="en-US" w:eastAsia="zh-CN"/>
              </w:rPr>
              <w:t>为局领导或派出所领导实时提供整体治安数据（警情、案情、预警视图）的图形化显示。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8</w:t>
            </w:r>
          </w:p>
        </w:tc>
        <w:tc>
          <w:tcPr>
            <w:tcW w:w="958" w:type="dxa"/>
            <w:vMerge w:val="restart"/>
            <w:noWrap w:val="0"/>
            <w:vAlign w:val="center"/>
          </w:tcPr>
          <w:p>
            <w:pPr>
              <w:spacing w:line="360" w:lineRule="auto"/>
              <w:jc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派出所考评</w:t>
            </w: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业务工作考评</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服务群众、重点单位/场所检查、一标三实采集率、重点人员管理等进行业务抽取，根据时间、频率等作为考核依据</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业务工作</w:t>
            </w:r>
          </w:p>
          <w:p>
            <w:pPr>
              <w:keepNext w:val="0"/>
              <w:keepLines w:val="0"/>
              <w:widowControl/>
              <w:suppressLineNumbers w:val="0"/>
              <w:spacing w:line="360" w:lineRule="auto"/>
              <w:jc w:val="center"/>
              <w:textAlignment w:val="center"/>
              <w:rPr>
                <w:rFonts w:hint="default"/>
                <w:color w:val="000000"/>
                <w:sz w:val="21"/>
                <w:szCs w:val="21"/>
                <w:lang w:val="en-US" w:eastAsia="zh-CN"/>
              </w:rPr>
            </w:pPr>
            <w:r>
              <w:rPr>
                <w:rFonts w:hint="eastAsia" w:ascii="宋体" w:hAnsi="宋体" w:cs="宋体"/>
                <w:i w:val="0"/>
                <w:iCs w:val="0"/>
                <w:color w:val="000000"/>
                <w:kern w:val="0"/>
                <w:sz w:val="21"/>
                <w:szCs w:val="21"/>
                <w:u w:val="none"/>
                <w:lang w:val="en-US" w:eastAsia="zh-CN" w:bidi="ar"/>
              </w:rPr>
              <w:t>考试</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根据重点单位/场所、重点人员数据等自动与网格民警进行匹配，生成考试题目。根据考试分数进行考核。</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考核范围</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可根据人、部门来分别显示考核结果。</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9</w:t>
            </w:r>
          </w:p>
        </w:tc>
        <w:tc>
          <w:tcPr>
            <w:tcW w:w="958" w:type="dxa"/>
            <w:vMerge w:val="restart"/>
            <w:noWrap w:val="0"/>
            <w:vAlign w:val="center"/>
          </w:tcPr>
          <w:p>
            <w:pPr>
              <w:spacing w:line="360" w:lineRule="auto"/>
              <w:jc w:val="center"/>
              <w:rPr>
                <w:rFonts w:hint="eastAsia" w:ascii="宋体" w:hAnsi="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警务APP</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一标三实采集功能</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单位、重点场所、重点部位、重点人员、重点关注对象、境外人员等治安要素的姓名、住址（租房或买房）、家庭成员、房屋结构等信息采集工作。</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民警签到签出</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当前工作状态记录</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任务派发</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接收平台相关任务 （视频专网发送至互联网）</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矛盾纠纷大排查</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民警自主摸排或接到群众报警进行走访，并留下相关记录</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重点人口大管控</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户籍所在地管理，每个月对重点人口进行走访。提前半个月进行预警</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重点场所管控</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cs="宋体"/>
                <w:i w:val="0"/>
                <w:iCs w:val="0"/>
                <w:color w:val="000000"/>
                <w:kern w:val="0"/>
                <w:sz w:val="21"/>
                <w:szCs w:val="21"/>
                <w:u w:val="none"/>
                <w:lang w:val="en-US" w:eastAsia="zh-CN" w:bidi="ar"/>
              </w:rPr>
              <w:t>重点场所上门走访，排查隐患</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标准化开发</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基于警务通、辅警通手机的省厅开发标准与要求，进行智慧警务APP</w:t>
            </w:r>
            <w:r>
              <w:rPr>
                <w:rFonts w:hint="eastAsia" w:ascii="宋体" w:hAnsi="宋体" w:cs="宋体"/>
                <w:i w:val="0"/>
                <w:iCs w:val="0"/>
                <w:color w:val="000000"/>
                <w:kern w:val="0"/>
                <w:sz w:val="21"/>
                <w:szCs w:val="21"/>
                <w:u w:val="none"/>
                <w:lang w:val="en-US" w:eastAsia="zh-CN" w:bidi="ar"/>
              </w:rPr>
              <w:t>底</w:t>
            </w:r>
            <w:r>
              <w:rPr>
                <w:rFonts w:hint="eastAsia" w:ascii="宋体" w:hAnsi="宋体" w:eastAsia="宋体" w:cs="宋体"/>
                <w:i w:val="0"/>
                <w:iCs w:val="0"/>
                <w:color w:val="000000"/>
                <w:kern w:val="0"/>
                <w:sz w:val="21"/>
                <w:szCs w:val="21"/>
                <w:u w:val="none"/>
                <w:lang w:val="en-US" w:eastAsia="zh-CN" w:bidi="ar"/>
              </w:rPr>
              <w:t>层开发。（含用户管理权限等）</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智慧警务APP服务端程序</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cs="宋体"/>
                <w:b/>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服务端程序开发</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10</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卡口联动</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基础信息</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采集卡口以及视频探头基础数据，形成基础图层。对数据进行可视化处理，在实景三维上显示各个卡口、视频探头的概况（如设备信息、机构信息），同时显示当前查控数据。公安民警可以全方位的立体掌控卡口运行状况。</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轨迹查询</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通过对接第三方平台接口，车辆卡口和人脸识别卡口的信息查询，并将第三方平台查询返回结果以时间轴轨迹的形式显示在三维地图上</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预警</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通过卡口联动，实现三维场景下的预警提醒和预警信息综合展示。支持车辆信息在黑名单车辆库中进行碰撞比对，通过第三方接口获取车辆及车主信息、人员名下车辆、车辆违章等信息，更鲜活地呈现车辆人员信息。将单一的数字化数据转变为多样化的可视化图表，通过色彩、布局的综合运用，借助三维地图、动画等多媒体手段显示检查站信息、警员信息、查控信息、预警信息等内容，可视化展示美观、大方，支持多种类型统计图表。</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11</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人员管控</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人员管理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系统支持社区民警对重点人员进行管理，实现重点人员的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查询和信息调取功能。主要有以下几点：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（1）重点人员列表查询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（2）重点人员详细信息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景三维对接旅馆酒店管理系统，通过旅馆酒店管理系统首先获取宾馆入住人员的人脸、人员身份等信息，当酒店管理系统捕获重点人员定房或入住信息时，自动报警，并将报警信息推送于三维地图，由三维地图进行最终报警展现，实时显示报警位置信息以及人员位置信息，实现对重点人员的管控。</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轨迹查询</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通过对接第三方平台接口和重点人员数据库（包括在逃人员数据、违法人员数据等），并将第三方平台查询返回结果以时间轴轨迹的形式显示在三维地图上</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12</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预案管理与制作</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预案管理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提供文件夹形式对历史预案和新建预案进行分类管理，支持编辑预案信息和添加附件，方便定位、查阅和对比预案。同时支持对同类型的安保预案或重大活动预案进行复制、编辑等操作，快速形成对预案的入库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预案制作</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系统帮助业务人员快速构建安保预案任务，优化调配预案内容，为警卫、安保、应急等提供全方位预案保障。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预案编制中采用警用标绘系统，通过警标符号，将预案形成的方案以形象的方式标注于空间图形之上，模拟各种突发事件，采用合理调度方式，部署警力和装备。标绘采用警力标绘标准，包括各种点状、文字、图片、线状标号以及面状标号。</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预案存储</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实现对各类预案的存储，并且用户可以对已存档的预案进行回放根据时间节点增删，对所有预案进行管理。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预案查询检索</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系统以三维的方式显示各单位的处置预案信息；可以对处置预案进行打开、编辑和保存操作，支持根据预案名称、类型等进行检索。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已经保存的预案可以在三维场景中进行播放、修改。</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预案输出</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可以将选取的预案保存输出图片、表格的格式，方便保存、调取、传播。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图片：当前预案各时间节点状态的截图；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表格：各个时间节点的文字表述。</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预案文档管理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系统可以接入文档、图片形式的预案文件，并于三维预案动态关联，实现文字类型预案的有效管理和查看，满足用户的不同需求。</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r>
              <w:rPr>
                <w:rFonts w:hint="eastAsia" w:ascii="宋体" w:hAnsi="宋体" w:cs="宋体"/>
                <w:b w:val="0"/>
                <w:bCs/>
                <w:color w:val="000000"/>
                <w:sz w:val="21"/>
                <w:szCs w:val="21"/>
                <w:vertAlign w:val="baseline"/>
                <w:lang w:val="en-US" w:eastAsia="zh-CN"/>
              </w:rPr>
              <w:t>3</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预案应急启用</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事件定位</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可通过警情信息、单兵等带有定位设备的报警信息自动定位事件位置，也可通过现场工作人员上报的位置名称进行快速检索定位。</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资源一键调度</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b/>
                <w:color w:val="000000"/>
                <w:sz w:val="21"/>
                <w:szCs w:val="21"/>
              </w:rPr>
              <w:sym w:font="Wingdings" w:char="F0AB"/>
            </w:r>
            <w:r>
              <w:rPr>
                <w:rFonts w:hint="eastAsia" w:ascii="宋体" w:hAnsi="宋体" w:eastAsia="宋体" w:cs="宋体"/>
                <w:i w:val="0"/>
                <w:iCs w:val="0"/>
                <w:color w:val="000000"/>
                <w:kern w:val="0"/>
                <w:sz w:val="21"/>
                <w:szCs w:val="21"/>
                <w:u w:val="none"/>
                <w:lang w:val="en-US" w:eastAsia="zh-CN" w:bidi="ar"/>
              </w:rPr>
              <w:t>系统可自定义 500 米、1000 米等不同距离的反应圈。以事件为中心区域，通过单兵、对讲等音视频方式快速调度反应圈里面的资源，实现跨警种、多资源的协同处置。提高了整个事件的处置效率，资源包括视频监控、警员、警车、应急物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在三维上展现分析街面、沿途、驻地的警力资源数量，以及未分配的任务处于待命状态的警务资源数量。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 PDT、单兵、警车等 GPS 坐标，自动匹配任务范围坐标，相应终端 GPS 到达任务坐标显示认为达到，同时可利用语音、视频等手段远程确认。如未到达任务坐标范围，系统告警提示。</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应急辅助决策</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系统提供对各种即时检索等功能，当发生应急事件后，系会自动根据应急事件的类型以及相关关键字对知识库进行全文检索，并将检索结果按照匹配相似度进行罗列，供用户选择查看，帮助尽快快速决策。提供基于预案制作工具，制作日常指挥调度预案。根据系统设置预案部署信息及详情，进行 Excel 或图片形式导出，导出信息包括预案名称、警力情况、简要案情等信息。</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r>
              <w:rPr>
                <w:rFonts w:hint="eastAsia" w:ascii="宋体" w:hAnsi="宋体" w:cs="宋体"/>
                <w:b w:val="0"/>
                <w:bCs/>
                <w:color w:val="000000"/>
                <w:sz w:val="21"/>
                <w:szCs w:val="21"/>
                <w:vertAlign w:val="baseline"/>
                <w:lang w:val="en-US" w:eastAsia="zh-CN"/>
              </w:rPr>
              <w:t>4</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专题应</w:t>
            </w:r>
            <w:r>
              <w:rPr>
                <w:rFonts w:hint="eastAsia" w:ascii="宋体" w:hAnsi="宋体" w:eastAsia="宋体" w:cs="宋体"/>
                <w:b w:val="0"/>
                <w:bCs/>
                <w:color w:val="000000"/>
                <w:sz w:val="21"/>
                <w:szCs w:val="21"/>
                <w:vertAlign w:val="baseline"/>
                <w:lang w:val="en-US" w:eastAsia="zh-CN"/>
              </w:rPr>
              <w:t xml:space="preserve"> </w:t>
            </w:r>
            <w:r>
              <w:rPr>
                <w:rFonts w:hint="eastAsia" w:ascii="宋体" w:hAnsi="宋体" w:eastAsia="宋体" w:cs="宋体"/>
                <w:b w:val="0"/>
                <w:bCs/>
                <w:color w:val="000000"/>
                <w:sz w:val="21"/>
                <w:szCs w:val="21"/>
                <w:vertAlign w:val="baseline"/>
              </w:rPr>
              <w:t>用</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禁种铲毒应用</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 w:val="0"/>
                <w:bCs/>
                <w:color w:val="000000"/>
                <w:sz w:val="21"/>
                <w:szCs w:val="21"/>
                <w:vertAlign w:val="baseline"/>
                <w:lang w:val="en-US"/>
              </w:rPr>
            </w:pPr>
            <w:r>
              <w:rPr>
                <w:rFonts w:hint="eastAsia" w:ascii="宋体" w:hAnsi="宋体" w:cs="宋体"/>
                <w:i w:val="0"/>
                <w:iCs w:val="0"/>
                <w:color w:val="000000"/>
                <w:kern w:val="0"/>
                <w:sz w:val="21"/>
                <w:szCs w:val="21"/>
                <w:u w:val="none"/>
                <w:lang w:val="en-US" w:eastAsia="zh-CN" w:bidi="ar"/>
              </w:rPr>
              <w:t>标注易种植范围及发现位置等信息</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巡河专题</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食药环大队</w:t>
            </w:r>
            <w:r>
              <w:rPr>
                <w:rFonts w:hint="eastAsia" w:ascii="宋体" w:hAnsi="宋体" w:eastAsia="宋体" w:cs="宋体"/>
                <w:color w:val="000000"/>
                <w:kern w:val="0"/>
                <w:sz w:val="21"/>
                <w:szCs w:val="21"/>
                <w:lang w:bidi="ar"/>
              </w:rPr>
              <w:t>标注</w:t>
            </w:r>
            <w:r>
              <w:rPr>
                <w:rFonts w:hint="eastAsia" w:ascii="宋体" w:hAnsi="宋体" w:cs="宋体"/>
                <w:i w:val="0"/>
                <w:iCs w:val="0"/>
                <w:color w:val="000000"/>
                <w:kern w:val="0"/>
                <w:sz w:val="21"/>
                <w:szCs w:val="21"/>
                <w:u w:val="none"/>
                <w:lang w:val="en-US" w:eastAsia="zh-CN" w:bidi="ar"/>
              </w:rPr>
              <w:t>潢川县</w:t>
            </w:r>
            <w:r>
              <w:rPr>
                <w:rFonts w:hint="eastAsia" w:ascii="宋体" w:hAnsi="宋体" w:eastAsia="宋体" w:cs="宋体"/>
                <w:color w:val="000000"/>
                <w:kern w:val="0"/>
                <w:sz w:val="21"/>
                <w:szCs w:val="21"/>
                <w:lang w:bidi="ar"/>
              </w:rPr>
              <w:t>关于可能污染</w:t>
            </w:r>
            <w:r>
              <w:rPr>
                <w:rFonts w:hint="eastAsia" w:ascii="宋体" w:hAnsi="宋体" w:cs="宋体"/>
                <w:color w:val="000000"/>
                <w:kern w:val="0"/>
                <w:sz w:val="21"/>
                <w:szCs w:val="21"/>
                <w:lang w:val="en-US" w:eastAsia="zh-CN" w:bidi="ar"/>
              </w:rPr>
              <w:t>水资源</w:t>
            </w:r>
            <w:r>
              <w:rPr>
                <w:rFonts w:hint="eastAsia" w:ascii="宋体" w:hAnsi="宋体" w:eastAsia="宋体" w:cs="宋体"/>
                <w:color w:val="000000"/>
                <w:kern w:val="0"/>
                <w:sz w:val="21"/>
                <w:szCs w:val="21"/>
                <w:lang w:bidi="ar"/>
              </w:rPr>
              <w:t>的企业及有毒化工原料等数据情况。</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r>
              <w:rPr>
                <w:rFonts w:hint="eastAsia" w:ascii="宋体" w:hAnsi="宋体" w:cs="宋体"/>
                <w:b w:val="0"/>
                <w:bCs/>
                <w:color w:val="000000"/>
                <w:sz w:val="21"/>
                <w:szCs w:val="21"/>
                <w:vertAlign w:val="baseline"/>
                <w:lang w:val="en-US" w:eastAsia="zh-CN"/>
              </w:rPr>
              <w:t>5</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后台配置支撑</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组织管理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使用部门的初始化和配置</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角色管理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使用部门的角色配置和管理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用户管理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使用部门的用户配置和管理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权限管理</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使用部门的用户权限配置和管理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基础数据维护</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行政区域、事件类型、资源类型的维护和管理</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16</w:t>
            </w:r>
          </w:p>
        </w:tc>
        <w:tc>
          <w:tcPr>
            <w:tcW w:w="958"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人证核验</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人证核验机</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双核Cortex-A72 +四核Cortex-A53，主频1.8GHz</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内存</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2G</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eMMC  16G</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数据传输接口</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以太网100M/1000M</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供电</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DC 12V</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-10℃-50℃</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操作系统</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Android 7</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摄像头</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1/2.7” CMOS，1920*1080，200万像素，彩色+红外双目摄像头</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6063铝合金</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前屏幕</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10寸高亮屏，分辨率1280*800</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后屏幕</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10寸高亮电容触控屏，分辨率1280*800</w:t>
            </w:r>
          </w:p>
          <w:p>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cs="宋体"/>
                <w:i w:val="0"/>
                <w:iCs w:val="0"/>
                <w:color w:val="000000"/>
                <w:kern w:val="0"/>
                <w:sz w:val="21"/>
                <w:szCs w:val="21"/>
                <w:u w:val="none"/>
                <w:lang w:val="en-US" w:eastAsia="zh-CN" w:bidi="ar"/>
              </w:rPr>
              <w:t>支持数据互联网进入公安网（投标方提供）</w:t>
            </w:r>
          </w:p>
          <w:p>
            <w:pPr>
              <w:keepNext w:val="0"/>
              <w:keepLines w:val="0"/>
              <w:widowControl/>
              <w:suppressLineNumbers w:val="0"/>
              <w:spacing w:line="360" w:lineRule="auto"/>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cs="宋体"/>
                <w:i w:val="0"/>
                <w:iCs w:val="0"/>
                <w:color w:val="000000"/>
                <w:kern w:val="0"/>
                <w:sz w:val="21"/>
                <w:szCs w:val="21"/>
                <w:u w:val="none"/>
                <w:lang w:val="en-US" w:eastAsia="zh-CN" w:bidi="ar"/>
              </w:rPr>
              <w:t>公安网环境下支持全国人口库人像比对查询</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核验系统</w:t>
            </w:r>
          </w:p>
        </w:tc>
        <w:tc>
          <w:tcPr>
            <w:tcW w:w="10637" w:type="dxa"/>
            <w:noWrap w:val="0"/>
            <w:vAlign w:val="center"/>
          </w:tcPr>
          <w:p>
            <w:pPr>
              <w:keepNext w:val="0"/>
              <w:keepLines w:val="0"/>
              <w:widowControl/>
              <w:suppressLineNumbers w:val="0"/>
              <w:spacing w:line="360" w:lineRule="auto"/>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支持实时查询核验数据</w:t>
            </w:r>
          </w:p>
          <w:p>
            <w:pPr>
              <w:keepNext w:val="0"/>
              <w:keepLines w:val="0"/>
              <w:widowControl/>
              <w:suppressLineNumbers w:val="0"/>
              <w:spacing w:line="360" w:lineRule="auto"/>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支持本地布控</w:t>
            </w:r>
          </w:p>
          <w:p>
            <w:pPr>
              <w:keepNext w:val="0"/>
              <w:keepLines w:val="0"/>
              <w:widowControl/>
              <w:suppressLineNumbers w:val="0"/>
              <w:spacing w:line="360" w:lineRule="auto"/>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支持全国重点人员比对</w:t>
            </w:r>
          </w:p>
          <w:p>
            <w:pPr>
              <w:keepNext w:val="0"/>
              <w:keepLines w:val="0"/>
              <w:widowControl/>
              <w:suppressLineNumbers w:val="0"/>
              <w:spacing w:line="360" w:lineRule="auto"/>
              <w:jc w:val="both"/>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b/>
                <w:color w:val="000000"/>
                <w:sz w:val="21"/>
                <w:szCs w:val="21"/>
              </w:rPr>
              <w:sym w:font="Wingdings" w:char="F0AB"/>
            </w:r>
            <w:r>
              <w:rPr>
                <w:rFonts w:hint="eastAsia" w:ascii="宋体" w:hAnsi="宋体" w:cs="宋体"/>
                <w:i w:val="0"/>
                <w:iCs w:val="0"/>
                <w:color w:val="000000"/>
                <w:kern w:val="0"/>
                <w:sz w:val="21"/>
                <w:szCs w:val="21"/>
                <w:u w:val="none"/>
                <w:lang w:val="en-US" w:eastAsia="zh-CN" w:bidi="ar"/>
              </w:rPr>
              <w:t>能够提供或协调数据源</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r>
              <w:rPr>
                <w:rFonts w:hint="eastAsia" w:ascii="宋体" w:hAnsi="宋体" w:cs="宋体"/>
                <w:b w:val="0"/>
                <w:bCs/>
                <w:color w:val="000000"/>
                <w:sz w:val="21"/>
                <w:szCs w:val="21"/>
                <w:vertAlign w:val="baseline"/>
                <w:lang w:val="en-US" w:eastAsia="zh-CN"/>
              </w:rPr>
              <w:t>7</w:t>
            </w:r>
          </w:p>
        </w:tc>
        <w:tc>
          <w:tcPr>
            <w:tcW w:w="958"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服务器</w:t>
            </w:r>
          </w:p>
        </w:tc>
        <w:tc>
          <w:tcPr>
            <w:tcW w:w="1087" w:type="dxa"/>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三维地图服务器</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1、形态：标准机架式服务器，机箱高度≥2U；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2、处理器：配置2颗CPU；≥12物理核心；主频大于2.1Ghz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3、内存：配置≥128GB；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4、硬盘：本次配置≥2块8T硬盘；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5、扩展性：内存可扩展槽位≥24个；硬盘可扩展槽位≥12个； PCI-E I/O可扩展插槽≥8个；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6、网卡：≥4个10GE，含模块；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7、配置磁盘阵列卡，支持RAID0、1、5、10，缓存≥2G Cache；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8、单电源额定功率≥900W，电源模块≥2个。</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视频服务器</w:t>
            </w:r>
          </w:p>
        </w:tc>
        <w:tc>
          <w:tcPr>
            <w:tcW w:w="10637" w:type="dxa"/>
            <w:noWrap w:val="0"/>
            <w:vAlign w:val="center"/>
          </w:tcPr>
          <w:p>
            <w:pPr>
              <w:keepNext w:val="0"/>
              <w:keepLines w:val="0"/>
              <w:widowControl/>
              <w:numPr>
                <w:ilvl w:val="0"/>
                <w:numId w:val="1"/>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形态：标准机架式服务器，机箱高度≥2U；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2、处理器：配置2颗CPU；≥12物理核心；主频大于2.1Ghz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3、内存：配置≥128GB；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4、硬盘：本次配置≥2块8T硬盘；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5、扩展性：内存可扩展槽位≥24个；硬盘可扩展槽位≥12个； PCI-E I/O可扩展插槽≥8个；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6、网卡：≥4个10GE，含模块；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7、配置磁盘阵列卡，支持RAID0、1、5、10，缓存≥2G Cache；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8、单电源额定功率≥900W，电源模块≥2个。</w:t>
            </w:r>
          </w:p>
        </w:tc>
        <w:tc>
          <w:tcPr>
            <w:tcW w:w="639" w:type="dxa"/>
            <w:noWrap w:val="0"/>
            <w:vAlign w:val="center"/>
          </w:tcPr>
          <w:p>
            <w:pPr>
              <w:keepNext w:val="0"/>
              <w:keepLines w:val="0"/>
              <w:widowControl/>
              <w:numPr>
                <w:ilvl w:val="0"/>
                <w:numId w:val="0"/>
              </w:numPr>
              <w:suppressLineNumbers w:val="0"/>
              <w:spacing w:line="36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业务管理服务器</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机箱：</w:t>
            </w:r>
            <w:r>
              <w:rPr>
                <w:rFonts w:hint="eastAsia" w:ascii="宋体" w:hAnsi="宋体" w:eastAsia="宋体" w:cs="宋体"/>
                <w:i w:val="0"/>
                <w:iCs w:val="0"/>
                <w:color w:val="000000"/>
                <w:kern w:val="0"/>
                <w:sz w:val="21"/>
                <w:szCs w:val="21"/>
                <w:u w:val="none"/>
                <w:lang w:val="en-US" w:eastAsia="zh-CN" w:bidi="ar"/>
              </w:rPr>
              <w:t>标准机架式服务器，机箱高度≥2U；</w:t>
            </w:r>
          </w:p>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CPU：配置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颗CPU；≥1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物理核心；主频≥2.</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Ghz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内存：32G DDR4 *4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网卡：万兆光口*2，光电转换模块*2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电源：冗余双电550W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硬盘：SSD/480GB/SATA*1 + 8TB/SATA/HDD*4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RAID卡：支持RAID 0,1,5,6,10,50,60,JBOD </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r>
              <w:rPr>
                <w:rFonts w:hint="eastAsia" w:ascii="宋体" w:hAnsi="宋体" w:cs="宋体"/>
                <w:b w:val="0"/>
                <w:bCs/>
                <w:color w:val="000000"/>
                <w:sz w:val="21"/>
                <w:szCs w:val="21"/>
                <w:vertAlign w:val="baseline"/>
                <w:lang w:val="en-US" w:eastAsia="zh-CN"/>
              </w:rPr>
              <w:t>8</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数据采集及处理</w:t>
            </w: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无人机航飞</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lang w:val="en-US"/>
              </w:rPr>
            </w:pPr>
            <w:r>
              <w:rPr>
                <w:rFonts w:hint="eastAsia" w:ascii="宋体" w:hAnsi="宋体" w:cs="宋体"/>
                <w:i w:val="0"/>
                <w:iCs w:val="0"/>
                <w:color w:val="000000"/>
                <w:kern w:val="0"/>
                <w:sz w:val="21"/>
                <w:szCs w:val="21"/>
                <w:u w:val="none"/>
                <w:lang w:val="en-US" w:eastAsia="zh-CN" w:bidi="ar"/>
              </w:rPr>
              <w:t>潢川县城区50平方公里</w:t>
            </w:r>
            <w:r>
              <w:rPr>
                <w:rFonts w:hint="eastAsia" w:ascii="宋体" w:hAnsi="宋体" w:eastAsia="宋体" w:cs="宋体"/>
                <w:i w:val="0"/>
                <w:iCs w:val="0"/>
                <w:color w:val="000000"/>
                <w:kern w:val="0"/>
                <w:sz w:val="21"/>
                <w:szCs w:val="21"/>
                <w:u w:val="none"/>
                <w:lang w:val="en-US" w:eastAsia="zh-CN" w:bidi="ar"/>
              </w:rPr>
              <w:t>无人机航飞采集，提供《民用无人驾驶航空器经营许可证》</w:t>
            </w:r>
          </w:p>
        </w:tc>
        <w:tc>
          <w:tcPr>
            <w:tcW w:w="639" w:type="dxa"/>
            <w:vMerge w:val="restart"/>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三维模型生成</w:t>
            </w:r>
          </w:p>
        </w:tc>
        <w:tc>
          <w:tcPr>
            <w:tcW w:w="10637"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 w:val="0"/>
                <w:bCs/>
                <w:color w:val="000000"/>
                <w:sz w:val="21"/>
                <w:szCs w:val="21"/>
                <w:vertAlign w:val="baseline"/>
                <w:lang w:val="en-US"/>
              </w:rPr>
            </w:pPr>
            <w:r>
              <w:rPr>
                <w:rFonts w:hint="eastAsia" w:ascii="宋体" w:hAnsi="宋体" w:cs="宋体"/>
                <w:i w:val="0"/>
                <w:iCs w:val="0"/>
                <w:color w:val="000000"/>
                <w:kern w:val="0"/>
                <w:sz w:val="21"/>
                <w:szCs w:val="21"/>
                <w:u w:val="none"/>
                <w:lang w:val="en-US" w:eastAsia="zh-CN" w:bidi="ar"/>
              </w:rPr>
              <w:t>50平方公里</w:t>
            </w:r>
            <w:r>
              <w:rPr>
                <w:rFonts w:hint="eastAsia" w:ascii="宋体" w:hAnsi="宋体" w:eastAsia="宋体" w:cs="宋体"/>
                <w:i w:val="0"/>
                <w:iCs w:val="0"/>
                <w:color w:val="000000"/>
                <w:kern w:val="0"/>
                <w:sz w:val="21"/>
                <w:szCs w:val="21"/>
                <w:u w:val="none"/>
                <w:lang w:val="en-US" w:eastAsia="zh-CN" w:bidi="ar"/>
              </w:rPr>
              <w:t>航飞数据的空三及三维渲染</w:t>
            </w:r>
            <w:r>
              <w:rPr>
                <w:rFonts w:hint="eastAsia" w:ascii="宋体" w:hAnsi="宋体" w:cs="宋体"/>
                <w:i w:val="0"/>
                <w:iCs w:val="0"/>
                <w:color w:val="000000"/>
                <w:kern w:val="0"/>
                <w:sz w:val="21"/>
                <w:szCs w:val="21"/>
                <w:u w:val="none"/>
                <w:lang w:val="en-US" w:eastAsia="zh-CN" w:bidi="ar"/>
              </w:rPr>
              <w:t>，模型精度优于3CM</w:t>
            </w:r>
          </w:p>
        </w:tc>
        <w:tc>
          <w:tcPr>
            <w:tcW w:w="639" w:type="dxa"/>
            <w:vMerge w:val="continue"/>
            <w:noWrap w:val="0"/>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模型数据优化</w:t>
            </w:r>
          </w:p>
        </w:tc>
        <w:tc>
          <w:tcPr>
            <w:tcW w:w="106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color w:val="000000"/>
                <w:sz w:val="21"/>
                <w:szCs w:val="21"/>
                <w:vertAlign w:val="baseline"/>
              </w:rPr>
            </w:pPr>
            <w:r>
              <w:rPr>
                <w:rFonts w:hint="eastAsia" w:ascii="宋体" w:hAnsi="宋体" w:eastAsia="宋体" w:cs="宋体"/>
                <w:i w:val="0"/>
                <w:iCs w:val="0"/>
                <w:color w:val="000000"/>
                <w:kern w:val="0"/>
                <w:sz w:val="21"/>
                <w:szCs w:val="21"/>
                <w:u w:val="none"/>
                <w:lang w:val="en-US" w:eastAsia="zh-CN" w:bidi="ar"/>
              </w:rPr>
              <w:t>三维模型，做优化处理，提升平台加载效率</w:t>
            </w:r>
          </w:p>
        </w:tc>
        <w:tc>
          <w:tcPr>
            <w:tcW w:w="639" w:type="dxa"/>
            <w:vMerge w:val="continue"/>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noWrap w:val="0"/>
            <w:vAlign w:val="center"/>
          </w:tcPr>
          <w:p>
            <w:pPr>
              <w:spacing w:line="36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19</w:t>
            </w:r>
          </w:p>
        </w:tc>
        <w:tc>
          <w:tcPr>
            <w:tcW w:w="958" w:type="dxa"/>
            <w:vMerge w:val="restart"/>
            <w:noWrap w:val="0"/>
            <w:vAlign w:val="center"/>
          </w:tcPr>
          <w:p>
            <w:pPr>
              <w:spacing w:line="36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视频边界</w:t>
            </w:r>
          </w:p>
        </w:tc>
        <w:tc>
          <w:tcPr>
            <w:tcW w:w="1087" w:type="dxa"/>
            <w:noWrap w:val="0"/>
            <w:vAlign w:val="center"/>
          </w:tcPr>
          <w:p>
            <w:pPr>
              <w:widowControl/>
              <w:spacing w:line="36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视频安全交换接入系统（千兆）</w:t>
            </w:r>
          </w:p>
        </w:tc>
        <w:tc>
          <w:tcPr>
            <w:tcW w:w="10637" w:type="dxa"/>
            <w:noWrap w:val="0"/>
            <w:vAlign w:val="center"/>
          </w:tcPr>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标准机架式机箱，独立双主机架构由视频交换内主机和视频外主机组成；</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视频交换内主机：2U 冗余电源，不少于6个10/100M/1000M电口（其中包含1个管理口）、2个USB接口；</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视频交换外主机：2U 冗余电源，不少于6个10/100M/1000M电口（其中包含1个管理口）、2个USB接口；</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稳定性运行时间(MTBF) &gt;50000小时</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★吞吐量达到1Gbps时</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传输延时&lt;=18.5μs</w:t>
            </w:r>
            <w:r>
              <w:rPr>
                <w:rFonts w:hint="eastAsia" w:ascii="宋体" w:hAnsi="宋体" w:eastAsia="宋体" w:cs="宋体"/>
                <w:color w:val="000000"/>
                <w:kern w:val="0"/>
                <w:sz w:val="21"/>
                <w:szCs w:val="21"/>
                <w:lang w:val="en-US" w:eastAsia="zh-CN"/>
              </w:rPr>
              <w:t>（提供国家信息产业信息安全测评中心检测报告证明材料</w:t>
            </w:r>
            <w:r>
              <w:rPr>
                <w:rFonts w:hint="eastAsia" w:ascii="宋体" w:hAnsi="宋体" w:cs="宋体"/>
                <w:color w:val="000000"/>
                <w:kern w:val="0"/>
                <w:sz w:val="21"/>
                <w:szCs w:val="21"/>
                <w:lang w:val="en-US" w:eastAsia="zh-CN"/>
              </w:rPr>
              <w:t>并加盖原厂公章</w:t>
            </w:r>
            <w:r>
              <w:rPr>
                <w:rFonts w:hint="eastAsia" w:ascii="宋体" w:hAnsi="宋体" w:eastAsia="宋体" w:cs="宋体"/>
                <w:color w:val="000000"/>
                <w:kern w:val="0"/>
                <w:sz w:val="21"/>
                <w:szCs w:val="21"/>
                <w:lang w:val="en-US" w:eastAsia="zh-CN"/>
              </w:rPr>
              <w:t>）</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视频传输能力≥300路D1并发</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数据吞吐量≥600Mbps</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并发用户数≥300个</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单台设备接入不同视频监控系统厂商≥4个</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支持设备集群堆叠数量≥16个</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功能要求：</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1.要求可以直接认证内网用户使用的数字证书，支持基于公安U-key的身份认证,只有通过U-key认证的用户才能做进一步操作；</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2.支持自主开发的终端认证机制，采用AES加密算法对视频客户端和视频终端设备进行认证；</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3.要求能直接支持海康、大华、宇视、科达 、互信互通、华为、先进视讯、天视、普天、中兴等不少于40多种视频控制协议 ；</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4.可针对视频控制信令SIP RTSP以及视频流格式RTP等配置白名单过滤条件，支持正则表达式；</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5.要求视频安全交换接入系统支持视频平台互联认证、视频信令认证、加密视频点播以及历史加密视频回放功能；（提供公安部安全与警用电子产品质量检测中心有效证明文件</w:t>
            </w:r>
            <w:r>
              <w:rPr>
                <w:rFonts w:hint="eastAsia" w:ascii="宋体" w:hAnsi="宋体" w:cs="宋体"/>
                <w:color w:val="000000"/>
                <w:kern w:val="0"/>
                <w:sz w:val="21"/>
                <w:szCs w:val="21"/>
                <w:lang w:val="en-US" w:eastAsia="zh-CN"/>
              </w:rPr>
              <w:t>并加盖原厂公章</w:t>
            </w:r>
            <w:r>
              <w:rPr>
                <w:rFonts w:hint="eastAsia" w:ascii="宋体" w:hAnsi="宋体" w:eastAsia="宋体" w:cs="宋体"/>
                <w:color w:val="000000"/>
                <w:kern w:val="0"/>
                <w:sz w:val="21"/>
                <w:szCs w:val="21"/>
              </w:rPr>
              <w:t>）</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6.要求视频安全交换接入系统支持加密视频下载和视频数据验签功能；（提供公安部安全与警用电子产品质量检测中心有效证明文件</w:t>
            </w:r>
            <w:r>
              <w:rPr>
                <w:rFonts w:hint="eastAsia" w:ascii="宋体" w:hAnsi="宋体" w:cs="宋体"/>
                <w:color w:val="000000"/>
                <w:kern w:val="0"/>
                <w:sz w:val="21"/>
                <w:szCs w:val="21"/>
                <w:lang w:val="en-US" w:eastAsia="zh-CN"/>
              </w:rPr>
              <w:t>并加盖原厂公章</w:t>
            </w:r>
            <w:r>
              <w:rPr>
                <w:rFonts w:hint="eastAsia" w:ascii="宋体" w:hAnsi="宋体" w:eastAsia="宋体" w:cs="宋体"/>
                <w:color w:val="000000"/>
                <w:kern w:val="0"/>
                <w:sz w:val="21"/>
                <w:szCs w:val="21"/>
              </w:rPr>
              <w:t>）</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7.★要求视频安全交换接入系统满足GB35114标准 C级平台互联要求。（提供公安部安全与警用电子产品质量检测中心有效证明文件</w:t>
            </w:r>
            <w:r>
              <w:rPr>
                <w:rFonts w:hint="eastAsia" w:ascii="宋体" w:hAnsi="宋体" w:cs="宋体"/>
                <w:color w:val="000000"/>
                <w:kern w:val="0"/>
                <w:sz w:val="21"/>
                <w:szCs w:val="21"/>
                <w:lang w:val="en-US" w:eastAsia="zh-CN"/>
              </w:rPr>
              <w:t>并加盖原厂公章</w:t>
            </w:r>
            <w:r>
              <w:rPr>
                <w:rFonts w:hint="eastAsia" w:ascii="宋体" w:hAnsi="宋体" w:eastAsia="宋体" w:cs="宋体"/>
                <w:color w:val="000000"/>
                <w:kern w:val="0"/>
                <w:sz w:val="21"/>
                <w:szCs w:val="21"/>
              </w:rPr>
              <w:t>）</w:t>
            </w:r>
          </w:p>
          <w:p>
            <w:pPr>
              <w:widowControl/>
              <w:spacing w:line="360" w:lineRule="auto"/>
              <w:ind w:firstLine="0"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要求视频安全交换接入系统满足《公安视频图像信息系统安全技术要求 第3部分：交互安全》GB/T 1788.3-2021标准技术要求；（提供公安部安全与警用电子产品质量检测中心出具的检测报告）</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widowControl/>
              <w:spacing w:line="36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安全数据交换系统</w:t>
            </w:r>
          </w:p>
        </w:tc>
        <w:tc>
          <w:tcPr>
            <w:tcW w:w="10637" w:type="dxa"/>
            <w:noWrap w:val="0"/>
            <w:vAlign w:val="center"/>
          </w:tcPr>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产品形态：采用内外网独立双主机架构，每台主机2U标准机架式机箱。</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网络接口：内外网主机分别不少于6个100/1000M Base-TX网络接口。</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USB口：内外网主机分别不少于2个。</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电源：冗余电源。</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交换能力：≥200Mbps；</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并发会话：2000个；</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文件数据处理数（＞100Kb/个）：≥600个/秒；</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最大支持服务个数：≥20；</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软件模块：必须包含请求与响应交换模块，该模块集成于安全数据交换系统，支持HTTP、TCP、SOCKS、SOAP协议，支持请求转文件（XML文件）和应答转文件（XML文件）。</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产品功能：</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1.支持主流关系型数据库数据交换：Oracle、DB2、SQL Server、GreenPlum、Sybase、MYSQL、PostGresql的各种版本，及支持达梦、Gbase、神舟通用、kingbase等国产数据库，及支持Cassandra、UDB等大数据数据库。</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2.★具备内外网抗渗透攻击能力。（要求提供国家权威机构证明材料</w:t>
            </w:r>
            <w:r>
              <w:rPr>
                <w:rFonts w:hint="eastAsia" w:ascii="宋体" w:hAnsi="宋体" w:cs="宋体"/>
                <w:color w:val="000000"/>
                <w:kern w:val="0"/>
                <w:sz w:val="21"/>
                <w:szCs w:val="21"/>
                <w:lang w:val="en-US" w:eastAsia="zh-CN"/>
              </w:rPr>
              <w:t>并加盖原厂公章</w:t>
            </w:r>
            <w:r>
              <w:rPr>
                <w:rFonts w:hint="eastAsia" w:ascii="宋体" w:hAnsi="宋体" w:eastAsia="宋体" w:cs="宋体"/>
                <w:color w:val="000000"/>
                <w:kern w:val="0"/>
                <w:sz w:val="21"/>
                <w:szCs w:val="21"/>
              </w:rPr>
              <w:t>）</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3.支持exe等可执行文件格式过滤、文件夹带恶意代码及捆绑可执行程序过滤等安全过滤功能。（要求提供国家权威机构证明材料</w:t>
            </w:r>
            <w:r>
              <w:rPr>
                <w:rFonts w:hint="eastAsia" w:ascii="宋体" w:hAnsi="宋体" w:cs="宋体"/>
                <w:color w:val="000000"/>
                <w:kern w:val="0"/>
                <w:sz w:val="21"/>
                <w:szCs w:val="21"/>
                <w:lang w:val="en-US" w:eastAsia="zh-CN"/>
              </w:rPr>
              <w:t>并加盖原厂公章</w:t>
            </w:r>
            <w:r>
              <w:rPr>
                <w:rFonts w:hint="eastAsia" w:ascii="宋体" w:hAnsi="宋体" w:eastAsia="宋体" w:cs="宋体"/>
                <w:color w:val="000000"/>
                <w:kern w:val="0"/>
                <w:sz w:val="21"/>
                <w:szCs w:val="21"/>
              </w:rPr>
              <w:t>）</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其他</w:t>
            </w:r>
            <w:r>
              <w:rPr>
                <w:rFonts w:hint="eastAsia" w:ascii="宋体" w:hAnsi="宋体" w:eastAsia="宋体" w:cs="宋体"/>
                <w:color w:val="000000"/>
                <w:kern w:val="0"/>
                <w:sz w:val="21"/>
                <w:szCs w:val="21"/>
              </w:rPr>
              <w:t>要求：</w:t>
            </w:r>
          </w:p>
          <w:p>
            <w:pPr>
              <w:widowControl/>
              <w:numPr>
                <w:ilvl w:val="0"/>
                <w:numId w:val="0"/>
              </w:numPr>
              <w:spacing w:line="360" w:lineRule="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要求</w:t>
            </w:r>
            <w:r>
              <w:rPr>
                <w:rFonts w:hint="eastAsia" w:ascii="宋体" w:hAnsi="宋体" w:cs="宋体"/>
                <w:color w:val="000000"/>
                <w:kern w:val="0"/>
                <w:sz w:val="21"/>
                <w:szCs w:val="21"/>
                <w:lang w:val="en-US" w:eastAsia="zh-CN"/>
              </w:rPr>
              <w:t>安全数据交换</w:t>
            </w:r>
            <w:r>
              <w:rPr>
                <w:rFonts w:hint="eastAsia" w:ascii="宋体" w:hAnsi="宋体" w:eastAsia="宋体" w:cs="宋体"/>
                <w:color w:val="000000"/>
                <w:kern w:val="0"/>
                <w:sz w:val="21"/>
                <w:szCs w:val="21"/>
              </w:rPr>
              <w:t>系统满足《公安视频图像信息系统安全技术要求 第3部分：交互安全》GB/T 1788.3-2021标准技术要求；（提供公安部安全与警用电子产品质量检测中心出具的检测报告）</w:t>
            </w:r>
          </w:p>
          <w:p>
            <w:pPr>
              <w:widowControl/>
              <w:numPr>
                <w:ilvl w:val="0"/>
                <w:numId w:val="0"/>
              </w:num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lang w:val="en-US" w:eastAsia="zh-CN"/>
              </w:rPr>
              <w:t>产品通过总参第56所安全测试（内外网接入平台攻防测试）</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提供相应测试报告证明文件并加盖原厂公章</w:t>
            </w:r>
            <w:r>
              <w:rPr>
                <w:rFonts w:hint="eastAsia" w:ascii="宋体" w:hAnsi="宋体" w:cs="宋体"/>
                <w:color w:val="000000"/>
                <w:sz w:val="21"/>
                <w:szCs w:val="21"/>
                <w:lang w:val="en-US" w:eastAsia="zh-CN"/>
              </w:rPr>
              <w:t>）</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widowControl/>
              <w:spacing w:line="36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安全隔离与单向传输系统</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单向光闸</w:t>
            </w:r>
            <w:r>
              <w:rPr>
                <w:rFonts w:hint="eastAsia" w:ascii="宋体" w:hAnsi="宋体" w:cs="宋体"/>
                <w:color w:val="000000"/>
                <w:kern w:val="0"/>
                <w:sz w:val="21"/>
                <w:szCs w:val="21"/>
                <w:lang w:eastAsia="zh-CN"/>
              </w:rPr>
              <w:t>）</w:t>
            </w:r>
          </w:p>
        </w:tc>
        <w:tc>
          <w:tcPr>
            <w:tcW w:w="10637" w:type="dxa"/>
            <w:noWrap w:val="0"/>
            <w:vAlign w:val="center"/>
          </w:tcPr>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采用2+1硬件架构，具有两个独立主机，独立主机之间，仅使用单个无源分光器进行单纤连接，不存在反方向的物理通道； </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标准机架式机箱，冗余电源，设备提供液晶面板，内外网硬盘各1T；</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内网接口：不少于6个10M/100M/1000M自适应电口、2个SFP插槽、1个Console口和2个USB口。</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外网接口：不少于6个10M/100M/1000M自适应电口、2个SFP插槽、1个Console口和2个USB口。</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最大传输延时：≤80ms；</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系统吞吐量：≥600Mbps；</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最大支持服务：≥30；</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稳定性运行时间(MTBF)：&gt;50000小时。</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功能要求：</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1.系统要求：内、外网主机系统分别采用冗余双系统启动模式，当A系统运行失败后，能从B系统启动，且A、B系统可互为备份。</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2.主机系统采用具有自主知识产权的安全操作系统平台。</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3.支持基于私有协议的数据单向传输。</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4.支持web（B/S）方式管理，支持HTTPS方式访问，管理界面采用证书和用户名与密码双因子进行认证。</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5.具有系统状态监测功能，支持网络状态监测功能。系统状态分为红、黄、绿三级，系统实时进行状态监测与结果展示，根据不同颜色来反映当前系统的状态。</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其他</w:t>
            </w:r>
            <w:r>
              <w:rPr>
                <w:rFonts w:hint="eastAsia" w:ascii="宋体" w:hAnsi="宋体" w:eastAsia="宋体" w:cs="宋体"/>
                <w:color w:val="000000"/>
                <w:kern w:val="0"/>
                <w:sz w:val="21"/>
                <w:szCs w:val="21"/>
              </w:rPr>
              <w:t>要求：</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★入围公安部网安局单向导入设备（光闸）产品目录，具有公安部信息安全产品检测中心检验报告（公安部网络安全保卫局委托检验）。（提供权威检测报告扫描件并加盖原厂公章）</w:t>
            </w:r>
          </w:p>
          <w:p>
            <w:pPr>
              <w:widowControl/>
              <w:spacing w:line="360" w:lineRule="auto"/>
              <w:ind w:firstLine="0" w:firstLineChars="0"/>
              <w:rPr>
                <w:rFonts w:hint="eastAsia"/>
                <w:color w:val="000000"/>
                <w:sz w:val="21"/>
                <w:szCs w:val="21"/>
                <w:lang w:val="en-US" w:eastAsia="zh-CN"/>
              </w:rPr>
            </w:pPr>
            <w:r>
              <w:rPr>
                <w:rFonts w:hint="eastAsia" w:ascii="宋体" w:hAnsi="宋体" w:eastAsia="宋体" w:cs="宋体"/>
                <w:color w:val="000000"/>
                <w:kern w:val="0"/>
                <w:sz w:val="21"/>
                <w:szCs w:val="21"/>
              </w:rPr>
              <w:t>★入围国安单向导入设备（光闸）产品目录。（提供证明材料，并加盖原厂公章）</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widowControl/>
              <w:spacing w:line="360" w:lineRule="auto"/>
              <w:ind w:firstLine="0" w:firstLineChars="0"/>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交换机</w:t>
            </w:r>
          </w:p>
        </w:tc>
        <w:tc>
          <w:tcPr>
            <w:tcW w:w="10637" w:type="dxa"/>
            <w:noWrap w:val="0"/>
            <w:vAlign w:val="center"/>
          </w:tcPr>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(24个10/100/1000BASE-T以太网端口,4个万兆SFP+)</w:t>
            </w:r>
          </w:p>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交换容量336Gbps/3.36Tbps，包转发率108/126Mpps,支持双电源，自带1个60W交流电源.</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722" w:type="dxa"/>
            <w:vMerge w:val="continue"/>
            <w:noWrap w:val="0"/>
            <w:vAlign w:val="center"/>
          </w:tcPr>
          <w:p>
            <w:pPr>
              <w:spacing w:line="360" w:lineRule="auto"/>
              <w:jc w:val="center"/>
              <w:rPr>
                <w:rFonts w:hint="eastAsia" w:ascii="宋体" w:hAnsi="宋体" w:cs="宋体"/>
                <w:b w:val="0"/>
                <w:bCs/>
                <w:color w:val="000000"/>
                <w:sz w:val="21"/>
                <w:szCs w:val="21"/>
                <w:vertAlign w:val="baseline"/>
                <w:lang w:val="en-US" w:eastAsia="zh-CN"/>
              </w:rPr>
            </w:pPr>
          </w:p>
        </w:tc>
        <w:tc>
          <w:tcPr>
            <w:tcW w:w="958" w:type="dxa"/>
            <w:vMerge w:val="continue"/>
            <w:noWrap w:val="0"/>
            <w:vAlign w:val="center"/>
          </w:tcPr>
          <w:p>
            <w:pPr>
              <w:spacing w:line="360" w:lineRule="auto"/>
              <w:jc w:val="center"/>
              <w:rPr>
                <w:rFonts w:hint="eastAsia" w:ascii="宋体" w:hAnsi="宋体" w:eastAsia="宋体" w:cs="宋体"/>
                <w:b w:val="0"/>
                <w:bCs/>
                <w:color w:val="000000"/>
                <w:sz w:val="21"/>
                <w:szCs w:val="21"/>
                <w:vertAlign w:val="baseline"/>
              </w:rPr>
            </w:pPr>
          </w:p>
        </w:tc>
        <w:tc>
          <w:tcPr>
            <w:tcW w:w="1087" w:type="dxa"/>
            <w:noWrap w:val="0"/>
            <w:vAlign w:val="center"/>
          </w:tcPr>
          <w:p>
            <w:pPr>
              <w:widowControl/>
              <w:spacing w:line="36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防火墙</w:t>
            </w:r>
          </w:p>
        </w:tc>
        <w:tc>
          <w:tcPr>
            <w:tcW w:w="10637" w:type="dxa"/>
            <w:noWrap w:val="0"/>
            <w:vAlign w:val="center"/>
          </w:tcPr>
          <w:p>
            <w:pPr>
              <w:widowControl/>
              <w:spacing w:line="36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标准1U设备，单电源；标准配置6个10/100M/1000M自适应千兆电接口及1个接口扩展槽位；默认支持下一代防火墙访问控制、入侵防御、网络防病毒、上网行为及URL分类管理、流控和IPSec VPN模块。最大吞吐量≥4Gbps，含入侵防御模块。</w:t>
            </w:r>
          </w:p>
          <w:p>
            <w:pPr>
              <w:widowControl/>
              <w:spacing w:line="360" w:lineRule="auto"/>
              <w:ind w:firstLine="0"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三年硬件质保、软件升级、7×24小时技术支持服务。</w:t>
            </w:r>
          </w:p>
        </w:tc>
        <w:tc>
          <w:tcPr>
            <w:tcW w:w="639"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75C2"/>
    <w:multiLevelType w:val="singleLevel"/>
    <w:tmpl w:val="1ABB75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YzEyMTgyN2ZkMWI1ZjEyNzQ3MDBkYTM1ZGZjZWQifQ=="/>
  </w:docVars>
  <w:rsids>
    <w:rsidRoot w:val="49DA3B2D"/>
    <w:rsid w:val="49DA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basedOn w:val="1"/>
    <w:next w:val="3"/>
    <w:qFormat/>
    <w:uiPriority w:val="1"/>
    <w:pPr>
      <w:spacing w:line="400" w:lineRule="exact"/>
    </w:pPr>
  </w:style>
  <w:style w:type="paragraph" w:styleId="3">
    <w:name w:val="caption"/>
    <w:basedOn w:val="1"/>
    <w:next w:val="1"/>
    <w:qFormat/>
    <w:uiPriority w:val="0"/>
    <w:rPr>
      <w:rFonts w:ascii="Cambria" w:hAnsi="Cambria" w:eastAsia="黑体"/>
      <w:sz w:val="20"/>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2023-07-05T05:41:00Z</dcterms:created>
  <dc:creator>樱花粟</dc:creator>
  <cp:lastModifiedBy>樱花粟</cp:lastModifiedBy>
  <dcterms:modified xsi:type="dcterms:W3CDTF">2023-07-05T05:43:09Z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2C3A1E5167F943BBBF28F0CF9792BC62_11</vt:lpwstr>
  </property>
</Properties>
</file>