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A9C92">
      <w:pPr>
        <w:pStyle w:val="2"/>
        <w:pageBreakBefore w:val="0"/>
        <w:numPr>
          <w:ilvl w:val="0"/>
          <w:numId w:val="0"/>
        </w:numPr>
        <w:kinsoku/>
        <w:overflowPunct/>
        <w:bidi w:val="0"/>
        <w:spacing w:line="360" w:lineRule="auto"/>
        <w:jc w:val="center"/>
        <w:rPr>
          <w:rFonts w:hint="eastAsia" w:ascii="宋体" w:hAnsi="宋体" w:eastAsia="宋体" w:cs="宋体"/>
          <w:b/>
          <w:color w:val="000000"/>
          <w:sz w:val="32"/>
          <w:szCs w:val="32"/>
          <w:highlight w:val="none"/>
          <w:lang w:eastAsia="zh-CN"/>
        </w:rPr>
      </w:pPr>
      <w:bookmarkStart w:id="0" w:name="_Toc26177"/>
      <w:r>
        <w:rPr>
          <w:rFonts w:hint="eastAsia" w:ascii="宋体" w:hAnsi="宋体" w:cs="宋体"/>
          <w:b/>
          <w:color w:val="000000"/>
          <w:sz w:val="32"/>
          <w:szCs w:val="32"/>
          <w:highlight w:val="none"/>
          <w:lang w:eastAsia="zh-CN"/>
        </w:rPr>
        <w:t>采购需求</w:t>
      </w:r>
      <w:bookmarkEnd w:id="0"/>
    </w:p>
    <w:p w14:paraId="495B41A1">
      <w:pPr>
        <w:spacing w:line="360" w:lineRule="auto"/>
        <w:ind w:firstLine="420"/>
        <w:rPr>
          <w:rFonts w:hint="eastAsia" w:ascii="宋体" w:hAnsi="宋体" w:cs="宋体"/>
          <w:sz w:val="21"/>
          <w:szCs w:val="21"/>
          <w:highlight w:val="none"/>
        </w:rPr>
      </w:pPr>
      <w:r>
        <w:rPr>
          <w:rFonts w:hint="eastAsia" w:ascii="宋体" w:hAnsi="宋体" w:cs="宋体"/>
          <w:sz w:val="21"/>
          <w:szCs w:val="21"/>
          <w:highlight w:val="none"/>
        </w:rPr>
        <w:t>本次项目建设包括软硬件建设，将建设成可支撑财会课程开展的实训中心，预计可同时满足70个工位进行教学实训等。</w:t>
      </w:r>
    </w:p>
    <w:p w14:paraId="6F137BC3">
      <w:pPr>
        <w:spacing w:line="360" w:lineRule="auto"/>
        <w:ind w:firstLine="420"/>
        <w:rPr>
          <w:rFonts w:hint="eastAsia" w:ascii="宋体" w:hAnsi="宋体" w:cs="宋体"/>
          <w:sz w:val="21"/>
          <w:szCs w:val="21"/>
          <w:highlight w:val="none"/>
        </w:rPr>
      </w:pPr>
      <w:r>
        <w:rPr>
          <w:rFonts w:hint="eastAsia" w:ascii="宋体" w:hAnsi="宋体" w:cs="宋体"/>
          <w:sz w:val="21"/>
          <w:szCs w:val="21"/>
          <w:highlight w:val="none"/>
        </w:rPr>
        <w:t>（一）硬件建设</w:t>
      </w:r>
    </w:p>
    <w:p w14:paraId="6BB33891">
      <w:pPr>
        <w:spacing w:line="360" w:lineRule="auto"/>
        <w:ind w:firstLine="420"/>
        <w:rPr>
          <w:rFonts w:hint="eastAsia" w:ascii="宋体" w:hAnsi="宋体" w:cs="宋体"/>
          <w:sz w:val="21"/>
          <w:szCs w:val="21"/>
          <w:highlight w:val="none"/>
        </w:rPr>
      </w:pPr>
      <w:r>
        <w:rPr>
          <w:rFonts w:hint="eastAsia" w:ascii="宋体" w:hAnsi="宋体" w:cs="宋体"/>
          <w:sz w:val="21"/>
          <w:szCs w:val="21"/>
          <w:highlight w:val="none"/>
        </w:rPr>
        <w:t>根据数智化财务“学练训赛”综合实训中心建设项目，拟在现有电算化会计实训室基础上进行升级，建设1个约100㎡，可以满足70人同时操作，配套实训教学平台，以保证实训教学工作有效开展。</w:t>
      </w:r>
    </w:p>
    <w:p w14:paraId="26D965DA">
      <w:pPr>
        <w:spacing w:line="360" w:lineRule="auto"/>
        <w:ind w:firstLine="420"/>
        <w:rPr>
          <w:rFonts w:hint="eastAsia" w:ascii="宋体" w:hAnsi="宋体" w:cs="宋体"/>
          <w:sz w:val="21"/>
          <w:szCs w:val="21"/>
          <w:highlight w:val="none"/>
        </w:rPr>
      </w:pPr>
      <w:r>
        <w:rPr>
          <w:rFonts w:hint="eastAsia" w:ascii="宋体" w:hAnsi="宋体" w:cs="宋体"/>
          <w:sz w:val="21"/>
          <w:szCs w:val="21"/>
          <w:highlight w:val="none"/>
        </w:rPr>
        <w:t>（二）软件建设</w:t>
      </w:r>
    </w:p>
    <w:p w14:paraId="47521563">
      <w:pPr>
        <w:spacing w:line="360" w:lineRule="auto"/>
        <w:ind w:firstLine="420"/>
        <w:rPr>
          <w:rFonts w:hint="eastAsia" w:ascii="宋体" w:hAnsi="宋体" w:cs="宋体"/>
          <w:sz w:val="21"/>
          <w:szCs w:val="21"/>
          <w:highlight w:val="none"/>
        </w:rPr>
      </w:pPr>
      <w:r>
        <w:rPr>
          <w:rFonts w:hint="eastAsia" w:ascii="宋体" w:hAnsi="宋体" w:cs="宋体"/>
          <w:sz w:val="21"/>
          <w:szCs w:val="21"/>
          <w:highlight w:val="none"/>
        </w:rPr>
        <w:t>数智化财务“学练训赛”综合实训中心建设项目根据专业人才培养方案进行规划，配套实训设备，满足大数据与会计专业学生教学、竞赛、实训需求，优化了专业实训条件，缩短了学生与岗位之间的距离，提升学生就业竞争力。</w:t>
      </w:r>
    </w:p>
    <w:p w14:paraId="597A9728">
      <w:pPr>
        <w:numPr>
          <w:ilvl w:val="0"/>
          <w:numId w:val="1"/>
        </w:numPr>
        <w:spacing w:line="360" w:lineRule="auto"/>
        <w:rPr>
          <w:rFonts w:hint="eastAsia" w:ascii="黑体" w:eastAsia="黑体"/>
          <w:b/>
          <w:bCs/>
          <w:sz w:val="21"/>
          <w:szCs w:val="21"/>
          <w:highlight w:val="none"/>
        </w:rPr>
      </w:pPr>
      <w:r>
        <w:rPr>
          <w:rFonts w:hint="eastAsia" w:ascii="黑体" w:eastAsia="黑体"/>
          <w:b/>
          <w:bCs/>
          <w:sz w:val="21"/>
          <w:szCs w:val="21"/>
          <w:highlight w:val="none"/>
        </w:rPr>
        <w:t>产品清单</w:t>
      </w:r>
    </w:p>
    <w:tbl>
      <w:tblPr>
        <w:tblStyle w:val="5"/>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780"/>
        <w:gridCol w:w="2413"/>
        <w:gridCol w:w="1863"/>
      </w:tblGrid>
      <w:tr w14:paraId="4D9B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7F61234B">
            <w:pPr>
              <w:widowControl/>
              <w:spacing w:line="360" w:lineRule="auto"/>
              <w:jc w:val="center"/>
              <w:textAlignment w:val="center"/>
              <w:rPr>
                <w:rFonts w:hint="eastAsia" w:ascii="宋体" w:hAnsi="宋体" w:eastAsia="宋体" w:cs="宋体"/>
                <w:b w:val="0"/>
                <w:bCs/>
                <w:i w:val="0"/>
                <w:iCs w:val="0"/>
                <w:sz w:val="21"/>
                <w:szCs w:val="21"/>
                <w:highlight w:val="none"/>
              </w:rPr>
            </w:pPr>
            <w:r>
              <w:rPr>
                <w:rFonts w:hint="eastAsia" w:ascii="宋体" w:hAnsi="宋体" w:eastAsia="宋体" w:cs="宋体"/>
                <w:b/>
                <w:bCs/>
                <w:kern w:val="0"/>
                <w:sz w:val="21"/>
                <w:szCs w:val="21"/>
                <w:highlight w:val="none"/>
              </w:rPr>
              <w:t>序号</w:t>
            </w:r>
          </w:p>
        </w:tc>
        <w:tc>
          <w:tcPr>
            <w:tcW w:w="2780" w:type="dxa"/>
            <w:noWrap w:val="0"/>
            <w:vAlign w:val="center"/>
          </w:tcPr>
          <w:p w14:paraId="5D131893">
            <w:pPr>
              <w:widowControl/>
              <w:spacing w:line="360" w:lineRule="auto"/>
              <w:jc w:val="center"/>
              <w:textAlignment w:val="center"/>
              <w:rPr>
                <w:rFonts w:hint="eastAsia" w:ascii="宋体" w:hAnsi="宋体" w:eastAsia="宋体" w:cs="宋体"/>
                <w:b w:val="0"/>
                <w:bCs/>
                <w:i w:val="0"/>
                <w:iCs w:val="0"/>
                <w:sz w:val="21"/>
                <w:szCs w:val="21"/>
                <w:highlight w:val="none"/>
              </w:rPr>
            </w:pPr>
            <w:r>
              <w:rPr>
                <w:rFonts w:hint="eastAsia" w:ascii="宋体" w:hAnsi="宋体" w:eastAsia="宋体" w:cs="宋体"/>
                <w:b/>
                <w:bCs/>
                <w:kern w:val="0"/>
                <w:sz w:val="21"/>
                <w:szCs w:val="21"/>
                <w:highlight w:val="none"/>
              </w:rPr>
              <w:t>采购商品名称</w:t>
            </w:r>
          </w:p>
        </w:tc>
        <w:tc>
          <w:tcPr>
            <w:tcW w:w="2413" w:type="dxa"/>
            <w:noWrap w:val="0"/>
            <w:vAlign w:val="center"/>
          </w:tcPr>
          <w:p w14:paraId="6951DDE8">
            <w:pPr>
              <w:widowControl/>
              <w:spacing w:line="360" w:lineRule="auto"/>
              <w:jc w:val="center"/>
              <w:textAlignment w:val="center"/>
              <w:rPr>
                <w:rFonts w:hint="eastAsia" w:ascii="宋体" w:hAnsi="宋体" w:eastAsia="宋体" w:cs="宋体"/>
                <w:b w:val="0"/>
                <w:bCs/>
                <w:i w:val="0"/>
                <w:iCs w:val="0"/>
                <w:sz w:val="21"/>
                <w:szCs w:val="21"/>
                <w:highlight w:val="none"/>
              </w:rPr>
            </w:pPr>
            <w:r>
              <w:rPr>
                <w:rFonts w:hint="eastAsia" w:ascii="宋体" w:hAnsi="宋体" w:eastAsia="宋体" w:cs="宋体"/>
                <w:b/>
                <w:bCs/>
                <w:kern w:val="0"/>
                <w:sz w:val="21"/>
                <w:szCs w:val="21"/>
                <w:highlight w:val="none"/>
              </w:rPr>
              <w:t>单位</w:t>
            </w:r>
          </w:p>
        </w:tc>
        <w:tc>
          <w:tcPr>
            <w:tcW w:w="1863" w:type="dxa"/>
            <w:noWrap w:val="0"/>
            <w:vAlign w:val="center"/>
          </w:tcPr>
          <w:p w14:paraId="196400F2">
            <w:pPr>
              <w:widowControl/>
              <w:spacing w:line="360" w:lineRule="auto"/>
              <w:jc w:val="center"/>
              <w:textAlignment w:val="center"/>
              <w:rPr>
                <w:rFonts w:hint="eastAsia" w:ascii="宋体" w:hAnsi="宋体" w:eastAsia="宋体" w:cs="宋体"/>
                <w:b w:val="0"/>
                <w:bCs/>
                <w:i w:val="0"/>
                <w:iCs w:val="0"/>
                <w:sz w:val="21"/>
                <w:szCs w:val="21"/>
                <w:highlight w:val="none"/>
              </w:rPr>
            </w:pPr>
            <w:r>
              <w:rPr>
                <w:rFonts w:hint="eastAsia" w:ascii="宋体" w:hAnsi="宋体" w:eastAsia="宋体" w:cs="宋体"/>
                <w:b/>
                <w:bCs/>
                <w:kern w:val="0"/>
                <w:sz w:val="21"/>
                <w:szCs w:val="21"/>
                <w:highlight w:val="none"/>
              </w:rPr>
              <w:t>数量</w:t>
            </w:r>
          </w:p>
        </w:tc>
      </w:tr>
      <w:tr w14:paraId="623E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1482" w:type="dxa"/>
            <w:noWrap w:val="0"/>
            <w:vAlign w:val="center"/>
          </w:tcPr>
          <w:p w14:paraId="21E2BA66">
            <w:pPr>
              <w:adjustRightInd w:val="0"/>
              <w:snapToGrid w:val="0"/>
              <w:spacing w:line="360" w:lineRule="auto"/>
              <w:jc w:val="center"/>
              <w:rPr>
                <w:rFonts w:hint="eastAsia"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1</w:t>
            </w:r>
          </w:p>
        </w:tc>
        <w:tc>
          <w:tcPr>
            <w:tcW w:w="2780" w:type="dxa"/>
            <w:noWrap w:val="0"/>
            <w:vAlign w:val="center"/>
          </w:tcPr>
          <w:p w14:paraId="60C43150">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color w:val="000000"/>
                <w:kern w:val="0"/>
                <w:sz w:val="21"/>
                <w:szCs w:val="21"/>
                <w:highlight w:val="none"/>
                <w:lang w:val="en-US" w:eastAsia="zh-CN"/>
              </w:rPr>
              <w:t>财务数字化训赛平台及资源包</w:t>
            </w:r>
          </w:p>
        </w:tc>
        <w:tc>
          <w:tcPr>
            <w:tcW w:w="2413" w:type="dxa"/>
            <w:noWrap w:val="0"/>
            <w:vAlign w:val="center"/>
          </w:tcPr>
          <w:p w14:paraId="149F5EAD">
            <w:pPr>
              <w:widowControl/>
              <w:spacing w:line="360" w:lineRule="auto"/>
              <w:jc w:val="center"/>
              <w:textAlignment w:val="center"/>
              <w:rPr>
                <w:rFonts w:hint="default"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套</w:t>
            </w:r>
          </w:p>
        </w:tc>
        <w:tc>
          <w:tcPr>
            <w:tcW w:w="1863" w:type="dxa"/>
            <w:noWrap w:val="0"/>
            <w:vAlign w:val="center"/>
          </w:tcPr>
          <w:p w14:paraId="7590F220">
            <w:pPr>
              <w:widowControl/>
              <w:spacing w:line="360" w:lineRule="auto"/>
              <w:jc w:val="center"/>
              <w:textAlignment w:val="center"/>
              <w:rPr>
                <w:rFonts w:hint="default"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1</w:t>
            </w:r>
          </w:p>
        </w:tc>
      </w:tr>
      <w:tr w14:paraId="2F8B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6FB40A64">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2</w:t>
            </w:r>
          </w:p>
        </w:tc>
        <w:tc>
          <w:tcPr>
            <w:tcW w:w="2780" w:type="dxa"/>
            <w:noWrap w:val="0"/>
            <w:vAlign w:val="center"/>
          </w:tcPr>
          <w:p w14:paraId="3BA4C227">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rPr>
              <w:t>企业数字化系统</w:t>
            </w:r>
          </w:p>
        </w:tc>
        <w:tc>
          <w:tcPr>
            <w:tcW w:w="2413" w:type="dxa"/>
            <w:noWrap w:val="0"/>
            <w:vAlign w:val="center"/>
          </w:tcPr>
          <w:p w14:paraId="18C49321">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套</w:t>
            </w:r>
          </w:p>
        </w:tc>
        <w:tc>
          <w:tcPr>
            <w:tcW w:w="1863" w:type="dxa"/>
            <w:noWrap w:val="0"/>
            <w:vAlign w:val="center"/>
          </w:tcPr>
          <w:p w14:paraId="5303C592">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1</w:t>
            </w:r>
          </w:p>
        </w:tc>
      </w:tr>
      <w:tr w14:paraId="6023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82" w:type="dxa"/>
            <w:noWrap w:val="0"/>
            <w:vAlign w:val="center"/>
          </w:tcPr>
          <w:p w14:paraId="4BDA880D">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3</w:t>
            </w:r>
          </w:p>
        </w:tc>
        <w:tc>
          <w:tcPr>
            <w:tcW w:w="2780" w:type="dxa"/>
            <w:noWrap w:val="0"/>
            <w:vAlign w:val="center"/>
          </w:tcPr>
          <w:p w14:paraId="53BE16B4">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lang w:val="en-US" w:eastAsia="zh-CN"/>
              </w:rPr>
              <w:t>智慧化财务</w:t>
            </w:r>
            <w:r>
              <w:rPr>
                <w:rFonts w:hint="eastAsia" w:ascii="宋体" w:hAnsi="宋体" w:eastAsia="宋体" w:cs="宋体"/>
                <w:sz w:val="21"/>
                <w:szCs w:val="21"/>
                <w:highlight w:val="none"/>
              </w:rPr>
              <w:t>实验实训平台</w:t>
            </w:r>
          </w:p>
        </w:tc>
        <w:tc>
          <w:tcPr>
            <w:tcW w:w="2413" w:type="dxa"/>
            <w:noWrap w:val="0"/>
            <w:vAlign w:val="center"/>
          </w:tcPr>
          <w:p w14:paraId="1E2BE8CE">
            <w:pPr>
              <w:widowControl/>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套</w:t>
            </w:r>
          </w:p>
        </w:tc>
        <w:tc>
          <w:tcPr>
            <w:tcW w:w="1863" w:type="dxa"/>
            <w:noWrap w:val="0"/>
            <w:vAlign w:val="center"/>
          </w:tcPr>
          <w:p w14:paraId="09178690">
            <w:pPr>
              <w:widowControl/>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p>
        </w:tc>
      </w:tr>
      <w:tr w14:paraId="1DFB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482" w:type="dxa"/>
            <w:noWrap w:val="0"/>
            <w:vAlign w:val="center"/>
          </w:tcPr>
          <w:p w14:paraId="59D87FA4">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4</w:t>
            </w:r>
          </w:p>
        </w:tc>
        <w:tc>
          <w:tcPr>
            <w:tcW w:w="2780" w:type="dxa"/>
            <w:noWrap w:val="0"/>
            <w:vAlign w:val="center"/>
          </w:tcPr>
          <w:p w14:paraId="4C372C72">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bCs/>
                <w:kern w:val="0"/>
                <w:sz w:val="21"/>
                <w:szCs w:val="21"/>
                <w:highlight w:val="none"/>
                <w:lang w:val="en-US" w:eastAsia="zh-CN" w:bidi="en-US"/>
              </w:rPr>
              <w:t>财会职业能力养成平台</w:t>
            </w:r>
          </w:p>
        </w:tc>
        <w:tc>
          <w:tcPr>
            <w:tcW w:w="2413" w:type="dxa"/>
            <w:noWrap w:val="0"/>
            <w:vAlign w:val="center"/>
          </w:tcPr>
          <w:p w14:paraId="33C9694C">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套</w:t>
            </w:r>
          </w:p>
        </w:tc>
        <w:tc>
          <w:tcPr>
            <w:tcW w:w="1863" w:type="dxa"/>
            <w:noWrap w:val="0"/>
            <w:vAlign w:val="center"/>
          </w:tcPr>
          <w:p w14:paraId="5ABD896A">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1</w:t>
            </w:r>
          </w:p>
        </w:tc>
      </w:tr>
      <w:tr w14:paraId="1700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517FAC25">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5</w:t>
            </w:r>
          </w:p>
        </w:tc>
        <w:tc>
          <w:tcPr>
            <w:tcW w:w="2780" w:type="dxa"/>
            <w:noWrap w:val="0"/>
            <w:vAlign w:val="center"/>
          </w:tcPr>
          <w:p w14:paraId="16917B5A">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rPr>
              <w:t>学生实训终端</w:t>
            </w:r>
          </w:p>
        </w:tc>
        <w:tc>
          <w:tcPr>
            <w:tcW w:w="2413" w:type="dxa"/>
            <w:noWrap w:val="0"/>
            <w:vAlign w:val="center"/>
          </w:tcPr>
          <w:p w14:paraId="3B9FF49B">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台</w:t>
            </w:r>
          </w:p>
        </w:tc>
        <w:tc>
          <w:tcPr>
            <w:tcW w:w="1863" w:type="dxa"/>
            <w:noWrap w:val="0"/>
            <w:vAlign w:val="center"/>
          </w:tcPr>
          <w:p w14:paraId="57E9431B">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0</w:t>
            </w:r>
          </w:p>
        </w:tc>
      </w:tr>
      <w:tr w14:paraId="750C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5956D4EE">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6</w:t>
            </w:r>
          </w:p>
        </w:tc>
        <w:tc>
          <w:tcPr>
            <w:tcW w:w="2780" w:type="dxa"/>
            <w:noWrap w:val="0"/>
            <w:vAlign w:val="center"/>
          </w:tcPr>
          <w:p w14:paraId="70F2F6FC">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lang w:val="en-US" w:eastAsia="zh-CN"/>
              </w:rPr>
              <w:t>教师实训终端</w:t>
            </w:r>
          </w:p>
        </w:tc>
        <w:tc>
          <w:tcPr>
            <w:tcW w:w="2413" w:type="dxa"/>
            <w:noWrap w:val="0"/>
            <w:vAlign w:val="center"/>
          </w:tcPr>
          <w:p w14:paraId="0698BF65">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台</w:t>
            </w:r>
          </w:p>
        </w:tc>
        <w:tc>
          <w:tcPr>
            <w:tcW w:w="1863" w:type="dxa"/>
            <w:noWrap w:val="0"/>
            <w:vAlign w:val="center"/>
          </w:tcPr>
          <w:p w14:paraId="4528E53E">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1</w:t>
            </w:r>
          </w:p>
        </w:tc>
      </w:tr>
      <w:tr w14:paraId="78A9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62B4C541">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7</w:t>
            </w:r>
          </w:p>
        </w:tc>
        <w:tc>
          <w:tcPr>
            <w:tcW w:w="2780" w:type="dxa"/>
            <w:noWrap w:val="0"/>
            <w:vAlign w:val="center"/>
          </w:tcPr>
          <w:p w14:paraId="4CE84AC1">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rPr>
              <w:t>云桌面管理系统</w:t>
            </w:r>
          </w:p>
        </w:tc>
        <w:tc>
          <w:tcPr>
            <w:tcW w:w="2413" w:type="dxa"/>
            <w:noWrap w:val="0"/>
            <w:vAlign w:val="center"/>
          </w:tcPr>
          <w:p w14:paraId="5493A840">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套</w:t>
            </w:r>
          </w:p>
        </w:tc>
        <w:tc>
          <w:tcPr>
            <w:tcW w:w="1863" w:type="dxa"/>
            <w:noWrap w:val="0"/>
            <w:vAlign w:val="center"/>
          </w:tcPr>
          <w:p w14:paraId="4BCC1ED9">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1</w:t>
            </w:r>
          </w:p>
        </w:tc>
      </w:tr>
      <w:tr w14:paraId="4C3C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7754F558">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8</w:t>
            </w:r>
          </w:p>
        </w:tc>
        <w:tc>
          <w:tcPr>
            <w:tcW w:w="2780" w:type="dxa"/>
            <w:noWrap w:val="0"/>
            <w:vAlign w:val="center"/>
          </w:tcPr>
          <w:p w14:paraId="712772F9">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rPr>
              <w:t>一体化光能板</w:t>
            </w:r>
          </w:p>
        </w:tc>
        <w:tc>
          <w:tcPr>
            <w:tcW w:w="2413" w:type="dxa"/>
            <w:noWrap w:val="0"/>
            <w:vAlign w:val="center"/>
          </w:tcPr>
          <w:p w14:paraId="3460AC83">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台</w:t>
            </w:r>
          </w:p>
        </w:tc>
        <w:tc>
          <w:tcPr>
            <w:tcW w:w="1863" w:type="dxa"/>
            <w:noWrap w:val="0"/>
            <w:vAlign w:val="center"/>
          </w:tcPr>
          <w:p w14:paraId="36909CF3">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1</w:t>
            </w:r>
          </w:p>
        </w:tc>
      </w:tr>
      <w:tr w14:paraId="3305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4EC0759D">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9</w:t>
            </w:r>
          </w:p>
        </w:tc>
        <w:tc>
          <w:tcPr>
            <w:tcW w:w="2780" w:type="dxa"/>
            <w:noWrap w:val="0"/>
            <w:vAlign w:val="center"/>
          </w:tcPr>
          <w:p w14:paraId="1184331B">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rPr>
              <w:t>多媒体讲桌</w:t>
            </w:r>
          </w:p>
        </w:tc>
        <w:tc>
          <w:tcPr>
            <w:tcW w:w="2413" w:type="dxa"/>
            <w:noWrap w:val="0"/>
            <w:vAlign w:val="center"/>
          </w:tcPr>
          <w:p w14:paraId="154D9750">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台</w:t>
            </w:r>
          </w:p>
        </w:tc>
        <w:tc>
          <w:tcPr>
            <w:tcW w:w="1863" w:type="dxa"/>
            <w:noWrap w:val="0"/>
            <w:vAlign w:val="center"/>
          </w:tcPr>
          <w:p w14:paraId="4DAD3DAA">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1</w:t>
            </w:r>
          </w:p>
        </w:tc>
      </w:tr>
      <w:tr w14:paraId="151F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7D0105FB">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10</w:t>
            </w:r>
          </w:p>
        </w:tc>
        <w:tc>
          <w:tcPr>
            <w:tcW w:w="2780" w:type="dxa"/>
            <w:noWrap w:val="0"/>
            <w:vAlign w:val="center"/>
          </w:tcPr>
          <w:p w14:paraId="0F57ED3B">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lang w:val="en-US" w:eastAsia="zh-CN"/>
              </w:rPr>
              <w:t>多功能教学软件</w:t>
            </w:r>
          </w:p>
        </w:tc>
        <w:tc>
          <w:tcPr>
            <w:tcW w:w="2413" w:type="dxa"/>
            <w:noWrap w:val="0"/>
            <w:vAlign w:val="center"/>
          </w:tcPr>
          <w:p w14:paraId="7D388BA8">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lang w:val="en-US" w:eastAsia="zh-CN"/>
              </w:rPr>
              <w:t>点</w:t>
            </w:r>
          </w:p>
        </w:tc>
        <w:tc>
          <w:tcPr>
            <w:tcW w:w="1863" w:type="dxa"/>
            <w:noWrap w:val="0"/>
            <w:vAlign w:val="center"/>
          </w:tcPr>
          <w:p w14:paraId="6188813E">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lang w:val="en-US" w:eastAsia="zh-CN"/>
              </w:rPr>
              <w:t>1</w:t>
            </w:r>
          </w:p>
        </w:tc>
      </w:tr>
      <w:tr w14:paraId="3742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137AFDF4">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11</w:t>
            </w:r>
          </w:p>
        </w:tc>
        <w:tc>
          <w:tcPr>
            <w:tcW w:w="2780" w:type="dxa"/>
            <w:noWrap w:val="0"/>
            <w:vAlign w:val="center"/>
          </w:tcPr>
          <w:p w14:paraId="35A3A797">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rPr>
              <w:t>学生桌</w:t>
            </w:r>
            <w:r>
              <w:rPr>
                <w:rFonts w:hint="eastAsia" w:ascii="宋体" w:hAnsi="宋体" w:eastAsia="宋体" w:cs="宋体"/>
                <w:kern w:val="0"/>
                <w:sz w:val="21"/>
                <w:szCs w:val="21"/>
                <w:highlight w:val="none"/>
                <w:lang w:val="en-US" w:eastAsia="zh-CN"/>
              </w:rPr>
              <w:t>子</w:t>
            </w:r>
          </w:p>
        </w:tc>
        <w:tc>
          <w:tcPr>
            <w:tcW w:w="2413" w:type="dxa"/>
            <w:noWrap w:val="0"/>
            <w:vAlign w:val="center"/>
          </w:tcPr>
          <w:p w14:paraId="76D351E7">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lang w:val="en-US" w:eastAsia="zh-CN"/>
              </w:rPr>
              <w:t>张</w:t>
            </w:r>
          </w:p>
        </w:tc>
        <w:tc>
          <w:tcPr>
            <w:tcW w:w="1863" w:type="dxa"/>
            <w:noWrap w:val="0"/>
            <w:vAlign w:val="center"/>
          </w:tcPr>
          <w:p w14:paraId="54BDCB10">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w:t>
            </w:r>
          </w:p>
        </w:tc>
      </w:tr>
      <w:tr w14:paraId="0394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145E3A95">
            <w:pPr>
              <w:adjustRightInd w:val="0"/>
              <w:snapToGrid w:val="0"/>
              <w:spacing w:line="360" w:lineRule="auto"/>
              <w:jc w:val="center"/>
              <w:rPr>
                <w:rFonts w:hint="eastAsia"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12</w:t>
            </w:r>
          </w:p>
        </w:tc>
        <w:tc>
          <w:tcPr>
            <w:tcW w:w="2780" w:type="dxa"/>
            <w:noWrap w:val="0"/>
            <w:vAlign w:val="center"/>
          </w:tcPr>
          <w:p w14:paraId="4B8FA9D0">
            <w:pPr>
              <w:widowControl/>
              <w:spacing w:line="360" w:lineRule="auto"/>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学生椅</w:t>
            </w:r>
            <w:r>
              <w:rPr>
                <w:rFonts w:hint="eastAsia" w:ascii="宋体" w:hAnsi="宋体" w:eastAsia="宋体" w:cs="宋体"/>
                <w:kern w:val="0"/>
                <w:sz w:val="21"/>
                <w:szCs w:val="21"/>
                <w:highlight w:val="none"/>
                <w:lang w:val="en-US" w:eastAsia="zh-CN"/>
              </w:rPr>
              <w:t>子</w:t>
            </w:r>
          </w:p>
        </w:tc>
        <w:tc>
          <w:tcPr>
            <w:tcW w:w="2413" w:type="dxa"/>
            <w:noWrap w:val="0"/>
            <w:vAlign w:val="center"/>
          </w:tcPr>
          <w:p w14:paraId="758F01D8">
            <w:pPr>
              <w:widowControl/>
              <w:spacing w:line="360" w:lineRule="auto"/>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把</w:t>
            </w:r>
          </w:p>
        </w:tc>
        <w:tc>
          <w:tcPr>
            <w:tcW w:w="1863" w:type="dxa"/>
            <w:noWrap w:val="0"/>
            <w:vAlign w:val="center"/>
          </w:tcPr>
          <w:p w14:paraId="321B3CA3">
            <w:pPr>
              <w:widowControl/>
              <w:spacing w:line="360" w:lineRule="auto"/>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70</w:t>
            </w:r>
          </w:p>
        </w:tc>
      </w:tr>
      <w:tr w14:paraId="225E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7A844C45">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13</w:t>
            </w:r>
          </w:p>
        </w:tc>
        <w:tc>
          <w:tcPr>
            <w:tcW w:w="2780" w:type="dxa"/>
            <w:noWrap w:val="0"/>
            <w:vAlign w:val="center"/>
          </w:tcPr>
          <w:p w14:paraId="3CB16B81">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rPr>
              <w:t>千兆网络交换机</w:t>
            </w:r>
          </w:p>
        </w:tc>
        <w:tc>
          <w:tcPr>
            <w:tcW w:w="2413" w:type="dxa"/>
            <w:noWrap w:val="0"/>
            <w:vAlign w:val="center"/>
          </w:tcPr>
          <w:p w14:paraId="2D5302E2">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台</w:t>
            </w:r>
          </w:p>
        </w:tc>
        <w:tc>
          <w:tcPr>
            <w:tcW w:w="1863" w:type="dxa"/>
            <w:noWrap w:val="0"/>
            <w:vAlign w:val="center"/>
          </w:tcPr>
          <w:p w14:paraId="387264FC">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2</w:t>
            </w:r>
          </w:p>
        </w:tc>
      </w:tr>
      <w:tr w14:paraId="6590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45399A9C">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14</w:t>
            </w:r>
          </w:p>
        </w:tc>
        <w:tc>
          <w:tcPr>
            <w:tcW w:w="2780" w:type="dxa"/>
            <w:noWrap w:val="0"/>
            <w:vAlign w:val="center"/>
          </w:tcPr>
          <w:p w14:paraId="03B671B5">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rPr>
              <w:t>服务器</w:t>
            </w:r>
          </w:p>
        </w:tc>
        <w:tc>
          <w:tcPr>
            <w:tcW w:w="2413" w:type="dxa"/>
            <w:noWrap w:val="0"/>
            <w:vAlign w:val="center"/>
          </w:tcPr>
          <w:p w14:paraId="48F4907A">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台</w:t>
            </w:r>
          </w:p>
        </w:tc>
        <w:tc>
          <w:tcPr>
            <w:tcW w:w="1863" w:type="dxa"/>
            <w:noWrap w:val="0"/>
            <w:vAlign w:val="center"/>
          </w:tcPr>
          <w:p w14:paraId="459CD9CE">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1</w:t>
            </w:r>
          </w:p>
        </w:tc>
      </w:tr>
      <w:tr w14:paraId="7070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3A6C013E">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15</w:t>
            </w:r>
          </w:p>
        </w:tc>
        <w:tc>
          <w:tcPr>
            <w:tcW w:w="2780" w:type="dxa"/>
            <w:noWrap w:val="0"/>
            <w:vAlign w:val="center"/>
          </w:tcPr>
          <w:p w14:paraId="3CF528DA">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lang w:val="en-US" w:eastAsia="zh-CN"/>
              </w:rPr>
              <w:t>屏幕显示器设备</w:t>
            </w:r>
          </w:p>
        </w:tc>
        <w:tc>
          <w:tcPr>
            <w:tcW w:w="2413" w:type="dxa"/>
            <w:noWrap w:val="0"/>
            <w:vAlign w:val="center"/>
          </w:tcPr>
          <w:p w14:paraId="39E898A2">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台</w:t>
            </w:r>
          </w:p>
        </w:tc>
        <w:tc>
          <w:tcPr>
            <w:tcW w:w="1863" w:type="dxa"/>
            <w:noWrap w:val="0"/>
            <w:vAlign w:val="center"/>
          </w:tcPr>
          <w:p w14:paraId="5C83409D">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2</w:t>
            </w:r>
          </w:p>
        </w:tc>
      </w:tr>
      <w:tr w14:paraId="7AE5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6C80FB94">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16</w:t>
            </w:r>
          </w:p>
        </w:tc>
        <w:tc>
          <w:tcPr>
            <w:tcW w:w="2780" w:type="dxa"/>
            <w:noWrap w:val="0"/>
            <w:vAlign w:val="center"/>
          </w:tcPr>
          <w:p w14:paraId="6FB62472">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rPr>
              <w:t>高清摄像机</w:t>
            </w:r>
          </w:p>
        </w:tc>
        <w:tc>
          <w:tcPr>
            <w:tcW w:w="2413" w:type="dxa"/>
            <w:noWrap w:val="0"/>
            <w:vAlign w:val="center"/>
          </w:tcPr>
          <w:p w14:paraId="2712A67D">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个</w:t>
            </w:r>
          </w:p>
        </w:tc>
        <w:tc>
          <w:tcPr>
            <w:tcW w:w="1863" w:type="dxa"/>
            <w:noWrap w:val="0"/>
            <w:vAlign w:val="center"/>
          </w:tcPr>
          <w:p w14:paraId="573F51DB">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1</w:t>
            </w:r>
          </w:p>
        </w:tc>
      </w:tr>
      <w:tr w14:paraId="6D14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06B620C9">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17</w:t>
            </w:r>
          </w:p>
        </w:tc>
        <w:tc>
          <w:tcPr>
            <w:tcW w:w="2780" w:type="dxa"/>
            <w:noWrap w:val="0"/>
            <w:vAlign w:val="center"/>
          </w:tcPr>
          <w:p w14:paraId="6AA2EDC7">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rPr>
              <w:t>音频处理套装</w:t>
            </w:r>
          </w:p>
        </w:tc>
        <w:tc>
          <w:tcPr>
            <w:tcW w:w="2413" w:type="dxa"/>
            <w:noWrap w:val="0"/>
            <w:vAlign w:val="center"/>
          </w:tcPr>
          <w:p w14:paraId="4056C58A">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套</w:t>
            </w:r>
          </w:p>
        </w:tc>
        <w:tc>
          <w:tcPr>
            <w:tcW w:w="1863" w:type="dxa"/>
            <w:noWrap w:val="0"/>
            <w:vAlign w:val="center"/>
          </w:tcPr>
          <w:p w14:paraId="25096F6E">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1</w:t>
            </w:r>
          </w:p>
        </w:tc>
      </w:tr>
      <w:tr w14:paraId="6042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82" w:type="dxa"/>
            <w:noWrap w:val="0"/>
            <w:vAlign w:val="center"/>
          </w:tcPr>
          <w:p w14:paraId="6E17B7B5">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18</w:t>
            </w:r>
          </w:p>
        </w:tc>
        <w:tc>
          <w:tcPr>
            <w:tcW w:w="2780" w:type="dxa"/>
            <w:noWrap w:val="0"/>
            <w:vAlign w:val="center"/>
          </w:tcPr>
          <w:p w14:paraId="7C6DBB45">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rPr>
              <w:t>音响</w:t>
            </w:r>
          </w:p>
        </w:tc>
        <w:tc>
          <w:tcPr>
            <w:tcW w:w="2413" w:type="dxa"/>
            <w:noWrap w:val="0"/>
            <w:vAlign w:val="center"/>
          </w:tcPr>
          <w:p w14:paraId="0CC6EFDE">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lang w:val="en-US" w:eastAsia="zh-CN"/>
              </w:rPr>
              <w:t>套</w:t>
            </w:r>
          </w:p>
        </w:tc>
        <w:tc>
          <w:tcPr>
            <w:tcW w:w="1863" w:type="dxa"/>
            <w:noWrap w:val="0"/>
            <w:vAlign w:val="center"/>
          </w:tcPr>
          <w:p w14:paraId="4BB5064F">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1</w:t>
            </w:r>
          </w:p>
        </w:tc>
      </w:tr>
      <w:tr w14:paraId="40D6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482" w:type="dxa"/>
            <w:noWrap w:val="0"/>
            <w:vAlign w:val="center"/>
          </w:tcPr>
          <w:p w14:paraId="63820A37">
            <w:pPr>
              <w:adjustRightInd w:val="0"/>
              <w:snapToGrid w:val="0"/>
              <w:spacing w:line="360" w:lineRule="auto"/>
              <w:jc w:val="center"/>
              <w:rPr>
                <w:rFonts w:hint="default" w:ascii="宋体" w:hAnsi="宋体" w:eastAsia="宋体" w:cs="宋体"/>
                <w:b w:val="0"/>
                <w:bCs/>
                <w:i w:val="0"/>
                <w:iCs w:val="0"/>
                <w:sz w:val="21"/>
                <w:szCs w:val="21"/>
                <w:highlight w:val="none"/>
                <w:lang w:val="en-US" w:eastAsia="zh-CN"/>
              </w:rPr>
            </w:pPr>
            <w:r>
              <w:rPr>
                <w:rFonts w:hint="eastAsia" w:ascii="宋体" w:hAnsi="宋体" w:eastAsia="宋体" w:cs="宋体"/>
                <w:b w:val="0"/>
                <w:bCs/>
                <w:i w:val="0"/>
                <w:iCs w:val="0"/>
                <w:sz w:val="21"/>
                <w:szCs w:val="21"/>
                <w:highlight w:val="none"/>
                <w:lang w:val="en-US" w:eastAsia="zh-CN"/>
              </w:rPr>
              <w:t>19</w:t>
            </w:r>
          </w:p>
        </w:tc>
        <w:tc>
          <w:tcPr>
            <w:tcW w:w="2780" w:type="dxa"/>
            <w:noWrap w:val="0"/>
            <w:vAlign w:val="center"/>
          </w:tcPr>
          <w:p w14:paraId="2BB206A0">
            <w:pPr>
              <w:widowControl/>
              <w:spacing w:line="360" w:lineRule="auto"/>
              <w:jc w:val="left"/>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kern w:val="0"/>
                <w:sz w:val="21"/>
                <w:szCs w:val="21"/>
                <w:highlight w:val="none"/>
              </w:rPr>
              <w:t>综合布线、墙壁粉刷</w:t>
            </w:r>
          </w:p>
        </w:tc>
        <w:tc>
          <w:tcPr>
            <w:tcW w:w="2413" w:type="dxa"/>
            <w:noWrap w:val="0"/>
            <w:vAlign w:val="center"/>
          </w:tcPr>
          <w:p w14:paraId="106ED079">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批</w:t>
            </w:r>
          </w:p>
        </w:tc>
        <w:tc>
          <w:tcPr>
            <w:tcW w:w="1863" w:type="dxa"/>
            <w:noWrap w:val="0"/>
            <w:vAlign w:val="center"/>
          </w:tcPr>
          <w:p w14:paraId="016C7C75">
            <w:pPr>
              <w:widowControl/>
              <w:spacing w:line="360" w:lineRule="auto"/>
              <w:jc w:val="center"/>
              <w:textAlignment w:val="center"/>
              <w:rPr>
                <w:rFonts w:hint="eastAsia" w:ascii="宋体" w:hAnsi="宋体" w:eastAsia="宋体" w:cs="宋体"/>
                <w:b w:val="0"/>
                <w:bCs/>
                <w:i w:val="0"/>
                <w:iCs w:val="0"/>
                <w:sz w:val="21"/>
                <w:szCs w:val="21"/>
                <w:highlight w:val="none"/>
                <w:u w:val="none"/>
                <w:lang w:val="en-US" w:eastAsia="zh-CN"/>
              </w:rPr>
            </w:pPr>
            <w:r>
              <w:rPr>
                <w:rFonts w:hint="eastAsia" w:ascii="宋体" w:hAnsi="宋体" w:eastAsia="宋体" w:cs="宋体"/>
                <w:sz w:val="21"/>
                <w:szCs w:val="21"/>
                <w:highlight w:val="none"/>
              </w:rPr>
              <w:t>1</w:t>
            </w:r>
          </w:p>
        </w:tc>
      </w:tr>
    </w:tbl>
    <w:p w14:paraId="2CDC8B6D">
      <w:pPr>
        <w:rPr>
          <w:highlight w:val="none"/>
        </w:rPr>
      </w:pPr>
    </w:p>
    <w:p w14:paraId="73A2C978">
      <w:pPr>
        <w:pStyle w:val="2"/>
        <w:spacing w:line="360" w:lineRule="auto"/>
        <w:jc w:val="left"/>
        <w:rPr>
          <w:rFonts w:hint="eastAsia" w:ascii="宋体" w:hAnsi="宋体" w:cs="宋体"/>
          <w:sz w:val="21"/>
          <w:szCs w:val="21"/>
          <w:highlight w:val="none"/>
        </w:rPr>
      </w:pPr>
      <w:r>
        <w:rPr>
          <w:rFonts w:hint="eastAsia" w:ascii="宋体" w:hAnsi="宋体" w:cs="宋体"/>
          <w:sz w:val="21"/>
          <w:szCs w:val="21"/>
          <w:highlight w:val="none"/>
        </w:rPr>
        <w:t>四、技术参数</w:t>
      </w:r>
    </w:p>
    <w:tbl>
      <w:tblPr>
        <w:tblStyle w:val="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985"/>
        <w:gridCol w:w="6214"/>
      </w:tblGrid>
      <w:tr w14:paraId="5274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04F7835D">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序号</w:t>
            </w:r>
          </w:p>
        </w:tc>
        <w:tc>
          <w:tcPr>
            <w:tcW w:w="1985" w:type="dxa"/>
            <w:noWrap w:val="0"/>
            <w:vAlign w:val="center"/>
          </w:tcPr>
          <w:p w14:paraId="6E5E8E51">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采购商品名称</w:t>
            </w:r>
          </w:p>
        </w:tc>
        <w:tc>
          <w:tcPr>
            <w:tcW w:w="6214" w:type="dxa"/>
            <w:noWrap/>
            <w:vAlign w:val="center"/>
          </w:tcPr>
          <w:p w14:paraId="270FBE93">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技术参数</w:t>
            </w:r>
          </w:p>
        </w:tc>
      </w:tr>
      <w:tr w14:paraId="5FEE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3A92B268">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w:t>
            </w:r>
          </w:p>
        </w:tc>
        <w:tc>
          <w:tcPr>
            <w:tcW w:w="1985" w:type="dxa"/>
            <w:noWrap w:val="0"/>
            <w:vAlign w:val="center"/>
          </w:tcPr>
          <w:p w14:paraId="3F798A08">
            <w:pPr>
              <w:widowControl/>
              <w:jc w:val="center"/>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财务数字化训赛平台</w:t>
            </w:r>
            <w:r>
              <w:rPr>
                <w:rFonts w:hint="eastAsia" w:ascii="宋体" w:hAnsi="宋体" w:eastAsia="宋体" w:cs="宋体"/>
                <w:b/>
                <w:bCs/>
                <w:color w:val="000000"/>
                <w:kern w:val="0"/>
                <w:sz w:val="21"/>
                <w:szCs w:val="21"/>
                <w:highlight w:val="none"/>
              </w:rPr>
              <w:t>及</w:t>
            </w:r>
            <w:r>
              <w:rPr>
                <w:rFonts w:hint="eastAsia" w:ascii="宋体" w:hAnsi="宋体" w:eastAsia="宋体" w:cs="宋体"/>
                <w:b/>
                <w:bCs/>
                <w:color w:val="000000"/>
                <w:kern w:val="0"/>
                <w:sz w:val="21"/>
                <w:szCs w:val="21"/>
                <w:highlight w:val="none"/>
                <w:lang w:val="en-US" w:eastAsia="zh-CN"/>
              </w:rPr>
              <w:t>资源包</w:t>
            </w:r>
            <w:r>
              <w:rPr>
                <w:rFonts w:hint="eastAsia" w:cs="宋体"/>
                <w:b/>
                <w:bCs/>
                <w:color w:val="000000"/>
                <w:kern w:val="0"/>
                <w:sz w:val="21"/>
                <w:szCs w:val="21"/>
                <w:highlight w:val="none"/>
                <w:lang w:val="en-US" w:eastAsia="zh-CN"/>
              </w:rPr>
              <w:t>（核心产品）</w:t>
            </w:r>
          </w:p>
        </w:tc>
        <w:tc>
          <w:tcPr>
            <w:tcW w:w="6214" w:type="dxa"/>
            <w:noWrap/>
            <w:vAlign w:val="center"/>
          </w:tcPr>
          <w:p w14:paraId="77BE9B36">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1.平台无缝集成：赛务模块、答题模块及业务系统模块组成。</w:t>
            </w:r>
          </w:p>
          <w:p w14:paraId="79816340">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分析平台需包含筛选器功能、主要包括日期筛选器、文本筛选器、树形筛选器、数值区间筛选器、按钮等功能。支持控件功能，空间包括文本、图片、网页、标签等功能。可视化图表支持导出功能，可导出为图片、PDF、EXCEL等。并且可配置移动端显示内容。可对画布进行设置、支持设置画布尺寸、背景、网格设置、组件样式、自动刷新、操作按钮等动能。可自定义设置封面。</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供应商</w:t>
            </w:r>
            <w:r>
              <w:rPr>
                <w:rFonts w:hint="eastAsia" w:ascii="宋体" w:hAnsi="宋体" w:eastAsia="宋体" w:cs="宋体"/>
                <w:b/>
                <w:bCs/>
                <w:sz w:val="21"/>
                <w:szCs w:val="21"/>
                <w:highlight w:val="none"/>
              </w:rPr>
              <w:t>公章）</w:t>
            </w:r>
          </w:p>
          <w:p w14:paraId="7ADE15F2">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3.平台能够支持教师及学生参加职业院校技能大赛会计实务赛项方面的练习训练和培训。</w:t>
            </w:r>
          </w:p>
          <w:p w14:paraId="30088664">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4.支持新建考赛管理员、赛事界面定制、账号管理、试卷授权、授权清理。</w:t>
            </w:r>
          </w:p>
          <w:p w14:paraId="5D44A729">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5.赛务模块：主要功能包括参赛人员信息管理、竞赛过程管理和成绩管理，可通过数字化大屏实施监控学生答题情况，动态观察学生考试成绩。</w:t>
            </w:r>
          </w:p>
          <w:p w14:paraId="406A19A7">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6.支持场次管理、新建场次、场次界面设置、场次参数设置、场次时间管理、场次试卷、场次岗位设置、场次考生导入、考生组卷。</w:t>
            </w:r>
          </w:p>
          <w:p w14:paraId="78F5C7FB">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7.全体控制：支持对全部考生进行开始登录、结束考赛操作；支持针对全部考生进行暂停操作；阶段控制：显示当前场次所选试卷、阶段及任务； </w:t>
            </w:r>
          </w:p>
          <w:p w14:paraId="3CD3E834">
            <w:pPr>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rPr>
              <w:t>★8.单体控制：支持针对全部学生进行开始考试或比赛；支持以一个学生为最小单位进行暂停、恢复、延时、强制交卷、取消交卷、IP锁定；支持针对当前场次总人数、在线人数、离线人数、暂停人数、已结束已交卷人数、已结束未交卷人数、IP异常人数、ERP异常人数、ERP初始化完成人数汇总数据进行查询；支持对考赛状态进行刷新；支持按照已登录、未登录、已交卷、未交卷四种考赛状态筛选查看数据；支持按照姓名或手机号搜索考生；支持按照考试号、剩余时间、延时记录、考赛状态进行排序。</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46B2ADFD">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数据大屏：支持考试或比赛过程中以柱状图的形式显示所有团队的实时成绩，支持全屏展示；成绩查询：支持按照台位号、队伍号、院校名称查询团队成绩和个人成绩；错误查看：支持以场次管理员身份查看学生各任务得分情况；支持查看学生各任务中失分之处； RPA答题文件：支持以场次管理员身份查看学生提交的RPA答题文件；服务器处理：场次考试或比赛全部结束后，支持清除考生、清除考生答题记录、清除场次信息、清除试卷信息。</w:t>
            </w:r>
          </w:p>
          <w:p w14:paraId="41C2074B">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10.提供平台配套业财信息化及财务数字化样题各一套、操作手册一套。</w:t>
            </w:r>
          </w:p>
          <w:p w14:paraId="7E268DB3">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11. 分析平台具备数据关联功能：具有对多个数据源设置关联功能，包含填报数据、本地数据（Excel、CSV）的不同表之间设置关联、企业数据库；支持拖拽方式搭建表间关联（内关联、左关联、右关联、全关联）关系；支持拖拽方式追加多张表。</w:t>
            </w:r>
          </w:p>
          <w:p w14:paraId="30886435">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主要功能包括答题系统、甄别系统；环境检测、考赛须知；全部任务：支持按阶段查看任务简要说明；支持按任务状态状态查看所有任务；任务列表、阶段公共资源、任务状态、业务描述、考核单据：支持查看和切换考核单据、支持保存并查看下一步考核单据；支持退回上一步修改答题记录、支持答题过程中随时查看倒计时。支持按场次管理员设置的交卷岗位进行交卷，点击后出现三次弹窗提醒，全部点击确定后，团队内其余岗位均会交卷。</w:t>
            </w:r>
          </w:p>
          <w:p w14:paraId="29D1AEC8">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13.业务系统：支持接入真实的大型企业数字化平台系统，通过平台中按钮跳过登录界面直接跳转进入数字化平台；支持接入分析平台系统，通过平台中按钮跳过分析平台登录界面直接跳转进入分析平台；支持接入python系统，通过平台中按钮直接跳转进入自主研发的代码编辑器；支持接入数据中心，通过平台中按钮直接进入仿真上交所网站；支持接入数据清洗系统，通过平台中按钮直接进入数据清洗系统；支持接入数据算法系统，通过平台中按钮直接进入数据算法系统；支持接入RPA系统，通过平台中按钮直接进入企业级RPA+AI平台设计器；支持针对以上业务系统进行环境检测，测试环境是否可正常使用。</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49CBF963">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14.评分模块：系统能够根据客观题、excel题、系统单据、ppt题、分析平台、python等题型进行自动评分。</w:t>
            </w:r>
          </w:p>
          <w:p w14:paraId="675AA7CD">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15.分析平台需内置至少30种图表，包括柱状图、阶梯瀑布图、条形图、图案填充条形图、堆叠柱状图、堆叠条形图、饼图、环形图、玫瑰图、折线图、堆叠区域图、中国地图、散点中国地图、世界地图、迁徙图、百度地图、双轴图、仪表盘、表格、指标图、气泡图、漏斗图、热力图、矩形树图、雷达图、桑基图、和弦图、词云图、时序预测图、回归分析图、子弹图、直方图等。</w:t>
            </w:r>
          </w:p>
          <w:p w14:paraId="22796904">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16.支持设置辅助线和预警线。用户通过辅助线可以快速识别出数据中的异常值；预警线除了识别出异常值，还支持用户设置预警的级别和预警推送的对象，不同层级对象对于同一个指标可以设置不同的预警规则。预警级别三级，不同的预警级别可以设置不同的信息推送媒介，包含系统信息、短信、微信服务号、邮箱，用户可以自己设置。</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722001BB">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17.支持用户自定义钻取路径，拖拽层级字段到维度后选择图形则实现对数据的下钻和上卷，点击图可以逐层查看数据。支持用户选择可视化、设置联动、链接；把可视化对象在页面中拖拽布局；支持页面灵活布局，拖拽位置和可视化对象大小；支持设置展示属性，添加全局筛选、文本、图片；设置图表、联动，支持多个数据集设置字段关联；支持设置链接，可链接打开故事板和第三方对象。</w:t>
            </w:r>
          </w:p>
          <w:p w14:paraId="541AA104">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18.具备数据清洗工具及训练过程监控功能，数据清洗系统与教学管理平台无缝集成，需有全局清洗、个别字段清洗多类规则设置选项，支持不少于2种字符清理、不少于4种字符替换、不少于5个自定义字段分隔或合并、添加不少于15条清洗规则一次性批量处理；支持缺失值按照均值、中位数、0值、遗弃数据行多种方式自动填补；具有清洗结果预览、本地下载功能，预览数据条数用户可自行调整；可实现任务重置功能，支持通过重置清空流程内的所有配置信息，变换清洗规则参数进行反复多次数据清洗训练。</w:t>
            </w:r>
          </w:p>
          <w:p w14:paraId="3754B3AA">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19.内嵌自主研发虚拟仿真Python编辑器，无需在学生机安装任何客户端软件，通过浏览器即可访问使用，支持Python脚本的在线编辑和运行。支持任务描述、操作步骤、操作视频、参考答案等功能，可进行新增脚本、新建文件夹、上传文件，文件格式支持不少于10种格式。支持白天模式及黑夜模式，需支持代码模式及积木模式，代码模式可进行Python代码的编辑、运行、终止、重置、清空、保存、提交、下载等功能；积木模式支持常用Python变量显示为积木，添加代码后不用编辑代码，只需设置内容即可完成代码编写，点击运行后可显示运行代码及运行结果，运行代码可复制，复制后可粘贴至代码模式中进行编辑运行。并且积木模式中的代码可随意拖动变换顺序。相邻两行代码需用不同颜色显示。</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3F77FE84">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20.数据挖掘工具：采用任务流式处理设计。默认流程为选择数据源-配置模型-开始建模-选择预测数据-开始预测，采用流式非闭环模式，执行数据挖掘时将严格按照此流程顺序执行。内置机器学习算法库。有监督学习包括：回归分析多元回归算法、逻辑回归算法，分类分析朴素贝叶斯算法、决策树算法，文本分析；无监督学习包括：聚类分析K-Means、模糊C均值聚类、降维分析PCA算法。支持学生基于选用的模型进行参数配置和调整。支持添加多个自变量，并可设置按比例随机抽选训练集与测试集。支持在当前页面查看预测结果数据预览，预览数据条数用户可自行调整。支持用户自行下载模型质量数据报告以及预测完成的数据到本地。</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13AF486F">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21.</w:t>
            </w:r>
            <w:r>
              <w:rPr>
                <w:rFonts w:hint="eastAsia" w:ascii="宋体" w:hAnsi="宋体" w:eastAsia="宋体" w:cs="宋体"/>
                <w:b w:val="0"/>
                <w:bCs w:val="0"/>
                <w:color w:val="000000"/>
                <w:kern w:val="0"/>
                <w:sz w:val="21"/>
                <w:szCs w:val="21"/>
                <w:highlight w:val="none"/>
              </w:rPr>
              <w:t xml:space="preserve"> </w:t>
            </w:r>
            <w:r>
              <w:rPr>
                <w:rFonts w:hint="eastAsia" w:ascii="宋体" w:hAnsi="宋体" w:eastAsia="宋体" w:cs="宋体"/>
                <w:b w:val="0"/>
                <w:bCs w:val="0"/>
                <w:color w:val="000000"/>
                <w:kern w:val="0"/>
                <w:sz w:val="21"/>
                <w:szCs w:val="21"/>
                <w:highlight w:val="none"/>
                <w:lang w:val="en-US" w:eastAsia="zh-CN"/>
              </w:rPr>
              <w:t>资源库不少于六套赛题</w:t>
            </w:r>
            <w:r>
              <w:rPr>
                <w:rFonts w:hint="eastAsia" w:ascii="宋体" w:hAnsi="宋体" w:eastAsia="宋体" w:cs="宋体"/>
                <w:b w:val="0"/>
                <w:bCs w:val="0"/>
                <w:sz w:val="21"/>
                <w:szCs w:val="21"/>
                <w:highlight w:val="none"/>
              </w:rPr>
              <w:t>。采用业财信息化、财务数字化两个阶段设计，体现企业从基础数据管理到智能化决策的转型路径。其中：业财信息化包含基础档案维护、业财税资融合业务处理、财务报表编制、大数据业财分析四部分。财务数字化包含案例介绍、投融资管理、预算管理、营运分析、绩效内控五部分。</w:t>
            </w:r>
          </w:p>
        </w:tc>
      </w:tr>
      <w:tr w14:paraId="291B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244FA058">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w:t>
            </w:r>
          </w:p>
        </w:tc>
        <w:tc>
          <w:tcPr>
            <w:tcW w:w="1985" w:type="dxa"/>
            <w:noWrap w:val="0"/>
            <w:vAlign w:val="center"/>
          </w:tcPr>
          <w:p w14:paraId="50E9F75F">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kern w:val="0"/>
                <w:sz w:val="21"/>
                <w:szCs w:val="21"/>
                <w:highlight w:val="none"/>
              </w:rPr>
              <w:t>企业数字化系统</w:t>
            </w:r>
          </w:p>
        </w:tc>
        <w:tc>
          <w:tcPr>
            <w:tcW w:w="6214" w:type="dxa"/>
            <w:noWrap/>
            <w:vAlign w:val="center"/>
          </w:tcPr>
          <w:p w14:paraId="7A09CAAB">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共享数据查询中心包含以下内容：费用汇总查询、费用明细查询、部门费用汇总查询、部门费用明细查询、应收款情况查询、客户明细账、固定资产统计分析表、共享初审绩效汇总表、作业组单据量统计表、全流程绩效汇总表、共享结算绩效汇总表、应付款情况查询、供应商明细账、固定资产明细账、科目余额表、三栏式总账、三栏式明细账、辅助余额表、辅助明细账、分析报表设计、分析报表设计。</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5F077065">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共享稽核需包含以下内容：稽核内容、稽核问题类型、稽核任务、单据抽取、单据稽核、稽核报告、凭证管理需包含以下内容：凭证维护、新增周期凭证、凭证签字、凭证审核、凭证记账、凭证查询、凭证冲销、凭证整理。</w:t>
            </w:r>
          </w:p>
          <w:p w14:paraId="43A64CD4">
            <w:pPr>
              <w:widowControl/>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供应商管理：供应商基本分类、供应商、供应商申请单、供应商银行账户启用、供应商银行账户申请单、采购管理：采购订单维护、采购订单明细查询、到货单检验、采购发票维护、应付单管理、付款单管理、、仓管业务：到货单维护、发货单维护、采购入库、销售业务：销售出库、销售订单维护、销售订单执行查询、销售发票维护、应收单管理、收款单管理。</w:t>
            </w:r>
          </w:p>
          <w:p w14:paraId="4B197B6D">
            <w:pPr>
              <w:widowControl/>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费用管理：差旅费报销单、通用报销单、费用申请单、收付款合同：收款合同期初、收款合同管理、收款合同台账、收款合同台账明细、付款合同期初、付款合同管理、付款合同台账、付款合同台账明细、固定资产：固定资产卡片维护、固定资产变动、现金管理：收款结算、付款结算、结算。</w:t>
            </w:r>
          </w:p>
          <w:p w14:paraId="4CA81794">
            <w:pPr>
              <w:widowControl/>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资金管理：资金上收、资金上收支付、下拨申请核准、资金下拨、资金下拨支付、上缴单、下拨申请、单位上收回单、单位下拨回单、委托付款、委托付款支付、支付指令状态、信用管理：信用档案、人员信用等级、信用评价标准、信用评价。</w:t>
            </w:r>
          </w:p>
          <w:p w14:paraId="5BE887EB">
            <w:pPr>
              <w:widowControl/>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★6.建模平台包含以下内容：组织管理、权限管理、基础数据、流程管理、会计平台、客户化配置、系统管理、开发配置、报表平台、企业绩效管理平台、影像管理、报账平台、条码配置、发票管理。</w:t>
            </w:r>
          </w:p>
          <w:p w14:paraId="056601F6">
            <w:pPr>
              <w:widowControl/>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共享服务包含以下内容：作业平台、工单、绩效看板、共享稽核、知识管理、绩效分析、企业绩效管理包含以下内容：全面预算、集团财务合并、外系统数据采集、集团报表、企业绩效分析。</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2D94F4C2">
            <w:pPr>
              <w:widowControl/>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7.财务会计</w:t>
            </w:r>
            <w:bookmarkStart w:id="1" w:name="_Hlk193132200"/>
            <w:r>
              <w:rPr>
                <w:rFonts w:hint="eastAsia" w:ascii="宋体" w:hAnsi="宋体" w:eastAsia="宋体" w:cs="宋体"/>
                <w:b w:val="0"/>
                <w:bCs w:val="0"/>
                <w:sz w:val="21"/>
                <w:szCs w:val="21"/>
                <w:highlight w:val="none"/>
              </w:rPr>
              <w:t>包含以下内容：</w:t>
            </w:r>
            <w:bookmarkEnd w:id="1"/>
            <w:r>
              <w:rPr>
                <w:rFonts w:hint="eastAsia" w:ascii="宋体" w:hAnsi="宋体" w:eastAsia="宋体" w:cs="宋体"/>
                <w:b w:val="0"/>
                <w:bCs w:val="0"/>
                <w:sz w:val="21"/>
                <w:szCs w:val="21"/>
                <w:highlight w:val="none"/>
              </w:rPr>
              <w:t>基础档案及规则、总账、收付款合同、电子会计档案归档、应收管理、应付管理、费用管理、固定资产、存货核算、财务自助分析、财资管理包含以下内容：资金基础设置、账户管理、现金管理、银企直联、商业汇票、资金结算、资金调度、内部存款管理、资金计划、授信管理、担保管理、贷款管理、发债管理、投融资费用管理、投资管理、投融资报表。</w:t>
            </w:r>
          </w:p>
          <w:p w14:paraId="6C135EC0">
            <w:pPr>
              <w:widowControl/>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管理会计包含以下内容：管理会计基础设置、利润中心会计、产品成本、标准成本、供应链包含以下内容：供应链基础设置、采购管理、采购价格、委外加工、库存管理、销售管理、销售价格、销售信用、内部交易、营销费用管理、条码管理、无线设备接口、WMS集成接口、序列号管理。</w:t>
            </w:r>
          </w:p>
          <w:p w14:paraId="7FDAD0FE">
            <w:pPr>
              <w:widowControl/>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资产基础设置：期初数据导入、资产期初数据导入、资产信息设置、资产状态、使用信息设置、封存原因、变动原因、减少原因、增减方式、规则设置、交易规则设置、资产类别与固定资产类别对照、资产与固定资产关系设置、资产与固定资产取消关系设置、故障设置、故障类别、故障现象、故障原因、维修措施、故障树、故障发现途径、维修设置、工具、标准工作包-维修组织、危险与安全措施、危险与安全措施-维修组织、隔离模板、安全工作包、检修路线、巡检路线、租金计算项目、租金计算方法、赔偿原因、停租原因。</w:t>
            </w:r>
          </w:p>
          <w:p w14:paraId="79F3F0C8">
            <w:pPr>
              <w:widowControl/>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全面预算模块需包含：基础设置、应用模型-全局、套表管理-全局、业务规则-全局、控制策略、控制规则-全局、零预算规则-全局、任务管理-全局、预算数据处理、预算编制、日常执行、预算调整、直接调整、局部调整、预算调剂、调整单管理、报送审批、预算审批、报送管理、预算监控、控制方案、预算外币折算、折算方案、折算执行、折算数据中心、数据查阅、预算查阅、版本查询、分析查询。</w:t>
            </w:r>
          </w:p>
          <w:p w14:paraId="373A8D98">
            <w:pPr>
              <w:widowControl/>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11.资产使用管理包含以下内容：借用管理、资产借用申请、资产借用申请处理、借用单维护、借用归还台账、领用管理、资产领用申请、资产领用申请处理、领用单维护、领用归还台账、归还处理、归还处理、借用归还、领用归还、资产管理部门变动、资产使用部门变动、资产责任人变动、资产位置变动、资产状态变动、资产项目变动、资产变动、调拨管理、资产处置、待处置资产处理、资产处置台账、抵押管理、资产抵押管理、资产盘点管理、盘点计划编制、盘点单维护、盘点报告。（</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tc>
      </w:tr>
      <w:tr w14:paraId="2DAD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5CBCF14B">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w:t>
            </w:r>
          </w:p>
        </w:tc>
        <w:tc>
          <w:tcPr>
            <w:tcW w:w="1985" w:type="dxa"/>
            <w:noWrap w:val="0"/>
            <w:vAlign w:val="center"/>
          </w:tcPr>
          <w:p w14:paraId="368D587D">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sz w:val="21"/>
                <w:szCs w:val="21"/>
                <w:highlight w:val="none"/>
                <w:lang w:val="en-US" w:eastAsia="zh-CN"/>
              </w:rPr>
              <w:t>智慧化财务</w:t>
            </w:r>
            <w:r>
              <w:rPr>
                <w:rFonts w:hint="eastAsia" w:ascii="宋体" w:hAnsi="宋体" w:eastAsia="宋体" w:cs="宋体"/>
                <w:sz w:val="21"/>
                <w:szCs w:val="21"/>
                <w:highlight w:val="none"/>
              </w:rPr>
              <w:t>实验实训平台</w:t>
            </w:r>
          </w:p>
        </w:tc>
        <w:tc>
          <w:tcPr>
            <w:tcW w:w="6214" w:type="dxa"/>
            <w:noWrap/>
            <w:vAlign w:val="center"/>
          </w:tcPr>
          <w:p w14:paraId="72414289">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1.平台需包含课程简介、班级人数、学习人次、实战项目、理论项目、总能力值、训练计划等数据统计课程图谱，课程支持探索图谱、课程思维导图、全屏展示、能力项、主讲老师、公告等功能</w:t>
            </w:r>
          </w:p>
          <w:p w14:paraId="50165B67">
            <w:pPr>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rPr>
              <w:t>★2.探索图谱支持课程图谱和能力图谱两种，第一次进入图谱时支持引导操作提示，支持自由切换课程图谱和能力图谱，支持导航探索图谱，导航下显示课程所有章节知识点，点击任意知识点即可打开</w:t>
            </w:r>
            <w:r>
              <w:rPr>
                <w:rFonts w:hint="eastAsia" w:ascii="宋体" w:hAnsi="宋体" w:eastAsia="宋体" w:cs="宋体"/>
                <w:b w:val="0"/>
                <w:bCs w:val="0"/>
                <w:sz w:val="21"/>
                <w:szCs w:val="21"/>
                <w:highlight w:val="none"/>
                <w:lang w:val="en-US" w:eastAsia="zh-CN"/>
              </w:rPr>
              <w:t>该</w:t>
            </w:r>
            <w:r>
              <w:rPr>
                <w:rFonts w:hint="eastAsia" w:ascii="宋体" w:hAnsi="宋体" w:eastAsia="宋体" w:cs="宋体"/>
                <w:b w:val="0"/>
                <w:bCs w:val="0"/>
                <w:sz w:val="21"/>
                <w:szCs w:val="21"/>
                <w:highlight w:val="none"/>
              </w:rPr>
              <w:t>知识点。支持搜索知识点，支持通过项目筛选知识点，支持标记知识点。支持锁定图谱，定位图谱，按照百分比放大缩小图谱。</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12955BE5">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3.支持查看能力的能力概述、能力实践、学习资源、知识校验，通过点击能力实践可直接进入实操界面，点击学习资源即可查看该能力项对应的学习资源，点击知识教研可查看该能力对应的作业。</w:t>
            </w:r>
          </w:p>
          <w:p w14:paraId="1CBCA16D">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支持教师查看整个班级的课程图谱，包含班级人数、知识点、能力点、思政点、数字化点、关系、资源、今日学习人数、今日平均学习时长、教学成果、平均掌握度、学生达标率、学生掌握度、进度分布、学习时长排行榜、学生进度排行榜、课程能力画像、学生学习详情、职业分析等指标。</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6B477418">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5.学生学习详情包含排名学生姓名 、学号 、学习时长 、学习进度 、图谱掌握度 、是否达到课程要求 、操作进行查看，支持按照进度和掌握度进行排序，支持点击查看详情即可查看该学生的课程图谱。能力画像支持用雷达图展示，支持查看班级所有能力项，支持查看班级平均和个人能力掌握情况。</w:t>
            </w:r>
          </w:p>
          <w:p w14:paraId="4217F62A">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支持考核方案设计，考核方案设计同时至少包含平时成绩、实践成绩、考试成绩等几类考核在内的不少于8个（可设置加分项）考核项供选择使用。应包含总成绩、成长值、分项成绩、项目任务成绩等内容，应通过柱状图展现学生的项目得分情况，完成度情况，通过柱状图与折线图展现学生的作业得分情况、随堂测验得分情况、视频测验得分情况，通过环形图展现学生的作业完成情况、习题正确情况等。提供可下载的学生成绩报告；能依据一二级考核项自动生成全班成绩并导出，支撑教师进行成绩汇总。</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37789193">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支持学情统计模块，能够生成学情分析报告，应具备不少于10个（可设置加分项）维度提供学习分析详情。应包含老师人数、学生人数、应通过柱状图展示班级进度、考勤率、作业提交人数、学习偏好等数据，应包含学生完成度排名，应进行课堂疑点难点分析，分析每一道题每一个选项答题率，以可视化的形式展示全班习题完成正确、错误、未作答情况；应包含团队表现分析，能查看团队排名，并通过柱状图进行团队得分分析，针对担任团队组织等情况进行分析；应包含能力情况，查看学生在课程中所需具备的能力项以及能力图谱。</w:t>
            </w:r>
          </w:p>
          <w:p w14:paraId="55C3FAE3">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8.支持展示学生当前正在学习课程、尚未完成考试的数量；支持展示所学课程的有效期、学习进度；支持展示考试的截止时间；支持学生通过点击待办列表中待办项的“马上去学习”按钮进入教学班或考试。</w:t>
            </w:r>
          </w:p>
          <w:p w14:paraId="68DB5E24">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9.支持在院校配置完成岗位且学生加入课程后，展示学生当前的能力掌握情况与能力进阶情况；支持展示学生的能力情况与岗位能力要求的匹配度；支持学生切换不同岗位查看岗位匹配度。</w:t>
            </w:r>
          </w:p>
          <w:p w14:paraId="450FDCEC">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t>支持在学生加入课程后，根据学生学习情况智能推荐项目；支持展示项目的名称、难度等信息。支持查看院校、班级发出的公告；支持展示公告的标题、内容以及时间；支持展示公告的数量。</w:t>
            </w:r>
          </w:p>
          <w:p w14:paraId="42DEE15F">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11.</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t>支持学生查看“我的知识图谱”缩略图与全貌，支持访问到课程知识图谱，支持在课程知识图谱中进行知识点的搜索、筛选，支持自由拖拽画布与知识点，支持缩放。</w:t>
            </w:r>
          </w:p>
          <w:p w14:paraId="006F684C">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t>支持在项目中查看项目的名称、项目任务、项目简介、项目情境；支持查看训练计划中每个任务的名称、类型、学习次数、平均学习时长、任务状态；支持通过点击任务上的“进入任务”按钮进入任务进行学习。支持学生查看、下载项目中的相关知识。</w:t>
            </w:r>
          </w:p>
          <w:p w14:paraId="41BDEF44">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13.支持教师在课堂中根据自己的实际情况，实时调整课堂内容，至少包含5类不同的教学组件用于教师自定义添加和调整。理论项目支持新增视频任务、文档任务、富文本、网页链接，实战项目支持新增作业任务、测验任务、团队成果；作业任务中，可支持修改作业名称、作业描述、评分方式等，支持上传参考资料与参考答案，设置答案可否下载，评分方式为系统评分可设置关键词；团队成果中，可支持修改团队成果名称、要求描述、评分方式，参考答案和参考模版，设置答案可否下载，应支持三总评分方式组合评分， </w:t>
            </w:r>
          </w:p>
          <w:p w14:paraId="001B7AA3">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14.虚拟仿真任务：任务需同时支持windows系统的PC机、VR一体机使用。支持学生随时查看任务模块、步骤及时长、进度、得分，支持学生设置背景音乐，调出虚拟助手；支持学生在场景中进行漫游、完成任务等操作；支持学生反复进入完成实验。</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69B0F4C0">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15.教师端功能描述：VR任务推送：教师可对VR任务进行推送或收回；VR任务操作：教师可通过PC和VR头盔两种方式进入VR任务进行操作，与学生视角一致；VR任务进度查看：教师可通过学生个人维度/VR任务维度两个维度查看学生任务完成情况、完成次数、时长等信息；VR任务考核：教师可在课程中给VR任务设置考核权重，并实时显示学生得分，支持以学生多次操作的最高一次得分作为最终成绩。</w:t>
            </w:r>
          </w:p>
          <w:p w14:paraId="04CB5B9D">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16.学生端功能描述： VR任务训练：学生可通过PC或VR头盔两种方式进入VR进行任务训练，训练过程中实时获取进度、时长、成绩等数据；学生可反复进入VR任务中进行训练；VR任务操作：PC端，学生可通过鼠标和键盘进行场景漫游、任务操作。可切换背景音乐、调出虚拟助手等操作。在VR头盔端，学生可通过手柄和身体的移动完成如上操作；VR成绩：学生可在成绩中心查看最终成绩。</w:t>
            </w:r>
          </w:p>
          <w:p w14:paraId="5FF7639F">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17.场景描述：本场景需开发为三个模块。模块一，学生通过系统介绍，直观地了解FSSC的空间结构，熟悉FSSC的业务处理室、报账开放办公区、结算区、资金管理区、副总经理办公室、会计档案室、专家中心室、服务管理区等10个部门布局。模块二，学生通过财务共享服务中心场景漫游打卡，包括但不限于部门、岗位、工作流程、规章制度、办公设备；通过具体场景下的客观题任务增强学生学习积极性；VR与收单机器人的交互：可以让学生沉浸式体验收单机器人自助投单和智能收单服务。模块三，学生通过VR直观体验填制、审批、初审、审核、复核、结算、凭证审核等8个环节的全流程，建立FSSC核心业务流程认知。</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0AF03FA0">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18.仿真电子会计档案：支持对电子会计档案立卷、归档、查询与借阅等相关操作，仿真还原共享服务中心对电子会计档案管理的相关操作。支持多种影像采集方式对纸质档案进行采集，支持凭证以及影像文件的装册、浏览，档案装册完成后所有已装册的档案盒自动归档，归档的档案盒对应的纸质档案自动上架到档案保管位置方便调阅，通过建立电子会计档案与纸质会计档案索引关系，实现互阅互查。</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3326A45C">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19.仿真税务云：提供企业运营中涉及税务及发票的管理、核算、风险管控等功能；全方位实现业、财、税、票的一体化、数字化管理。支持教学应用系统与仿真税务云的无缝集成；实现增值税电子普通发票的开票、发票验真、进项税认证、增值税与附加税费申报与缴纳、等为核心的全方位税务管理，并和仿真国家电子税务局连接，完成一键报税； </w:t>
            </w:r>
          </w:p>
          <w:p w14:paraId="1B07E89D">
            <w:pPr>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rPr>
              <w:t>★20.仿真商旅服务平台： 提供电脑和手机移动报账功能，支持教学应用系统与仿真移动商旅无缝集成，实现移动报销平台与社会化商业平台连接，如出行服务，商旅服务等，使得相关报销数据自动流转到共享中心报账平台。学生通过此工作应用完成预订机票、打车、酒店，形成差旅费报销单，支持事前预算</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事中控制</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事后分析的费用管控学习；</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3A16D835">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21．需提供5个教育云平台账号用于用户备课使用，相关业务系统需符合国家相关机关的安全规定。</w:t>
            </w:r>
          </w:p>
        </w:tc>
      </w:tr>
      <w:tr w14:paraId="72C3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77935DAB">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w:t>
            </w:r>
          </w:p>
        </w:tc>
        <w:tc>
          <w:tcPr>
            <w:tcW w:w="1985" w:type="dxa"/>
            <w:noWrap w:val="0"/>
            <w:vAlign w:val="center"/>
          </w:tcPr>
          <w:p w14:paraId="16FADED2">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Cs/>
                <w:kern w:val="0"/>
                <w:sz w:val="21"/>
                <w:szCs w:val="21"/>
                <w:highlight w:val="none"/>
                <w:lang w:val="en-US" w:eastAsia="zh-CN" w:bidi="en-US"/>
              </w:rPr>
              <w:t>财会职业能力养成平台</w:t>
            </w:r>
          </w:p>
        </w:tc>
        <w:tc>
          <w:tcPr>
            <w:tcW w:w="6214" w:type="dxa"/>
            <w:noWrap/>
            <w:vAlign w:val="center"/>
          </w:tcPr>
          <w:p w14:paraId="567DA46F">
            <w:pPr>
              <w:pStyle w:val="7"/>
              <w:ind w:firstLine="0" w:firstLineChars="0"/>
              <w:rPr>
                <w:rFonts w:hint="eastAsia" w:ascii="宋体" w:hAnsi="宋体" w:eastAsia="宋体" w:cs="宋体"/>
                <w:b w:val="0"/>
                <w:bCs w:val="0"/>
                <w:sz w:val="21"/>
                <w:szCs w:val="21"/>
                <w:highlight w:val="none"/>
              </w:rPr>
            </w:pPr>
            <w:r>
              <w:rPr>
                <w:rFonts w:hint="eastAsia" w:ascii="宋体" w:hAnsi="宋体" w:eastAsia="宋体" w:cs="宋体"/>
                <w:b w:val="0"/>
                <w:bCs w:val="0"/>
                <w:spacing w:val="-3"/>
                <w:sz w:val="21"/>
                <w:szCs w:val="21"/>
                <w:highlight w:val="none"/>
              </w:rPr>
              <w:t>1.</w:t>
            </w:r>
            <w:r>
              <w:rPr>
                <w:rFonts w:hint="eastAsia" w:ascii="宋体" w:hAnsi="宋体" w:eastAsia="宋体" w:cs="宋体"/>
                <w:b w:val="0"/>
                <w:bCs w:val="0"/>
                <w:sz w:val="21"/>
                <w:szCs w:val="21"/>
                <w:highlight w:val="none"/>
              </w:rPr>
              <w:t>主页面包含智能小助教：支持关键字搜索，可通过文本模糊查询知识点，社会责任：企业家应秉承的社会责任，获取学生的经营数据，让学生在经营中明白企业家的意义。碳中和：企业在经营中，应通过植树造林去中和生产中所产生的碳排放。财务状况查询：点击后，查询当前企业的财务状态数据咨询：企业可支付一定费用，去查看其他企业的实时数据市场调研：展示经销商市场的市场需求量概况。经营排行：每年结束后，展示经营成绩的排行，包含得分的细项分数。</w:t>
            </w:r>
          </w:p>
          <w:p w14:paraId="0A65C779">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2.财务总监支持：预算控制、融资管理、应收账款管理 、应付账款管理、费用管理、报表管理 </w:t>
            </w:r>
          </w:p>
          <w:p w14:paraId="037583F6">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3.人力资源总监：招聘管理、培训管理、激励管理、岗位管理。</w:t>
            </w:r>
          </w:p>
          <w:p w14:paraId="6BFF0742">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4.生产总监支持：工人管理、设备管理、库存管理、设计管理、研发管理 。</w:t>
            </w:r>
          </w:p>
          <w:p w14:paraId="6D127B9F">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5.营销总监支持：渠道管理、产品管理、促销管理、竟单管理</w:t>
            </w:r>
          </w:p>
          <w:p w14:paraId="5EA01F56">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6.要求平台可以实现多维度评分：平台内置多维度评分模式，教师可以在实践得分、总结得分、主观评分三项内容范围内自由设定比例，系统可自动计算出学生的最终得分。</w:t>
            </w:r>
          </w:p>
          <w:p w14:paraId="7E881D2C">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7.教学内容：提供模拟经营相关的知识点</w:t>
            </w:r>
            <w:r>
              <w:rPr>
                <w:rFonts w:hint="eastAsia" w:ascii="宋体" w:hAnsi="宋体" w:eastAsia="宋体" w:cs="宋体"/>
                <w:b w:val="0"/>
                <w:bCs w:val="0"/>
                <w:sz w:val="21"/>
                <w:szCs w:val="21"/>
                <w:highlight w:val="none"/>
                <w:lang w:val="en-US" w:eastAsia="zh-CN"/>
              </w:rPr>
              <w:t>PPT</w:t>
            </w:r>
            <w:r>
              <w:rPr>
                <w:rFonts w:hint="eastAsia" w:ascii="宋体" w:hAnsi="宋体" w:eastAsia="宋体" w:cs="宋体"/>
                <w:b w:val="0"/>
                <w:bCs w:val="0"/>
                <w:sz w:val="21"/>
                <w:szCs w:val="21"/>
                <w:highlight w:val="none"/>
              </w:rPr>
              <w:t>，并可在线查看。</w:t>
            </w:r>
          </w:p>
          <w:p w14:paraId="64AEFD97">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8.智能分析：需提供数字化的分析工具，内置算法，将学生的关键数据指标化，并形成图形进行对比。</w:t>
            </w:r>
          </w:p>
          <w:p w14:paraId="0A1607DD">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9.教师管理功能指标：账户设置、教师管理、标准案例管理</w:t>
            </w:r>
            <w:bookmarkStart w:id="2" w:name="_Toc28261754"/>
            <w:r>
              <w:rPr>
                <w:rFonts w:hint="eastAsia" w:ascii="宋体" w:hAnsi="宋体" w:eastAsia="宋体" w:cs="宋体"/>
                <w:b w:val="0"/>
                <w:bCs w:val="0"/>
                <w:sz w:val="21"/>
                <w:szCs w:val="21"/>
                <w:highlight w:val="none"/>
              </w:rPr>
              <w:t>、模型设定、时间轴设定、规则维护、课程学习、考评设置、教案管理、课堂总结、教学评分、学情分析。</w:t>
            </w:r>
          </w:p>
          <w:p w14:paraId="7E189753">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10.实训信息显示、时间轴展示、实训工作台、智能分析、实时报表查看和订单明细</w:t>
            </w:r>
            <w:bookmarkEnd w:id="2"/>
            <w:r>
              <w:rPr>
                <w:rFonts w:hint="eastAsia" w:ascii="宋体" w:hAnsi="宋体" w:eastAsia="宋体" w:cs="宋体"/>
                <w:b w:val="0"/>
                <w:bCs w:val="0"/>
                <w:sz w:val="21"/>
                <w:szCs w:val="21"/>
                <w:highlight w:val="none"/>
              </w:rPr>
              <w:t>、账号管理、实训控制台、支持成绩查看</w:t>
            </w:r>
          </w:p>
          <w:p w14:paraId="3AF6EDEB">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11.财务总监岗位应具备功能包括预算控制、融资管理、应收账款管理、应付账款</w:t>
            </w:r>
            <w:r>
              <w:rPr>
                <w:rFonts w:hint="eastAsia" w:ascii="宋体" w:hAnsi="宋体" w:eastAsia="宋体" w:cs="宋体"/>
                <w:b w:val="0"/>
                <w:bCs w:val="0"/>
                <w:sz w:val="21"/>
                <w:szCs w:val="21"/>
                <w:highlight w:val="none"/>
                <w:lang w:val="en-US" w:eastAsia="zh-CN"/>
              </w:rPr>
              <w:t>管理</w:t>
            </w:r>
            <w:r>
              <w:rPr>
                <w:rFonts w:hint="eastAsia" w:ascii="宋体" w:hAnsi="宋体" w:eastAsia="宋体" w:cs="宋体"/>
                <w:b w:val="0"/>
                <w:bCs w:val="0"/>
                <w:sz w:val="21"/>
                <w:szCs w:val="21"/>
                <w:highlight w:val="none"/>
              </w:rPr>
              <w:t>、费用管理、报表管理。</w:t>
            </w:r>
          </w:p>
          <w:p w14:paraId="5DEBEDBF">
            <w:pPr>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rPr>
              <w:t>★12.要求内置风险监控功能，通过智能化的算法，实时获取公司的财务数据，展示风险等级，具体包括债务风险：资产负债率、速动比率、已获利息倍数；现金流风险：现金总资产比、存货周转率、应收账款周转率；盈利能力风险：净资产收益率、营业利润比重、主营业务利润率。</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591B9474">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★13.要求内置财务大数据功能、生产大数据功能、营销大数据、人力大数据功能，需支持自动爬取其他竞争对手的数据，进行挖掘清洗，形成看板，进行展示。可自主DIY设计看板上的展现数据模块。</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0F223F63">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14.人力资源岗位要求内置招聘管理功能，要求招聘时需要根据人才的能力、期望和市场情况综合判断定薪，拥有发送offer功能，系统需拥有根据公式判断人才是否入职功能。</w:t>
            </w:r>
          </w:p>
          <w:p w14:paraId="054266D5">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15.人力资源岗位可以对查看所有员工的工作状态，工作效率，对其中指定的员工进行激励，手段包括奖金和涨薪。</w:t>
            </w:r>
          </w:p>
          <w:p w14:paraId="7EA8B158">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16.生产总监要求拥有管理全部生产设备功能，可新增、删减和维修，产品研发功能、技术升级功能。</w:t>
            </w:r>
          </w:p>
          <w:p w14:paraId="1514E8FB">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17.营销总监需拥开拓企业的销售渠道、申报公司的生产资质和质量认证、广告促销管理、订单申报、产品交付等功能。</w:t>
            </w:r>
          </w:p>
          <w:p w14:paraId="182D5CA4">
            <w:pPr>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rPr>
              <w:t>★18.要求碳中和功能包括本年已分配排放量、已排放碳量、已中和碳量及上年中和率的数据展示，并拥有植树造林功能。</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229FEBDC">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19.食品类行业案例：经营范围要求为汤圆、粽子、糯米糕，分为大众系列、儿童系列、无糖系列；主要原材料包括糯米、馅料、红枣、包装；面向市场主要有本地市场、国内市场、亚洲市场。主要生产线包括传统线、全自动线、全智能线。</w:t>
            </w:r>
          </w:p>
          <w:p w14:paraId="6AE42D23">
            <w:pPr>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rPr>
              <w:t>★20.智能制造类行业案例：主要经营混动型、纯电型、纯电pro三种产品，分为豪华内饰、超大空间、超强性能三个系列；主要原材料有碳纤维、铝镁合金、锂电池、复合材料；主要面向国内市场、亚洲市场、欧洲市场。主要生产线包括传统线、全自动线、全智能线。</w:t>
            </w:r>
            <w:r>
              <w:rPr>
                <w:rFonts w:hint="eastAsia" w:ascii="宋体" w:hAnsi="宋体" w:eastAsia="宋体" w:cs="宋体"/>
                <w:b/>
                <w:bCs/>
                <w:sz w:val="21"/>
                <w:szCs w:val="21"/>
                <w:highlight w:val="none"/>
              </w:rPr>
              <w:t>（提供功能截图及与截图一致的演示视频，截图需加盖软件</w:t>
            </w:r>
            <w:r>
              <w:rPr>
                <w:rFonts w:hint="eastAsia" w:ascii="宋体" w:hAnsi="宋体" w:eastAsia="宋体" w:cs="宋体"/>
                <w:b/>
                <w:bCs/>
                <w:sz w:val="21"/>
                <w:szCs w:val="21"/>
                <w:highlight w:val="none"/>
                <w:lang w:val="en-US" w:eastAsia="zh-CN"/>
              </w:rPr>
              <w:t>供应</w:t>
            </w:r>
            <w:r>
              <w:rPr>
                <w:rFonts w:hint="eastAsia" w:ascii="宋体" w:hAnsi="宋体" w:eastAsia="宋体" w:cs="宋体"/>
                <w:b/>
                <w:bCs/>
                <w:sz w:val="21"/>
                <w:szCs w:val="21"/>
                <w:highlight w:val="none"/>
              </w:rPr>
              <w:t>商公章）</w:t>
            </w:r>
          </w:p>
          <w:p w14:paraId="78116289">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sz w:val="21"/>
                <w:szCs w:val="21"/>
                <w:highlight w:val="none"/>
              </w:rPr>
              <w:t>21．传统制造类行业案例：主要经营单车、摩托、pro三种产品，分为外形拉风、科技体验、安全舒适三个系列；原材料包含环保金属、天然橡胶、五金耗材、动力系统；主要面向国内市场、亚洲市场、国际市场。主要生产线包括传统线、全自动线、全智能线。</w:t>
            </w:r>
          </w:p>
        </w:tc>
      </w:tr>
      <w:tr w14:paraId="0E7A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28B5C85E">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w:t>
            </w:r>
          </w:p>
        </w:tc>
        <w:tc>
          <w:tcPr>
            <w:tcW w:w="1985" w:type="dxa"/>
            <w:noWrap w:val="0"/>
            <w:vAlign w:val="center"/>
          </w:tcPr>
          <w:p w14:paraId="4DFBA912">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color w:val="000000"/>
                <w:kern w:val="0"/>
                <w:sz w:val="21"/>
                <w:szCs w:val="21"/>
                <w:highlight w:val="none"/>
              </w:rPr>
              <w:t>学生实训终端</w:t>
            </w:r>
          </w:p>
        </w:tc>
        <w:tc>
          <w:tcPr>
            <w:tcW w:w="6214" w:type="dxa"/>
            <w:noWrap/>
            <w:vAlign w:val="center"/>
          </w:tcPr>
          <w:p w14:paraId="3A83B5DB">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★1.CPU：≥i5 12400；</w:t>
            </w:r>
          </w:p>
          <w:p w14:paraId="03DF5729">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2.主板：不低于B760芯片组主板 ，主板原生带不少于三个视频接口，其中VGA 1个、HDMI 1个、DP 1个，扩展槽：1个PCI-Ex16,2个PCI-Ex1,1个PCI，3个M.2；</w:t>
            </w:r>
          </w:p>
          <w:p w14:paraId="071044A1">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★3.内存：16G ；</w:t>
            </w:r>
          </w:p>
          <w:p w14:paraId="126D9053">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★4.硬盘：512G M.2 SSD（ NVMe）固态硬盘；</w:t>
            </w:r>
          </w:p>
          <w:p w14:paraId="7ADD9E1F">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5.声卡：集成，5.1声道；</w:t>
            </w:r>
          </w:p>
          <w:p w14:paraId="639A41D9">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6.USB键鼠套装 ；</w:t>
            </w:r>
          </w:p>
          <w:p w14:paraId="3363BA2A">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7.电源： 不小于180W静音电源，要求具备动态管理电源的功能；</w:t>
            </w:r>
          </w:p>
          <w:p w14:paraId="52C4AE03">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★8.显示器：23.8”LED宽屏 VGA+HDMI（要求能在低分辨率显示器上呈现高画质网页，提供相关证明）；</w:t>
            </w:r>
          </w:p>
          <w:p w14:paraId="65BD8996">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9.机箱：顶置机箱提手，主机前面板具有可拆卸防尘网、 顶置开关；</w:t>
            </w:r>
          </w:p>
          <w:p w14:paraId="37156C1B">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 xml:space="preserve">★10.必须带重启键(提供该项功能截图)；   </w:t>
            </w:r>
          </w:p>
          <w:p w14:paraId="641646D3">
            <w:pPr>
              <w:widowControl/>
              <w:spacing w:line="312" w:lineRule="auto"/>
              <w:jc w:val="left"/>
              <w:rPr>
                <w:rFonts w:hint="eastAsia" w:ascii="宋体" w:hAnsi="宋体" w:eastAsia="宋体" w:cs="宋体"/>
                <w:b w:val="0"/>
                <w:bCs w:val="0"/>
                <w:spacing w:val="-3"/>
                <w:sz w:val="21"/>
                <w:szCs w:val="21"/>
                <w:highlight w:val="none"/>
                <w:lang w:eastAsia="zh-CN"/>
              </w:rPr>
            </w:pPr>
            <w:r>
              <w:rPr>
                <w:rFonts w:hint="eastAsia" w:ascii="宋体" w:hAnsi="宋体" w:eastAsia="宋体" w:cs="宋体"/>
                <w:b w:val="0"/>
                <w:bCs w:val="0"/>
                <w:spacing w:val="-3"/>
                <w:sz w:val="21"/>
                <w:szCs w:val="21"/>
                <w:highlight w:val="none"/>
              </w:rPr>
              <w:t xml:space="preserve">11.接口：不少于10个USB接口，其中前置4个USB 3.2 Gen2（红色接口），2个USB 3.2 Gen1 ，后置4个USB2.0 </w:t>
            </w:r>
            <w:r>
              <w:rPr>
                <w:rFonts w:hint="eastAsia" w:ascii="宋体" w:hAnsi="宋体" w:eastAsia="宋体" w:cs="宋体"/>
                <w:b w:val="0"/>
                <w:bCs w:val="0"/>
                <w:spacing w:val="-3"/>
                <w:sz w:val="21"/>
                <w:szCs w:val="21"/>
                <w:highlight w:val="none"/>
                <w:lang w:eastAsia="zh-CN"/>
              </w:rPr>
              <w:t>；</w:t>
            </w:r>
          </w:p>
          <w:p w14:paraId="558668CD">
            <w:pPr>
              <w:widowControl/>
              <w:jc w:val="left"/>
              <w:textAlignment w:val="center"/>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spacing w:val="-3"/>
                <w:sz w:val="21"/>
                <w:szCs w:val="21"/>
                <w:highlight w:val="none"/>
              </w:rPr>
              <w:t>★12. 投标产品通过有关人体辐射的认证，通过箱体封闭试验，提供相关证书</w:t>
            </w:r>
            <w:r>
              <w:rPr>
                <w:rFonts w:hint="eastAsia" w:ascii="宋体" w:hAnsi="宋体" w:eastAsia="宋体" w:cs="宋体"/>
                <w:b w:val="0"/>
                <w:bCs w:val="0"/>
                <w:spacing w:val="-3"/>
                <w:sz w:val="21"/>
                <w:szCs w:val="21"/>
                <w:highlight w:val="none"/>
                <w:lang w:eastAsia="zh-CN"/>
              </w:rPr>
              <w:t>。</w:t>
            </w:r>
          </w:p>
        </w:tc>
      </w:tr>
      <w:tr w14:paraId="1641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1535EECD">
            <w:pPr>
              <w:widowControl/>
              <w:jc w:val="center"/>
              <w:textAlignment w:val="center"/>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6</w:t>
            </w:r>
          </w:p>
        </w:tc>
        <w:tc>
          <w:tcPr>
            <w:tcW w:w="1985" w:type="dxa"/>
            <w:noWrap w:val="0"/>
            <w:vAlign w:val="center"/>
          </w:tcPr>
          <w:p w14:paraId="5E1C6D94">
            <w:pPr>
              <w:widowControl/>
              <w:jc w:val="center"/>
              <w:textAlignment w:val="center"/>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rPr>
              <w:t>教师实训终端</w:t>
            </w:r>
          </w:p>
        </w:tc>
        <w:tc>
          <w:tcPr>
            <w:tcW w:w="6214" w:type="dxa"/>
            <w:noWrap/>
            <w:vAlign w:val="center"/>
          </w:tcPr>
          <w:p w14:paraId="7DFA03D8">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★1.CPU：≥i5 12400；</w:t>
            </w:r>
          </w:p>
          <w:p w14:paraId="404C77DF">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2.主板：不低于B760芯片组主板 ，主板原生带不少于三个视频接口，其中VGA 1个、HDMI 1个、DP 1个，扩展槽：1个PCI-Ex16,2个PCI-Ex1,1个PCI，3个M.2；</w:t>
            </w:r>
          </w:p>
          <w:p w14:paraId="7F7342B2">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★3.内存：16G ；</w:t>
            </w:r>
          </w:p>
          <w:p w14:paraId="7615E76C">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★4.硬盘：512G M.2 SSD（ NVMe）固态硬盘；</w:t>
            </w:r>
          </w:p>
          <w:p w14:paraId="3EC5B56E">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5.声卡：集成，5.1声道；</w:t>
            </w:r>
          </w:p>
          <w:p w14:paraId="4E5D143B">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6.USB键鼠套装 ；</w:t>
            </w:r>
          </w:p>
          <w:p w14:paraId="00246B81">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7.电源： 不小于180W静音电源，要求具备动态管理电源的功能；</w:t>
            </w:r>
          </w:p>
          <w:p w14:paraId="545AD323">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★8.显示器：23.8”LED宽屏 VGA+HDMI（要求能在低分辨率显示器上呈现高画质网页，提供相关证明）；</w:t>
            </w:r>
          </w:p>
          <w:p w14:paraId="5C29B178">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9.机箱：顶置机箱提手，主机前面板具有可拆卸防尘网、 顶置开关；</w:t>
            </w:r>
          </w:p>
          <w:p w14:paraId="7B1AC714">
            <w:pPr>
              <w:widowControl/>
              <w:spacing w:line="312" w:lineRule="auto"/>
              <w:jc w:val="left"/>
              <w:rPr>
                <w:rFonts w:hint="eastAsia" w:ascii="宋体" w:hAnsi="宋体" w:eastAsia="宋体" w:cs="宋体"/>
                <w:b w:val="0"/>
                <w:bCs w:val="0"/>
                <w:spacing w:val="-3"/>
                <w:sz w:val="21"/>
                <w:szCs w:val="21"/>
                <w:highlight w:val="none"/>
              </w:rPr>
            </w:pPr>
            <w:r>
              <w:rPr>
                <w:rFonts w:hint="eastAsia" w:ascii="宋体" w:hAnsi="宋体" w:eastAsia="宋体" w:cs="宋体"/>
                <w:b w:val="0"/>
                <w:bCs w:val="0"/>
                <w:spacing w:val="-3"/>
                <w:sz w:val="21"/>
                <w:szCs w:val="21"/>
                <w:highlight w:val="none"/>
              </w:rPr>
              <w:t xml:space="preserve">★10.必须带重启键(提供该项功能截图)；   </w:t>
            </w:r>
          </w:p>
          <w:p w14:paraId="11D98C5A">
            <w:pPr>
              <w:widowControl/>
              <w:spacing w:line="312" w:lineRule="auto"/>
              <w:jc w:val="left"/>
              <w:rPr>
                <w:rFonts w:hint="eastAsia" w:ascii="宋体" w:hAnsi="宋体" w:eastAsia="宋体" w:cs="宋体"/>
                <w:b w:val="0"/>
                <w:bCs w:val="0"/>
                <w:spacing w:val="-3"/>
                <w:sz w:val="21"/>
                <w:szCs w:val="21"/>
                <w:highlight w:val="none"/>
                <w:lang w:eastAsia="zh-CN"/>
              </w:rPr>
            </w:pPr>
            <w:r>
              <w:rPr>
                <w:rFonts w:hint="eastAsia" w:ascii="宋体" w:hAnsi="宋体" w:eastAsia="宋体" w:cs="宋体"/>
                <w:b w:val="0"/>
                <w:bCs w:val="0"/>
                <w:spacing w:val="-3"/>
                <w:sz w:val="21"/>
                <w:szCs w:val="21"/>
                <w:highlight w:val="none"/>
              </w:rPr>
              <w:t xml:space="preserve">11.接口：不少于10个USB接口，其中前置4个USB 3.2 Gen2（红色接口），2个USB 3.2 Gen1 ，后置4个USB2.0 </w:t>
            </w:r>
            <w:r>
              <w:rPr>
                <w:rFonts w:hint="eastAsia" w:ascii="宋体" w:hAnsi="宋体" w:eastAsia="宋体" w:cs="宋体"/>
                <w:b w:val="0"/>
                <w:bCs w:val="0"/>
                <w:spacing w:val="-3"/>
                <w:sz w:val="21"/>
                <w:szCs w:val="21"/>
                <w:highlight w:val="none"/>
                <w:lang w:eastAsia="zh-CN"/>
              </w:rPr>
              <w:t>；</w:t>
            </w:r>
          </w:p>
          <w:p w14:paraId="7B9F1516">
            <w:pPr>
              <w:widowControl/>
              <w:jc w:val="left"/>
              <w:textAlignment w:val="center"/>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spacing w:val="-3"/>
                <w:sz w:val="21"/>
                <w:szCs w:val="21"/>
                <w:highlight w:val="none"/>
              </w:rPr>
              <w:t>★12. 投标产品通过有关人体辐射的认证，通过箱体封闭试验，提供相关证书</w:t>
            </w:r>
            <w:r>
              <w:rPr>
                <w:rFonts w:hint="eastAsia" w:ascii="宋体" w:hAnsi="宋体" w:eastAsia="宋体" w:cs="宋体"/>
                <w:b w:val="0"/>
                <w:bCs w:val="0"/>
                <w:spacing w:val="-3"/>
                <w:sz w:val="21"/>
                <w:szCs w:val="21"/>
                <w:highlight w:val="none"/>
                <w:lang w:eastAsia="zh-CN"/>
              </w:rPr>
              <w:t>。</w:t>
            </w:r>
          </w:p>
        </w:tc>
      </w:tr>
      <w:tr w14:paraId="4A03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6F924668">
            <w:pPr>
              <w:widowControl/>
              <w:jc w:val="center"/>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7</w:t>
            </w:r>
          </w:p>
        </w:tc>
        <w:tc>
          <w:tcPr>
            <w:tcW w:w="1985" w:type="dxa"/>
            <w:noWrap w:val="0"/>
            <w:vAlign w:val="center"/>
          </w:tcPr>
          <w:p w14:paraId="65851474">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color w:val="000000"/>
                <w:kern w:val="0"/>
                <w:sz w:val="21"/>
                <w:szCs w:val="21"/>
                <w:highlight w:val="none"/>
              </w:rPr>
              <w:t>云桌面管理系统</w:t>
            </w:r>
          </w:p>
        </w:tc>
        <w:tc>
          <w:tcPr>
            <w:tcW w:w="6214" w:type="dxa"/>
            <w:noWrap/>
            <w:vAlign w:val="center"/>
          </w:tcPr>
          <w:p w14:paraId="3A81B158">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1.云桌面管理系统支持终端可独立运行，为确保服务器或网络发生故障时不影响教学工作的正常开展，要求服务器网络断开或服务器宕机的情况下，客户端可离线运行，保障业务过程不中断。</w:t>
            </w:r>
          </w:p>
          <w:p w14:paraId="4DDFEF17">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2.云桌面管理系统服务端软件完美支持Windows10/11/Server等操作系统，可以和教师电脑共用，以免教师要在教师电脑和服务器之间切换使用。</w:t>
            </w:r>
          </w:p>
          <w:p w14:paraId="45CFC9CF">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3.云桌面管理系统支持集中管理，镜像管理、终端管理、网络服务、系统设置等所有管理功能都集中在一个管理软件界面上，以便高效能管理。</w:t>
            </w:r>
          </w:p>
          <w:p w14:paraId="16A8B2FC">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4.云桌面管理系统支持选择全部或单独对终端设备远程设置，包括但不限于终端密码、修改终端管理频道、修改终端分辨率、镜像推送、终端升级与初始化等操作。</w:t>
            </w:r>
          </w:p>
          <w:p w14:paraId="4BA9782B">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5.支持管理员在服务端对终端进行批量配置管理，包括计算机名、IP地址与DNS等配置信息。</w:t>
            </w:r>
          </w:p>
          <w:p w14:paraId="619F67DF">
            <w:pPr>
              <w:widowControl/>
              <w:jc w:val="left"/>
              <w:textAlignment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6.云桌面管理系统支持应用软件批量更新，服务端更新好应用后，直接下发子镜像到终端即可完成应用更新，无需重新部署完整镜像。</w:t>
            </w:r>
          </w:p>
          <w:p w14:paraId="74FF2783">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7.</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kern w:val="0"/>
                <w:sz w:val="21"/>
                <w:szCs w:val="21"/>
                <w:highlight w:val="none"/>
              </w:rPr>
              <w:t>为满足不同场景的还原需求，可随时在云桌面管理系统根据使用需求修改终端还原模式，可支持持久、每次启动、每天还原、每周还原、每月还原等不少于5种的场景模式。</w:t>
            </w:r>
          </w:p>
          <w:p w14:paraId="6379701C">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8.</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kern w:val="0"/>
                <w:sz w:val="21"/>
                <w:szCs w:val="21"/>
                <w:highlight w:val="none"/>
              </w:rPr>
              <w:t>为了保障终端系统安全，能够按照USB设备类型选择是否允许使用某类型的USB设备，要求设备类型支持音频设备、通讯设备、视频设备、人机交互设备、打印机设备、大容量存储设备、数据控制设备等不少于七种设备类型。</w:t>
            </w:r>
          </w:p>
          <w:p w14:paraId="7ECCB6C8">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9.</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kern w:val="0"/>
                <w:sz w:val="21"/>
                <w:szCs w:val="21"/>
                <w:highlight w:val="none"/>
              </w:rPr>
              <w:t>支持镜像管理功能，管理员可对镜像进行编辑镜像信息、复制镜像、删除镜像、创建子镜像、合并子镜像、挂载镜像、卸载镜像等功能。</w:t>
            </w:r>
          </w:p>
          <w:p w14:paraId="39C72527">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10.</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kern w:val="0"/>
                <w:sz w:val="21"/>
                <w:szCs w:val="21"/>
                <w:highlight w:val="none"/>
              </w:rPr>
              <w:t>为了便于终端不同操作系统之间数据共享，支持在管理平台上选择全部或单独终端为其设置共享数据盘，管理员可远程设置终端共享数据盘的空间大小；支持批量取消或删除共享数据盘，为避免删除共享数据盘时出现误操作，需输入服务端管理密码确认删除操作。</w:t>
            </w:r>
          </w:p>
        </w:tc>
      </w:tr>
      <w:tr w14:paraId="17E9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44A72917">
            <w:pPr>
              <w:widowControl/>
              <w:jc w:val="center"/>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8</w:t>
            </w:r>
          </w:p>
        </w:tc>
        <w:tc>
          <w:tcPr>
            <w:tcW w:w="1985" w:type="dxa"/>
            <w:noWrap w:val="0"/>
            <w:vAlign w:val="center"/>
          </w:tcPr>
          <w:p w14:paraId="3717E898">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color w:val="000000"/>
                <w:kern w:val="0"/>
                <w:sz w:val="21"/>
                <w:szCs w:val="21"/>
                <w:highlight w:val="none"/>
              </w:rPr>
              <w:t>一体化光能板</w:t>
            </w:r>
          </w:p>
        </w:tc>
        <w:tc>
          <w:tcPr>
            <w:tcW w:w="6214" w:type="dxa"/>
            <w:noWrap/>
            <w:vAlign w:val="center"/>
          </w:tcPr>
          <w:p w14:paraId="202FBC00">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一、硬件配置：</w:t>
            </w:r>
          </w:p>
          <w:p w14:paraId="0D5DB24B">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1.整体尺寸≥4500*1150*120；中间显示屏幕：≥86英寸，LED背光源，亮度：≥500cd/m² ；对比度1200：1，图像分辨率：3840×2160。</w:t>
            </w:r>
          </w:p>
          <w:p w14:paraId="19CB7B50">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2.主屏屏幕显示比例16:9，4mm 防眩钢化玻璃。</w:t>
            </w:r>
          </w:p>
          <w:p w14:paraId="1562C678">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3.副屏采用无尘无耗材书写：凡是硬度适中的物体都可在板面上进行书写。</w:t>
            </w:r>
          </w:p>
          <w:p w14:paraId="73781CAD">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4.副屏透光率不低于87%，雾度不高于40%；书写笔迹可视距离≥40米，可视角度≥130°，对比度≥600:1。（提供国家认可CMA &amp; CNAS资质的第三方检测报告）</w:t>
            </w:r>
          </w:p>
          <w:p w14:paraId="526B93CD">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5.副屏擦除:可通过板擦任意对板书字迹进行局部擦除，设计一键清除按键，一键清除屏幕内容，表面擦除精度</w:t>
            </w:r>
            <w:r>
              <w:rPr>
                <w:rFonts w:hint="eastAsia" w:ascii="宋体" w:hAnsi="宋体" w:eastAsia="宋体" w:cs="宋体"/>
                <w:b w:val="0"/>
                <w:bCs w:val="0"/>
                <w:kern w:val="0"/>
                <w:sz w:val="21"/>
                <w:szCs w:val="21"/>
                <w:highlight w:val="none"/>
              </w:rPr>
              <w:t>＜10mm*10mm</w:t>
            </w:r>
            <w:r>
              <w:rPr>
                <w:rFonts w:hint="eastAsia" w:ascii="宋体" w:hAnsi="宋体" w:eastAsia="宋体" w:cs="宋体"/>
                <w:b w:val="0"/>
                <w:bCs w:val="0"/>
                <w:color w:val="000000"/>
                <w:kern w:val="0"/>
                <w:sz w:val="21"/>
                <w:szCs w:val="21"/>
                <w:highlight w:val="none"/>
              </w:rPr>
              <w:t>，擦除延时＜60ms。（提供国家认可CMA &amp; CNAS资质的第三方检测报告）</w:t>
            </w:r>
          </w:p>
          <w:p w14:paraId="58AA508B">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6.采用红外触摸技术，触摸点数支持至少20点同时触控；触摸速度快至2ms。</w:t>
            </w:r>
          </w:p>
          <w:p w14:paraId="27AD7BFB">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7.前置扬声器：高保真音响前置，采用环绕双声道增强技术，高保真悬浮式设计，2×15W扬声器。</w:t>
            </w:r>
          </w:p>
          <w:p w14:paraId="515BDDFA">
            <w:pPr>
              <w:pStyle w:val="3"/>
              <w:tabs>
                <w:tab w:val="left" w:pos="9214"/>
              </w:tabs>
              <w:spacing w:after="0" w:line="240" w:lineRule="auto"/>
              <w:ind w:right="0" w:firstLine="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8.快捷键：为方便老师操作，两侧副板板面配置课件模式、同步模式、板书模式、分屏模式、保存、擦除、黑屏、摄像头、录屏、三色笔等智能快捷键，与主显示屏实现互联。</w:t>
            </w:r>
          </w:p>
          <w:p w14:paraId="3BB15F4B">
            <w:pPr>
              <w:pStyle w:val="3"/>
              <w:tabs>
                <w:tab w:val="left" w:pos="9214"/>
              </w:tabs>
              <w:spacing w:after="0" w:line="240" w:lineRule="auto"/>
              <w:ind w:right="0" w:firstLine="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9.内置摄像头≥4800万像素，拾音距离不少于10米。（提供国家认可CMA &amp; CNAS资质的第三方检测报告并加盖</w:t>
            </w:r>
            <w:r>
              <w:rPr>
                <w:rFonts w:hint="eastAsia" w:ascii="宋体" w:hAnsi="宋体" w:cs="宋体"/>
                <w:b w:val="0"/>
                <w:bCs w:val="0"/>
                <w:color w:val="000000"/>
                <w:sz w:val="21"/>
                <w:szCs w:val="21"/>
                <w:highlight w:val="none"/>
                <w:lang w:val="en-US" w:eastAsia="zh-CN"/>
              </w:rPr>
              <w:t>供应商</w:t>
            </w:r>
            <w:r>
              <w:rPr>
                <w:rFonts w:hint="eastAsia" w:ascii="宋体" w:hAnsi="宋体" w:eastAsia="宋体" w:cs="宋体"/>
                <w:b w:val="0"/>
                <w:bCs w:val="0"/>
                <w:color w:val="000000"/>
                <w:sz w:val="21"/>
                <w:szCs w:val="21"/>
                <w:highlight w:val="none"/>
              </w:rPr>
              <w:t>公章）</w:t>
            </w:r>
          </w:p>
          <w:p w14:paraId="46A72E45">
            <w:pPr>
              <w:pStyle w:val="3"/>
              <w:tabs>
                <w:tab w:val="left" w:pos="9214"/>
              </w:tabs>
              <w:spacing w:after="0" w:line="240" w:lineRule="auto"/>
              <w:ind w:right="0" w:firstLine="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10.设备自带开放式嵌入式操作系统，Android系统运行内存：DDR4 ≥4G；存储≥32G；安卓版本11.0以上。</w:t>
            </w:r>
          </w:p>
          <w:p w14:paraId="571AA753">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二、内置电脑：</w:t>
            </w:r>
          </w:p>
          <w:p w14:paraId="4582CE68">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 xml:space="preserve">1、为方便用户后续自主升级维护，ops采用下插式，位于设备底部，不用拆侧板就可对ops进行维护升级。 </w:t>
            </w:r>
          </w:p>
          <w:p w14:paraId="4876A8FD">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2、CPU：不低于Intel i5（11代），集成显卡，内存DDR4 8G，固态硬盘256G，集成网卡，WIFI。</w:t>
            </w:r>
          </w:p>
          <w:p w14:paraId="1CF1111C">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三、软件功能：</w:t>
            </w:r>
          </w:p>
          <w:p w14:paraId="5D6D389A">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1、可通过两侧副板板面四种教学模式快捷键对主屏嵌入软件进行快捷操作，老师可根据授课习惯选择模式。</w:t>
            </w:r>
          </w:p>
          <w:p w14:paraId="6EBA11A6">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（1）同步模式。</w:t>
            </w:r>
          </w:p>
          <w:p w14:paraId="08B9568C">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（2）课件模式。</w:t>
            </w:r>
          </w:p>
          <w:p w14:paraId="4E120557">
            <w:pPr>
              <w:widowControl/>
              <w:spacing w:line="312" w:lineRule="auto"/>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（3）板书模式。</w:t>
            </w:r>
          </w:p>
          <w:p w14:paraId="1001D4FC">
            <w:pPr>
              <w:widowControl/>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color w:val="000000"/>
                <w:kern w:val="0"/>
                <w:sz w:val="21"/>
                <w:szCs w:val="21"/>
                <w:highlight w:val="none"/>
              </w:rPr>
              <w:t>（4）分屏模式。</w:t>
            </w:r>
          </w:p>
        </w:tc>
      </w:tr>
      <w:tr w14:paraId="2C06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2E0F4F83">
            <w:pPr>
              <w:widowControl/>
              <w:jc w:val="center"/>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9</w:t>
            </w:r>
          </w:p>
        </w:tc>
        <w:tc>
          <w:tcPr>
            <w:tcW w:w="1985" w:type="dxa"/>
            <w:noWrap w:val="0"/>
            <w:vAlign w:val="center"/>
          </w:tcPr>
          <w:p w14:paraId="270DDB7A">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color w:val="000000"/>
                <w:kern w:val="0"/>
                <w:sz w:val="21"/>
                <w:szCs w:val="21"/>
                <w:highlight w:val="none"/>
              </w:rPr>
              <w:t>多媒体讲桌</w:t>
            </w:r>
          </w:p>
        </w:tc>
        <w:tc>
          <w:tcPr>
            <w:tcW w:w="6214" w:type="dxa"/>
            <w:noWrap/>
            <w:vAlign w:val="center"/>
          </w:tcPr>
          <w:p w14:paraId="5879BD3C">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1.讲桌采用钢木结合，讲桌尺寸：1140*820*1000。</w:t>
            </w:r>
            <w:r>
              <w:rPr>
                <w:rFonts w:hint="eastAsia" w:ascii="宋体" w:hAnsi="宋体" w:eastAsia="宋体" w:cs="宋体"/>
                <w:b w:val="0"/>
                <w:bCs w:val="0"/>
                <w:kern w:val="0"/>
                <w:sz w:val="21"/>
                <w:szCs w:val="21"/>
                <w:highlight w:val="none"/>
              </w:rPr>
              <w:br w:type="textWrapping"/>
            </w:r>
            <w:r>
              <w:rPr>
                <w:rFonts w:hint="eastAsia" w:ascii="宋体" w:hAnsi="宋体" w:eastAsia="宋体" w:cs="宋体"/>
                <w:b w:val="0"/>
                <w:bCs w:val="0"/>
                <w:kern w:val="0"/>
                <w:sz w:val="21"/>
                <w:szCs w:val="21"/>
                <w:highlight w:val="none"/>
              </w:rPr>
              <w:t>2.中央控制区可以安装19.5-23.8英寸显示器且可根据视角调整角度。</w:t>
            </w:r>
            <w:r>
              <w:rPr>
                <w:rFonts w:hint="eastAsia" w:ascii="宋体" w:hAnsi="宋体" w:eastAsia="宋体" w:cs="宋体"/>
                <w:b w:val="0"/>
                <w:bCs w:val="0"/>
                <w:kern w:val="0"/>
                <w:sz w:val="21"/>
                <w:szCs w:val="21"/>
                <w:highlight w:val="none"/>
              </w:rPr>
              <w:br w:type="textWrapping"/>
            </w:r>
            <w:r>
              <w:rPr>
                <w:rFonts w:hint="eastAsia" w:ascii="宋体" w:hAnsi="宋体" w:eastAsia="宋体" w:cs="宋体"/>
                <w:b w:val="0"/>
                <w:bCs w:val="0"/>
                <w:kern w:val="0"/>
                <w:sz w:val="21"/>
                <w:szCs w:val="21"/>
                <w:highlight w:val="none"/>
              </w:rPr>
              <w:t>3.含座椅一把。</w:t>
            </w:r>
          </w:p>
        </w:tc>
      </w:tr>
      <w:tr w14:paraId="6942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0E626904">
            <w:pPr>
              <w:widowControl/>
              <w:jc w:val="center"/>
              <w:textAlignment w:val="center"/>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10</w:t>
            </w:r>
          </w:p>
        </w:tc>
        <w:tc>
          <w:tcPr>
            <w:tcW w:w="1985" w:type="dxa"/>
            <w:noWrap w:val="0"/>
            <w:vAlign w:val="center"/>
          </w:tcPr>
          <w:p w14:paraId="6B76E387">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kern w:val="0"/>
                <w:sz w:val="21"/>
                <w:szCs w:val="21"/>
                <w:highlight w:val="none"/>
                <w:lang w:val="en-US" w:eastAsia="zh-CN"/>
              </w:rPr>
              <w:t>多功能教学软件</w:t>
            </w:r>
          </w:p>
        </w:tc>
        <w:tc>
          <w:tcPr>
            <w:tcW w:w="6214" w:type="dxa"/>
            <w:noWrap/>
            <w:vAlign w:val="center"/>
          </w:tcPr>
          <w:p w14:paraId="73074245">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1.为便于课堂多位老师使用，要求提供C/S架构教学管理软件平台，平台至少需要包含教师端和学生端，并且教师端和学生端能够进行互动教学</w:t>
            </w:r>
          </w:p>
          <w:p w14:paraId="74922450">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2.为满足教师对教师端不同布局的偏好使用，软件同时提供4套或以上功能按钮的布局，不需要退出软件即可更换各种布局，布局至少有主功能条在上方、下方、左边和右边。</w:t>
            </w:r>
          </w:p>
          <w:p w14:paraId="6AE7811F">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3.班级模型中可以实时看到学生端桌面的缩图，以定期更新，且可以在教室端任意的设定学生坐位的行数和列数，可放大和缩小缩略图。</w:t>
            </w:r>
          </w:p>
          <w:p w14:paraId="20CB7AA8">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4.教师将屏幕或视频广播给学生，广播后开机的云终端可自动接受广播，为提高教学效率，在执行屏幕或视频广播的同时，学生端的键盘和鼠标被锁定。</w:t>
            </w:r>
          </w:p>
          <w:p w14:paraId="2E1AF652">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5.教师可以对单一、部分、全体学生执行黑屏肃静来禁止其进行任何操作，达到专心听课目的。</w:t>
            </w:r>
          </w:p>
          <w:p w14:paraId="1298A4C8">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6.允许教师将教师机不同盘符中的目录或文件一起发送至生机的某目录下，目录不存在则自动新建此目录，文件已存在则自动覆盖旧文件；</w:t>
            </w:r>
          </w:p>
          <w:p w14:paraId="7A691115">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7.学生可以把做好的作业直接提交到教师机，教师端可设置学生提交作业时是否需要教师同意，配置需要教师同意后，则必需经过教师审批通过后才可提交。</w:t>
            </w:r>
          </w:p>
          <w:p w14:paraId="13A6CF40">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8.支持投票功能，教师可通过选择题或判断题在课堂上发起投票，以考核学习成果</w:t>
            </w:r>
          </w:p>
          <w:p w14:paraId="6567152F">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9.支持签到功能，方便老师对学生的上课情况进行考勤并统计，让学生名字和座位对应，点名结果可以保存为班级模型，供下次上课时调用。此外，教师还可将签到信息导出</w:t>
            </w:r>
          </w:p>
          <w:p w14:paraId="642225E8">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10.教师端可以通过远程命令功能，远程关闭、重新启动所有学生端、远程打开/关闭学生端上应用程序、退出学生端等。</w:t>
            </w:r>
          </w:p>
          <w:p w14:paraId="2132509C">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11.学生端支持防杀进程、断线锁屏、语言选择，支持发送消息、呼叫、密码保护、修改频道及提交文件。</w:t>
            </w:r>
          </w:p>
        </w:tc>
      </w:tr>
      <w:tr w14:paraId="4A5E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78E85040">
            <w:pPr>
              <w:widowControl/>
              <w:jc w:val="center"/>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rPr>
              <w:t>1</w:t>
            </w:r>
            <w:r>
              <w:rPr>
                <w:rFonts w:hint="eastAsia" w:ascii="宋体" w:hAnsi="宋体" w:eastAsia="宋体" w:cs="宋体"/>
                <w:b w:val="0"/>
                <w:bCs w:val="0"/>
                <w:kern w:val="0"/>
                <w:sz w:val="21"/>
                <w:szCs w:val="21"/>
                <w:highlight w:val="none"/>
                <w:lang w:val="en-US" w:eastAsia="zh-CN"/>
              </w:rPr>
              <w:t>1</w:t>
            </w:r>
          </w:p>
        </w:tc>
        <w:tc>
          <w:tcPr>
            <w:tcW w:w="1985" w:type="dxa"/>
            <w:noWrap w:val="0"/>
            <w:vAlign w:val="center"/>
          </w:tcPr>
          <w:p w14:paraId="439E3889">
            <w:pPr>
              <w:widowControl/>
              <w:jc w:val="left"/>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000000"/>
                <w:kern w:val="0"/>
                <w:sz w:val="21"/>
                <w:szCs w:val="21"/>
                <w:highlight w:val="none"/>
              </w:rPr>
              <w:t>学生桌</w:t>
            </w:r>
            <w:r>
              <w:rPr>
                <w:rFonts w:hint="eastAsia" w:ascii="宋体" w:hAnsi="宋体" w:eastAsia="宋体" w:cs="宋体"/>
                <w:b w:val="0"/>
                <w:bCs w:val="0"/>
                <w:color w:val="000000"/>
                <w:kern w:val="0"/>
                <w:sz w:val="21"/>
                <w:szCs w:val="21"/>
                <w:highlight w:val="none"/>
                <w:lang w:val="en-US" w:eastAsia="zh-CN"/>
              </w:rPr>
              <w:t>子</w:t>
            </w:r>
          </w:p>
        </w:tc>
        <w:tc>
          <w:tcPr>
            <w:tcW w:w="6214" w:type="dxa"/>
            <w:noWrap/>
            <w:vAlign w:val="center"/>
          </w:tcPr>
          <w:p w14:paraId="123A6893">
            <w:pPr>
              <w:widowControl/>
              <w:numPr>
                <w:ilvl w:val="0"/>
                <w:numId w:val="2"/>
              </w:numPr>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桌面采用</w:t>
            </w:r>
            <w:r>
              <w:rPr>
                <w:rFonts w:hint="eastAsia" w:ascii="宋体" w:hAnsi="宋体" w:eastAsia="宋体" w:cs="宋体"/>
                <w:b w:val="0"/>
                <w:bCs w:val="0"/>
                <w:kern w:val="0"/>
                <w:sz w:val="21"/>
                <w:szCs w:val="21"/>
                <w:highlight w:val="none"/>
                <w:lang w:val="en-US" w:eastAsia="zh-CN"/>
              </w:rPr>
              <w:t>E0级环保</w:t>
            </w:r>
            <w:r>
              <w:rPr>
                <w:rFonts w:hint="eastAsia" w:ascii="宋体" w:hAnsi="宋体" w:eastAsia="宋体" w:cs="宋体"/>
                <w:b w:val="0"/>
                <w:bCs w:val="0"/>
                <w:kern w:val="0"/>
                <w:sz w:val="21"/>
                <w:szCs w:val="21"/>
                <w:highlight w:val="none"/>
              </w:rPr>
              <w:t>板</w:t>
            </w:r>
            <w:r>
              <w:rPr>
                <w:rFonts w:hint="eastAsia" w:ascii="宋体" w:hAnsi="宋体" w:eastAsia="宋体" w:cs="宋体"/>
                <w:b w:val="0"/>
                <w:bCs w:val="0"/>
                <w:kern w:val="0"/>
                <w:sz w:val="21"/>
                <w:szCs w:val="21"/>
                <w:highlight w:val="none"/>
                <w:lang w:val="en-US" w:eastAsia="zh-CN"/>
              </w:rPr>
              <w:t>材</w:t>
            </w:r>
            <w:r>
              <w:rPr>
                <w:rFonts w:hint="eastAsia" w:ascii="宋体" w:hAnsi="宋体" w:eastAsia="宋体" w:cs="宋体"/>
                <w:b w:val="0"/>
                <w:bCs w:val="0"/>
                <w:kern w:val="0"/>
                <w:sz w:val="21"/>
                <w:szCs w:val="21"/>
                <w:highlight w:val="none"/>
              </w:rPr>
              <w:t>，</w:t>
            </w:r>
            <w:r>
              <w:rPr>
                <w:rFonts w:hint="eastAsia" w:ascii="宋体" w:hAnsi="宋体" w:eastAsia="宋体" w:cs="宋体"/>
                <w:b w:val="0"/>
                <w:bCs w:val="0"/>
                <w:kern w:val="0"/>
                <w:sz w:val="21"/>
                <w:szCs w:val="21"/>
                <w:highlight w:val="none"/>
                <w:lang w:val="en-US" w:eastAsia="zh-CN"/>
              </w:rPr>
              <w:t>具备防火、防污、防损等特点，</w:t>
            </w:r>
            <w:r>
              <w:rPr>
                <w:rFonts w:hint="eastAsia" w:ascii="宋体" w:hAnsi="宋体" w:eastAsia="宋体" w:cs="宋体"/>
                <w:b w:val="0"/>
                <w:bCs w:val="0"/>
                <w:kern w:val="0"/>
                <w:sz w:val="21"/>
                <w:szCs w:val="21"/>
                <w:highlight w:val="none"/>
              </w:rPr>
              <w:t>颜色可选；</w:t>
            </w:r>
            <w:r>
              <w:rPr>
                <w:rFonts w:hint="eastAsia" w:ascii="宋体" w:hAnsi="宋体" w:eastAsia="宋体" w:cs="宋体"/>
                <w:b w:val="0"/>
                <w:bCs w:val="0"/>
                <w:kern w:val="0"/>
                <w:sz w:val="21"/>
                <w:szCs w:val="21"/>
                <w:highlight w:val="none"/>
              </w:rPr>
              <w:br w:type="textWrapping"/>
            </w:r>
            <w:r>
              <w:rPr>
                <w:rFonts w:hint="eastAsia" w:ascii="宋体" w:hAnsi="宋体" w:eastAsia="宋体" w:cs="宋体"/>
                <w:b w:val="0"/>
                <w:bCs w:val="0"/>
                <w:kern w:val="0"/>
                <w:sz w:val="21"/>
                <w:szCs w:val="21"/>
                <w:highlight w:val="none"/>
              </w:rPr>
              <w:t>2.</w:t>
            </w:r>
            <w:r>
              <w:rPr>
                <w:rFonts w:hint="eastAsia" w:ascii="宋体" w:hAnsi="宋体" w:eastAsia="宋体" w:cs="宋体"/>
                <w:b w:val="0"/>
                <w:bCs w:val="0"/>
                <w:kern w:val="0"/>
                <w:sz w:val="21"/>
                <w:szCs w:val="21"/>
                <w:highlight w:val="none"/>
                <w:lang w:val="en-US" w:eastAsia="zh-CN"/>
              </w:rPr>
              <w:t>桌体设有电脑主机的机箱托，键盘托和穿线孔等</w:t>
            </w:r>
          </w:p>
          <w:p w14:paraId="0088C1E1">
            <w:pPr>
              <w:widowControl/>
              <w:numPr>
                <w:ilvl w:val="0"/>
                <w:numId w:val="0"/>
              </w:numPr>
              <w:jc w:val="left"/>
              <w:textAlignment w:val="center"/>
              <w:rPr>
                <w:rFonts w:hint="default" w:ascii="宋体" w:hAnsi="宋体" w:eastAsia="宋体" w:cs="宋体"/>
                <w:b w:val="0"/>
                <w:bCs w:val="0"/>
                <w:kern w:val="0"/>
                <w:sz w:val="21"/>
                <w:szCs w:val="21"/>
                <w:highlight w:val="none"/>
                <w:lang w:val="en-US"/>
              </w:rPr>
            </w:pPr>
            <w:r>
              <w:rPr>
                <w:rFonts w:hint="eastAsia" w:ascii="宋体" w:hAnsi="宋体" w:eastAsia="宋体" w:cs="宋体"/>
                <w:b w:val="0"/>
                <w:bCs w:val="0"/>
                <w:kern w:val="0"/>
                <w:sz w:val="21"/>
                <w:szCs w:val="21"/>
                <w:highlight w:val="none"/>
                <w:lang w:val="en-US" w:eastAsia="zh-CN"/>
              </w:rPr>
              <w:t>3.整体尺寸约：长80*宽60*高75，需要和已有桌子配套</w:t>
            </w:r>
          </w:p>
        </w:tc>
      </w:tr>
      <w:tr w14:paraId="0E57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4F1B21BC">
            <w:pPr>
              <w:widowControl/>
              <w:jc w:val="center"/>
              <w:textAlignment w:val="center"/>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12</w:t>
            </w:r>
          </w:p>
        </w:tc>
        <w:tc>
          <w:tcPr>
            <w:tcW w:w="1985" w:type="dxa"/>
            <w:noWrap w:val="0"/>
            <w:vAlign w:val="center"/>
          </w:tcPr>
          <w:p w14:paraId="4325E6DF">
            <w:pPr>
              <w:widowControl/>
              <w:jc w:val="left"/>
              <w:textAlignment w:val="center"/>
              <w:rPr>
                <w:rFonts w:hint="default"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学生椅子</w:t>
            </w:r>
          </w:p>
        </w:tc>
        <w:tc>
          <w:tcPr>
            <w:tcW w:w="6214" w:type="dxa"/>
            <w:noWrap/>
            <w:vAlign w:val="center"/>
          </w:tcPr>
          <w:p w14:paraId="743CD6FC">
            <w:pPr>
              <w:widowControl/>
              <w:jc w:val="left"/>
              <w:textAlignment w:val="center"/>
              <w:rPr>
                <w:rFonts w:hint="default" w:ascii="宋体" w:hAnsi="宋体" w:eastAsia="宋体" w:cs="宋体"/>
                <w:b w:val="0"/>
                <w:bCs w:val="0"/>
                <w:kern w:val="0"/>
                <w:sz w:val="21"/>
                <w:szCs w:val="21"/>
                <w:highlight w:val="none"/>
                <w:lang w:val="en-US" w:eastAsia="zh-CN"/>
              </w:rPr>
            </w:pPr>
            <w:r>
              <w:rPr>
                <w:rFonts w:hint="default" w:ascii="宋体" w:hAnsi="宋体" w:eastAsia="宋体" w:cs="宋体"/>
                <w:b w:val="0"/>
                <w:bCs w:val="0"/>
                <w:kern w:val="0"/>
                <w:sz w:val="21"/>
                <w:szCs w:val="21"/>
                <w:highlight w:val="none"/>
                <w:lang w:val="en-US" w:eastAsia="zh-CN"/>
              </w:rPr>
              <w:t>配套桌子使用，采用人体工学设计，舒适耐用。椅面材质避免人造革，</w:t>
            </w:r>
            <w:r>
              <w:rPr>
                <w:rFonts w:ascii="Segoe UI" w:hAnsi="Segoe UI" w:eastAsia="Segoe UI" w:cs="Segoe UI"/>
                <w:i w:val="0"/>
                <w:iCs w:val="0"/>
                <w:caps w:val="0"/>
                <w:color w:val="0D0D0D"/>
                <w:spacing w:val="0"/>
                <w:sz w:val="21"/>
                <w:szCs w:val="21"/>
                <w:highlight w:val="none"/>
                <w:shd w:val="clear" w:color="auto" w:fill="FFFFFF"/>
              </w:rPr>
              <w:t>除靠背以外可推入桌子下方进行收纳</w:t>
            </w:r>
            <w:r>
              <w:rPr>
                <w:rFonts w:hint="default" w:ascii="宋体" w:hAnsi="宋体" w:eastAsia="宋体" w:cs="宋体"/>
                <w:b w:val="0"/>
                <w:bCs w:val="0"/>
                <w:kern w:val="0"/>
                <w:sz w:val="21"/>
                <w:szCs w:val="21"/>
                <w:highlight w:val="none"/>
                <w:lang w:val="en-US" w:eastAsia="zh-CN"/>
              </w:rPr>
              <w:t>，节省空间。</w:t>
            </w:r>
          </w:p>
        </w:tc>
      </w:tr>
      <w:tr w14:paraId="79A4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3DBEE84F">
            <w:pPr>
              <w:widowControl/>
              <w:jc w:val="center"/>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rPr>
              <w:t>1</w:t>
            </w:r>
            <w:r>
              <w:rPr>
                <w:rFonts w:hint="eastAsia" w:ascii="宋体" w:hAnsi="宋体" w:eastAsia="宋体" w:cs="宋体"/>
                <w:b w:val="0"/>
                <w:bCs w:val="0"/>
                <w:kern w:val="0"/>
                <w:sz w:val="21"/>
                <w:szCs w:val="21"/>
                <w:highlight w:val="none"/>
                <w:lang w:val="en-US" w:eastAsia="zh-CN"/>
              </w:rPr>
              <w:t>3</w:t>
            </w:r>
          </w:p>
        </w:tc>
        <w:tc>
          <w:tcPr>
            <w:tcW w:w="1985" w:type="dxa"/>
            <w:noWrap w:val="0"/>
            <w:vAlign w:val="center"/>
          </w:tcPr>
          <w:p w14:paraId="11349D3E">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color w:val="000000"/>
                <w:kern w:val="0"/>
                <w:sz w:val="21"/>
                <w:szCs w:val="21"/>
                <w:highlight w:val="none"/>
              </w:rPr>
              <w:t>千兆网络交换机</w:t>
            </w:r>
          </w:p>
        </w:tc>
        <w:tc>
          <w:tcPr>
            <w:tcW w:w="6214" w:type="dxa"/>
            <w:noWrap/>
            <w:vAlign w:val="center"/>
          </w:tcPr>
          <w:p w14:paraId="20A70D86">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1.交换容量598Gbps/5.98Tbps，包转发率160Mpps/1600Mpps；</w:t>
            </w:r>
          </w:p>
          <w:p w14:paraId="27FB5930">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2.48个10/100/1000M自适应电口，4个千兆SFP光口，双交流电源，1U标准机架；</w:t>
            </w:r>
          </w:p>
          <w:p w14:paraId="4FCB0D2D">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3.支持SSH、端口安全、用户分级、端口隔离、DHCPsnooping、DAI、ARPcheck、CPU保护；</w:t>
            </w:r>
          </w:p>
          <w:p w14:paraId="7971C873">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4.支持静态路由、IPv6静态路由，RIP、RIPng、OSPF、OSPFv3、ISIS、ISISv6、BGP、BGP4+等路由协议；</w:t>
            </w:r>
          </w:p>
          <w:p w14:paraId="55C6A82B">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5.支持VST，可以实现8台硬件设备之间的虚拟化部署；</w:t>
            </w:r>
          </w:p>
          <w:p w14:paraId="0EDE8991">
            <w:pPr>
              <w:widowControl/>
              <w:jc w:val="left"/>
              <w:textAlignment w:val="center"/>
              <w:rPr>
                <w:rFonts w:hint="eastAsia" w:ascii="宋体" w:hAnsi="宋体" w:eastAsia="宋体" w:cs="宋体"/>
                <w:b w:val="0"/>
                <w:bCs w:val="0"/>
                <w:kern w:val="0"/>
                <w:sz w:val="21"/>
                <w:szCs w:val="21"/>
                <w:highlight w:val="none"/>
              </w:rPr>
            </w:pPr>
          </w:p>
        </w:tc>
      </w:tr>
      <w:tr w14:paraId="5A17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1EE2D946">
            <w:pPr>
              <w:widowControl/>
              <w:jc w:val="center"/>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rPr>
              <w:t>1</w:t>
            </w:r>
            <w:r>
              <w:rPr>
                <w:rFonts w:hint="eastAsia" w:ascii="宋体" w:hAnsi="宋体" w:eastAsia="宋体" w:cs="宋体"/>
                <w:b w:val="0"/>
                <w:bCs w:val="0"/>
                <w:kern w:val="0"/>
                <w:sz w:val="21"/>
                <w:szCs w:val="21"/>
                <w:highlight w:val="none"/>
                <w:lang w:val="en-US" w:eastAsia="zh-CN"/>
              </w:rPr>
              <w:t>4</w:t>
            </w:r>
          </w:p>
        </w:tc>
        <w:tc>
          <w:tcPr>
            <w:tcW w:w="1985" w:type="dxa"/>
            <w:noWrap w:val="0"/>
            <w:vAlign w:val="center"/>
          </w:tcPr>
          <w:p w14:paraId="4F5E911E">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color w:val="000000"/>
                <w:kern w:val="0"/>
                <w:sz w:val="21"/>
                <w:szCs w:val="21"/>
                <w:highlight w:val="none"/>
              </w:rPr>
              <w:t>服务器</w:t>
            </w:r>
          </w:p>
        </w:tc>
        <w:tc>
          <w:tcPr>
            <w:tcW w:w="6214" w:type="dxa"/>
            <w:noWrap/>
            <w:vAlign w:val="center"/>
          </w:tcPr>
          <w:p w14:paraId="3760C163">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1.CPU：2*6138</w:t>
            </w:r>
          </w:p>
          <w:p w14:paraId="543713B4">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2.内存：配置≥128GB内存条，</w:t>
            </w:r>
          </w:p>
          <w:p w14:paraId="569F324B">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3.硬盘：1*480G SSD（系统盘）+2*4T SATA（数据盘），                        </w:t>
            </w:r>
          </w:p>
          <w:p w14:paraId="20939FBE">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4.支持RAID1，                                              </w:t>
            </w:r>
          </w:p>
          <w:p w14:paraId="38838883">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5.配置1个900W冗余热插拔电源</w:t>
            </w:r>
          </w:p>
          <w:p w14:paraId="52F3C4BD">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6.配套导轨   </w:t>
            </w:r>
          </w:p>
          <w:p w14:paraId="74CCC184">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7.网卡：双口千兆</w:t>
            </w:r>
          </w:p>
          <w:p w14:paraId="67F0DECC">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8.2U机架式</w:t>
            </w:r>
          </w:p>
        </w:tc>
      </w:tr>
      <w:tr w14:paraId="0945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6055C8F8">
            <w:pPr>
              <w:widowControl/>
              <w:jc w:val="center"/>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rPr>
              <w:t>1</w:t>
            </w:r>
            <w:r>
              <w:rPr>
                <w:rFonts w:hint="eastAsia" w:ascii="宋体" w:hAnsi="宋体" w:eastAsia="宋体" w:cs="宋体"/>
                <w:b w:val="0"/>
                <w:bCs w:val="0"/>
                <w:kern w:val="0"/>
                <w:sz w:val="21"/>
                <w:szCs w:val="21"/>
                <w:highlight w:val="none"/>
                <w:lang w:val="en-US" w:eastAsia="zh-CN"/>
              </w:rPr>
              <w:t>5</w:t>
            </w:r>
          </w:p>
        </w:tc>
        <w:tc>
          <w:tcPr>
            <w:tcW w:w="1985" w:type="dxa"/>
            <w:noWrap w:val="0"/>
            <w:vAlign w:val="center"/>
          </w:tcPr>
          <w:p w14:paraId="1B27A7F7">
            <w:pPr>
              <w:widowControl/>
              <w:jc w:val="center"/>
              <w:textAlignment w:val="center"/>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屏幕显示器设备</w:t>
            </w:r>
          </w:p>
        </w:tc>
        <w:tc>
          <w:tcPr>
            <w:tcW w:w="6214" w:type="dxa"/>
            <w:noWrap/>
            <w:vAlign w:val="center"/>
          </w:tcPr>
          <w:p w14:paraId="04D4E902">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75寸 HDMI输入高清显示</w:t>
            </w:r>
          </w:p>
        </w:tc>
      </w:tr>
      <w:tr w14:paraId="537B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5EFC3414">
            <w:pPr>
              <w:widowControl/>
              <w:jc w:val="center"/>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rPr>
              <w:t>1</w:t>
            </w:r>
            <w:r>
              <w:rPr>
                <w:rFonts w:hint="eastAsia" w:ascii="宋体" w:hAnsi="宋体" w:eastAsia="宋体" w:cs="宋体"/>
                <w:b w:val="0"/>
                <w:bCs w:val="0"/>
                <w:kern w:val="0"/>
                <w:sz w:val="21"/>
                <w:szCs w:val="21"/>
                <w:highlight w:val="none"/>
                <w:lang w:val="en-US" w:eastAsia="zh-CN"/>
              </w:rPr>
              <w:t>6</w:t>
            </w:r>
          </w:p>
        </w:tc>
        <w:tc>
          <w:tcPr>
            <w:tcW w:w="1985" w:type="dxa"/>
            <w:noWrap w:val="0"/>
            <w:vAlign w:val="center"/>
          </w:tcPr>
          <w:p w14:paraId="31A9F054">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高清摄像机</w:t>
            </w:r>
          </w:p>
        </w:tc>
        <w:tc>
          <w:tcPr>
            <w:tcW w:w="6214" w:type="dxa"/>
            <w:noWrap/>
            <w:vAlign w:val="center"/>
          </w:tcPr>
          <w:p w14:paraId="0DC4C2A5">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1.传感器类型：1/2.8英寸、207万有效像素 CMOS 传感器</w:t>
            </w:r>
          </w:p>
          <w:p w14:paraId="6796A2CC">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2.最大图像尺寸： 1920 x 1080 （1080P）</w:t>
            </w:r>
          </w:p>
          <w:p w14:paraId="32419814">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3.12倍光学变焦，16倍数字变焦</w:t>
            </w:r>
          </w:p>
          <w:p w14:paraId="319CDE0F">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4.视频输出接口：HDMI接口，3G-SDI接口，USB3.0接口</w:t>
            </w:r>
          </w:p>
          <w:p w14:paraId="536DE490">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5.水平视场角：72°</w:t>
            </w:r>
          </w:p>
          <w:p w14:paraId="279EBFA9">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6.预置位数量：245</w:t>
            </w:r>
          </w:p>
          <w:p w14:paraId="44F6D44E">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7.最低照度：0.5 Lux </w:t>
            </w:r>
          </w:p>
          <w:p w14:paraId="7C40BC1B">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8.通讯接口：RS-232，RS485</w:t>
            </w:r>
          </w:p>
          <w:p w14:paraId="714D3BA6">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9.信噪比：≥55dB</w:t>
            </w:r>
          </w:p>
          <w:p w14:paraId="39FB6273">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10.支持1080P@60 IP网络编码流输出</w:t>
            </w:r>
          </w:p>
        </w:tc>
      </w:tr>
      <w:tr w14:paraId="4724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3E44262B">
            <w:pPr>
              <w:widowControl/>
              <w:jc w:val="center"/>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rPr>
              <w:t>1</w:t>
            </w:r>
            <w:r>
              <w:rPr>
                <w:rFonts w:hint="eastAsia" w:ascii="宋体" w:hAnsi="宋体" w:eastAsia="宋体" w:cs="宋体"/>
                <w:b w:val="0"/>
                <w:bCs w:val="0"/>
                <w:kern w:val="0"/>
                <w:sz w:val="21"/>
                <w:szCs w:val="21"/>
                <w:highlight w:val="none"/>
                <w:lang w:val="en-US" w:eastAsia="zh-CN"/>
              </w:rPr>
              <w:t>7</w:t>
            </w:r>
          </w:p>
        </w:tc>
        <w:tc>
          <w:tcPr>
            <w:tcW w:w="1985" w:type="dxa"/>
            <w:noWrap w:val="0"/>
            <w:vAlign w:val="center"/>
          </w:tcPr>
          <w:p w14:paraId="7DB423CB">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音频处理套装</w:t>
            </w:r>
          </w:p>
        </w:tc>
        <w:tc>
          <w:tcPr>
            <w:tcW w:w="6214" w:type="dxa"/>
            <w:noWrap/>
            <w:vAlign w:val="center"/>
          </w:tcPr>
          <w:p w14:paraId="486AB839">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1.支持多麦克风组合实现互动对讲,拾音范围可覆盖8*10m教室区域；</w:t>
            </w:r>
          </w:p>
          <w:p w14:paraId="4CE1E33C">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2.外接兼容性强：2个阵列麦接口，支持无线麦接入、PC IN、AEC IN及AEC OUT、SPK OUT，支持RJ45网络工具调试控制；</w:t>
            </w:r>
          </w:p>
          <w:p w14:paraId="5F001F69">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3.高性能阵列麦算法：自动噪声抑制（ANS）、自动回声消除（AEC）、自动增益控制（AGC）、混响抑制（ARR）、平稳噪声、瞬态噪声、波束成形等音频预处理算法，可有效提升语音扩声互动的质量；</w:t>
            </w:r>
          </w:p>
        </w:tc>
      </w:tr>
      <w:tr w14:paraId="00F2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23A82AA7">
            <w:pPr>
              <w:widowControl/>
              <w:jc w:val="center"/>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rPr>
              <w:t>1</w:t>
            </w:r>
            <w:r>
              <w:rPr>
                <w:rFonts w:hint="eastAsia" w:ascii="宋体" w:hAnsi="宋体" w:eastAsia="宋体" w:cs="宋体"/>
                <w:b w:val="0"/>
                <w:bCs w:val="0"/>
                <w:kern w:val="0"/>
                <w:sz w:val="21"/>
                <w:szCs w:val="21"/>
                <w:highlight w:val="none"/>
                <w:lang w:val="en-US" w:eastAsia="zh-CN"/>
              </w:rPr>
              <w:t>8</w:t>
            </w:r>
          </w:p>
        </w:tc>
        <w:tc>
          <w:tcPr>
            <w:tcW w:w="1985" w:type="dxa"/>
            <w:noWrap w:val="0"/>
            <w:vAlign w:val="center"/>
          </w:tcPr>
          <w:p w14:paraId="2DE989F4">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音响</w:t>
            </w:r>
          </w:p>
        </w:tc>
        <w:tc>
          <w:tcPr>
            <w:tcW w:w="6214" w:type="dxa"/>
            <w:noWrap/>
            <w:vAlign w:val="center"/>
          </w:tcPr>
          <w:p w14:paraId="108A740A">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1.工程注塑箱体一次成型平板式设计，胶网回音吸收布沙罩、一体机型双声道、长155cm/高14cm/10cm，LED数字动态屏显示、高低音6单元设计，双4寸低频音扬声器定位准确，2寸高音细腻，。  </w:t>
            </w:r>
          </w:p>
          <w:p w14:paraId="25F0FA6E">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 1路有线广播应急切换输入、5秒钟后自动恢复教室扩声。</w:t>
            </w:r>
          </w:p>
          <w:p w14:paraId="3F5AF7A9">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3. 1组音频输入、1路录音输出、1路无线话筒输入。 </w:t>
            </w:r>
          </w:p>
          <w:p w14:paraId="754418AE">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4.功率：2×80W </w:t>
            </w:r>
          </w:p>
          <w:p w14:paraId="646A9751">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 xml:space="preserve">5.灵敏度：86dB  </w:t>
            </w:r>
          </w:p>
          <w:p w14:paraId="698AE906">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6.线路输出：0.775V</w:t>
            </w:r>
          </w:p>
          <w:p w14:paraId="47EEF61D">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7.频率响应：30Hz-18KHz</w:t>
            </w:r>
          </w:p>
          <w:p w14:paraId="207C027E">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8.信噪比：≥80dB</w:t>
            </w:r>
          </w:p>
          <w:p w14:paraId="36F2E11F">
            <w:pPr>
              <w:widowControl/>
              <w:jc w:val="left"/>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9.开关电源宽电压设计，交流90V-260V工作。</w:t>
            </w:r>
          </w:p>
        </w:tc>
      </w:tr>
      <w:tr w14:paraId="63D1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9" w:type="dxa"/>
            <w:noWrap w:val="0"/>
            <w:vAlign w:val="center"/>
          </w:tcPr>
          <w:p w14:paraId="15D744D4">
            <w:pPr>
              <w:widowControl/>
              <w:jc w:val="center"/>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rPr>
              <w:t>1</w:t>
            </w:r>
            <w:r>
              <w:rPr>
                <w:rFonts w:hint="eastAsia" w:ascii="宋体" w:hAnsi="宋体" w:eastAsia="宋体" w:cs="宋体"/>
                <w:b w:val="0"/>
                <w:bCs w:val="0"/>
                <w:kern w:val="0"/>
                <w:sz w:val="21"/>
                <w:szCs w:val="21"/>
                <w:highlight w:val="none"/>
                <w:lang w:val="en-US" w:eastAsia="zh-CN"/>
              </w:rPr>
              <w:t>9</w:t>
            </w:r>
          </w:p>
        </w:tc>
        <w:tc>
          <w:tcPr>
            <w:tcW w:w="1985" w:type="dxa"/>
            <w:noWrap w:val="0"/>
            <w:vAlign w:val="center"/>
          </w:tcPr>
          <w:p w14:paraId="12E89F5C">
            <w:pPr>
              <w:widowControl/>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color w:val="000000"/>
                <w:kern w:val="0"/>
                <w:sz w:val="21"/>
                <w:szCs w:val="21"/>
                <w:highlight w:val="none"/>
              </w:rPr>
              <w:t>综合布线、墙壁粉刷</w:t>
            </w:r>
          </w:p>
        </w:tc>
        <w:tc>
          <w:tcPr>
            <w:tcW w:w="6214" w:type="dxa"/>
            <w:noWrap/>
            <w:vAlign w:val="center"/>
          </w:tcPr>
          <w:p w14:paraId="6D6842B9">
            <w:pPr>
              <w:widowControl/>
              <w:jc w:val="left"/>
              <w:textAlignment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1.原实验室物品及器械的拆装、搬运及垃圾清运。</w:t>
            </w:r>
          </w:p>
          <w:p w14:paraId="6BF3BD1D">
            <w:pPr>
              <w:widowControl/>
              <w:jc w:val="left"/>
              <w:textAlignment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2.布线规范：符合《中华人民共和国国家标准-综合布线系统工程设计规范》。</w:t>
            </w:r>
          </w:p>
          <w:p w14:paraId="4CD33866">
            <w:pPr>
              <w:widowControl/>
              <w:jc w:val="left"/>
              <w:textAlignment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3.网线及配件：符合国标要求。</w:t>
            </w:r>
          </w:p>
          <w:p w14:paraId="436EFB44">
            <w:pPr>
              <w:widowControl/>
              <w:jc w:val="left"/>
              <w:textAlignment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4.配套电源插排防雷电，符合国标。</w:t>
            </w:r>
          </w:p>
          <w:p w14:paraId="362542C0">
            <w:pPr>
              <w:widowControl/>
              <w:jc w:val="left"/>
              <w:textAlignment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5.含网线、卡子、扎带、胶带、电线线缆、配线架实训室设备连接所必须辅材辅料。</w:t>
            </w:r>
          </w:p>
          <w:p w14:paraId="53ABD594">
            <w:pPr>
              <w:widowControl/>
              <w:jc w:val="left"/>
              <w:textAlignment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6.粉刷涂料：符合国标要求。</w:t>
            </w:r>
          </w:p>
          <w:p w14:paraId="3819E73F">
            <w:pPr>
              <w:widowControl/>
              <w:jc w:val="left"/>
              <w:textAlignment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7.室内装饰（如文化墙制作等）</w:t>
            </w:r>
          </w:p>
          <w:p w14:paraId="51B9A4C4">
            <w:pPr>
              <w:widowControl/>
              <w:jc w:val="left"/>
              <w:textAlignment w:val="center"/>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8.规范水电、动火作业及有害气体管控，确保房屋结构、环境及人员安全，有明确的施工资质。</w:t>
            </w:r>
          </w:p>
        </w:tc>
      </w:tr>
    </w:tbl>
    <w:p w14:paraId="0041B0CA">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94A708"/>
    <w:multiLevelType w:val="singleLevel"/>
    <w:tmpl w:val="4094A708"/>
    <w:lvl w:ilvl="0" w:tentative="0">
      <w:start w:val="1"/>
      <w:numFmt w:val="decimal"/>
      <w:lvlText w:val="%1."/>
      <w:lvlJc w:val="left"/>
      <w:pPr>
        <w:tabs>
          <w:tab w:val="left" w:pos="312"/>
        </w:tabs>
      </w:pPr>
    </w:lvl>
  </w:abstractNum>
  <w:abstractNum w:abstractNumId="1">
    <w:nsid w:val="67D0F856"/>
    <w:multiLevelType w:val="singleLevel"/>
    <w:tmpl w:val="67D0F85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2M5N2I5NGZmMGMzZTk0MjlmZjkyNGY3OGE0MDkifQ=="/>
  </w:docVars>
  <w:rsids>
    <w:rsidRoot w:val="780B169C"/>
    <w:rsid w:val="03767EB5"/>
    <w:rsid w:val="06821DBD"/>
    <w:rsid w:val="0A6E5D8A"/>
    <w:rsid w:val="0CD8573D"/>
    <w:rsid w:val="260929B3"/>
    <w:rsid w:val="272C0707"/>
    <w:rsid w:val="27F84C35"/>
    <w:rsid w:val="2D656721"/>
    <w:rsid w:val="531243A6"/>
    <w:rsid w:val="62A768B8"/>
    <w:rsid w:val="780B169C"/>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宋体"/>
      <w:b/>
      <w:kern w:val="44"/>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14137</Words>
  <Characters>15151</Characters>
  <Lines>0</Lines>
  <Paragraphs>0</Paragraphs>
  <TotalTime>0</TotalTime>
  <ScaleCrop>false</ScaleCrop>
  <LinksUpToDate>false</LinksUpToDate>
  <CharactersWithSpaces>15330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2025-06-20T06:30:00Z</dcterms:created>
  <dc:creator>中金泰富工程管理有限公司:毕玮</dc:creator>
  <cp:lastModifiedBy>中金泰富工程管理有限公司:毕玮</cp:lastModifiedBy>
  <dcterms:modified xsi:type="dcterms:W3CDTF">2025-06-20T07:15:21Z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A8A07910091F47CEADB0337710964D16_11</vt:lpwstr>
  </property>
</Properties>
</file>