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宋体" w:eastAsia="宋体" w:cs="Times New Roman"/>
          <w:b/>
          <w:bCs/>
          <w:sz w:val="44"/>
          <w:szCs w:val="24"/>
        </w:rPr>
      </w:pPr>
      <w:r>
        <w:rPr>
          <w:rFonts w:ascii="Times New Roman" w:hAnsi="宋体" w:eastAsia="宋体" w:cs="Times New Roman"/>
          <w:b/>
          <w:bCs/>
          <w:sz w:val="44"/>
          <w:szCs w:val="24"/>
        </w:rPr>
        <w:t>河南理工大学</w:t>
      </w:r>
      <w:r>
        <w:rPr>
          <w:rFonts w:hint="eastAsia" w:ascii="宋体" w:hAnsi="宋体" w:cs="宋体"/>
          <w:b/>
          <w:kern w:val="0"/>
          <w:sz w:val="44"/>
          <w:szCs w:val="44"/>
        </w:rPr>
        <w:t>智慧教室标准化考场建设</w:t>
      </w:r>
      <w:r>
        <w:rPr>
          <w:rFonts w:hint="eastAsia" w:ascii="宋体" w:hAnsi="宋体" w:cs="宋体"/>
          <w:b/>
          <w:kern w:val="0"/>
          <w:sz w:val="44"/>
          <w:szCs w:val="44"/>
          <w:lang w:val="en-US" w:eastAsia="zh-CN"/>
        </w:rPr>
        <w:t>项目</w:t>
      </w:r>
      <w:r>
        <w:rPr>
          <w:rFonts w:hint="eastAsia" w:ascii="Times New Roman" w:hAnsi="宋体" w:eastAsia="宋体" w:cs="Times New Roman"/>
          <w:b/>
          <w:bCs/>
          <w:sz w:val="44"/>
          <w:szCs w:val="24"/>
        </w:rPr>
        <w:t xml:space="preserve">             </w:t>
      </w:r>
    </w:p>
    <w:p>
      <w:pPr>
        <w:jc w:val="center"/>
        <w:rPr>
          <w:rFonts w:ascii="Times New Roman" w:hAnsi="Times New Roman" w:eastAsia="宋体" w:cs="Times New Roman"/>
          <w:b/>
          <w:bCs/>
          <w:sz w:val="44"/>
          <w:szCs w:val="24"/>
        </w:rPr>
      </w:pPr>
      <w:r>
        <w:rPr>
          <w:rFonts w:ascii="Times New Roman" w:hAnsi="宋体" w:eastAsia="宋体" w:cs="Times New Roman"/>
          <w:b/>
          <w:bCs/>
          <w:sz w:val="44"/>
          <w:szCs w:val="24"/>
        </w:rPr>
        <w:t>采购合同书</w:t>
      </w:r>
    </w:p>
    <w:p>
      <w:pPr>
        <w:spacing w:line="500" w:lineRule="exact"/>
        <w:rPr>
          <w:rFonts w:ascii="宋体" w:hAnsi="宋体" w:eastAsia="宋体" w:cs="宋体"/>
          <w:sz w:val="28"/>
          <w:szCs w:val="28"/>
        </w:rPr>
      </w:pPr>
      <w:r>
        <w:rPr>
          <w:rFonts w:hint="eastAsia" w:ascii="宋体" w:hAnsi="宋体" w:eastAsia="宋体" w:cs="宋体"/>
          <w:sz w:val="28"/>
          <w:szCs w:val="28"/>
        </w:rPr>
        <w:t xml:space="preserve">备案编号：HPU政采-2024-A- </w:t>
      </w:r>
      <w:r>
        <w:rPr>
          <w:rFonts w:ascii="宋体" w:hAnsi="宋体" w:eastAsia="宋体" w:cs="宋体"/>
          <w:sz w:val="28"/>
          <w:szCs w:val="28"/>
        </w:rPr>
        <w:t>14</w:t>
      </w:r>
    </w:p>
    <w:p>
      <w:pPr>
        <w:spacing w:line="500" w:lineRule="exact"/>
        <w:rPr>
          <w:rFonts w:hint="eastAsia" w:ascii="宋体" w:hAnsi="宋体" w:eastAsia="宋体" w:cs="宋体"/>
          <w:sz w:val="28"/>
          <w:szCs w:val="28"/>
        </w:rPr>
      </w:pPr>
      <w:r>
        <w:rPr>
          <w:rFonts w:hint="eastAsia" w:ascii="宋体" w:hAnsi="宋体" w:eastAsia="宋体" w:cs="宋体"/>
          <w:sz w:val="28"/>
          <w:szCs w:val="28"/>
        </w:rPr>
        <w:t xml:space="preserve">采购编号：豫财磋商采购-2024-183 </w:t>
      </w:r>
    </w:p>
    <w:p>
      <w:pPr>
        <w:spacing w:line="500" w:lineRule="exact"/>
        <w:rPr>
          <w:rFonts w:hint="eastAsia" w:ascii="宋体" w:hAnsi="宋体" w:eastAsia="宋体" w:cs="宋体"/>
          <w:sz w:val="28"/>
          <w:szCs w:val="28"/>
        </w:rPr>
      </w:pPr>
      <w:r>
        <w:rPr>
          <w:rFonts w:hint="eastAsia" w:ascii="宋体" w:hAnsi="宋体" w:eastAsia="宋体" w:cs="宋体"/>
          <w:sz w:val="28"/>
          <w:szCs w:val="28"/>
        </w:rPr>
        <w:t>供方：河南华视云信息科技有限公司   签约时间：2024年</w:t>
      </w:r>
      <w:r>
        <w:rPr>
          <w:rFonts w:hint="eastAsia" w:ascii="宋体" w:hAnsi="宋体" w:eastAsia="宋体" w:cs="宋体"/>
          <w:sz w:val="28"/>
          <w:szCs w:val="28"/>
          <w:lang w:val="en-US" w:eastAsia="zh-CN"/>
        </w:rPr>
        <w:t>5</w:t>
      </w:r>
      <w:r>
        <w:rPr>
          <w:rFonts w:hint="eastAsia" w:ascii="宋体" w:hAnsi="宋体" w:eastAsia="宋体" w:cs="宋体"/>
          <w:sz w:val="28"/>
          <w:szCs w:val="28"/>
        </w:rPr>
        <w:t>月</w:t>
      </w:r>
      <w:r>
        <w:rPr>
          <w:rFonts w:hint="eastAsia" w:ascii="宋体" w:hAnsi="宋体" w:eastAsia="宋体" w:cs="宋体"/>
          <w:sz w:val="28"/>
          <w:szCs w:val="28"/>
          <w:lang w:val="en-US" w:eastAsia="zh-CN"/>
        </w:rPr>
        <w:t>21</w:t>
      </w:r>
      <w:r>
        <w:rPr>
          <w:rFonts w:hint="eastAsia" w:ascii="宋体" w:hAnsi="宋体" w:eastAsia="宋体" w:cs="宋体"/>
          <w:sz w:val="28"/>
          <w:szCs w:val="28"/>
        </w:rPr>
        <w:t>日</w:t>
      </w:r>
    </w:p>
    <w:p>
      <w:pPr>
        <w:spacing w:line="500" w:lineRule="exact"/>
        <w:rPr>
          <w:rFonts w:hint="eastAsia" w:ascii="宋体" w:hAnsi="宋体" w:eastAsia="宋体" w:cs="宋体"/>
          <w:sz w:val="28"/>
          <w:szCs w:val="28"/>
        </w:rPr>
      </w:pPr>
      <w:r>
        <w:rPr>
          <w:rFonts w:hint="eastAsia" w:ascii="宋体" w:hAnsi="宋体" w:eastAsia="宋体" w:cs="宋体"/>
          <w:sz w:val="28"/>
          <w:szCs w:val="28"/>
        </w:rPr>
        <w:t>需方：河南理工大学                签约地点：河南理工大学南校区</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供、需双方依据河南省机电设备国际招标有限公司签发的智慧教室标准化考场建设</w:t>
      </w:r>
      <w:r>
        <w:rPr>
          <w:rFonts w:hint="eastAsia" w:ascii="宋体" w:hAnsi="宋体" w:eastAsia="宋体" w:cs="宋体"/>
          <w:sz w:val="28"/>
          <w:szCs w:val="28"/>
          <w:lang w:val="en-US" w:eastAsia="zh-CN"/>
        </w:rPr>
        <w:t>项目</w:t>
      </w:r>
      <w:r>
        <w:rPr>
          <w:rFonts w:hint="eastAsia" w:ascii="宋体" w:hAnsi="宋体" w:eastAsia="宋体" w:cs="宋体"/>
          <w:sz w:val="28"/>
          <w:szCs w:val="28"/>
        </w:rPr>
        <w:t>采购编号：  豫财磋商采购-2024-183 号中标通知书，根据《中华人民共和国民法典》等有关规定以及需方采购文件和供方投标文件的内容，供需双方经友好协商，现达成以下条款：</w:t>
      </w:r>
    </w:p>
    <w:p>
      <w:pPr>
        <w:spacing w:line="500" w:lineRule="exact"/>
        <w:rPr>
          <w:rFonts w:hint="eastAsia" w:ascii="宋体" w:hAnsi="宋体" w:eastAsia="宋体" w:cs="宋体"/>
          <w:sz w:val="28"/>
          <w:szCs w:val="28"/>
        </w:rPr>
      </w:pPr>
      <w:r>
        <w:rPr>
          <w:rFonts w:hint="eastAsia" w:ascii="宋体" w:hAnsi="宋体" w:eastAsia="宋体" w:cs="宋体"/>
          <w:sz w:val="28"/>
          <w:szCs w:val="28"/>
        </w:rPr>
        <w:t>一、合同标的与价款</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本合同所指货物为智慧教室标准化考场建设（主要技术参数及配置见附件一、附件二），合同总价款为 3006900元（大写：人民币叁佰万陆仟玖佰元整）（含税）。</w:t>
      </w:r>
      <w:bookmarkStart w:id="0" w:name="_GoBack"/>
      <w:bookmarkEnd w:id="0"/>
    </w:p>
    <w:p>
      <w:pPr>
        <w:spacing w:line="500" w:lineRule="exact"/>
        <w:rPr>
          <w:rFonts w:hint="eastAsia" w:ascii="宋体" w:hAnsi="宋体" w:eastAsia="宋体" w:cs="宋体"/>
          <w:sz w:val="28"/>
          <w:szCs w:val="28"/>
        </w:rPr>
      </w:pPr>
      <w:r>
        <w:rPr>
          <w:rFonts w:hint="eastAsia" w:ascii="宋体" w:hAnsi="宋体" w:eastAsia="宋体" w:cs="宋体"/>
          <w:sz w:val="28"/>
          <w:szCs w:val="28"/>
        </w:rPr>
        <w:t>二、货物质量要求与售后服务要求</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供方应保证货物是全新、未使用过的，并完全符合强制性的国家技术质量规范和本合同附件一与附件二规定的质量、规格、性能及技术规范等要求。</w:t>
      </w:r>
    </w:p>
    <w:p>
      <w:pPr>
        <w:spacing w:line="500" w:lineRule="exact"/>
        <w:rPr>
          <w:rFonts w:hint="eastAsia" w:ascii="宋体" w:hAnsi="宋体" w:eastAsia="宋体" w:cs="宋体"/>
          <w:sz w:val="28"/>
          <w:szCs w:val="28"/>
        </w:rPr>
      </w:pPr>
      <w:r>
        <w:rPr>
          <w:rFonts w:hint="eastAsia" w:ascii="宋体" w:hAnsi="宋体" w:eastAsia="宋体" w:cs="宋体"/>
          <w:sz w:val="28"/>
          <w:szCs w:val="28"/>
        </w:rPr>
        <w:t>售后服务要求按采购文件及投标文件相应条款执行（详见附件三）。</w:t>
      </w:r>
    </w:p>
    <w:p>
      <w:pPr>
        <w:spacing w:line="500" w:lineRule="exact"/>
        <w:rPr>
          <w:rFonts w:hint="eastAsia" w:ascii="宋体" w:hAnsi="宋体" w:eastAsia="宋体" w:cs="宋体"/>
          <w:sz w:val="28"/>
          <w:szCs w:val="28"/>
        </w:rPr>
      </w:pPr>
      <w:r>
        <w:rPr>
          <w:rFonts w:hint="eastAsia" w:ascii="宋体" w:hAnsi="宋体" w:eastAsia="宋体" w:cs="宋体"/>
          <w:sz w:val="28"/>
          <w:szCs w:val="28"/>
        </w:rPr>
        <w:t>三、合同履行的地点及进度</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合同签字盖章后，供方应于本合同签订之日起 30 日内将合同条款中的全部货物运送到河南理工大学国有资产与实验室设备管理处指定地点，并按需方要求完成货物的安装、调试和人员培训，所发生的费用由供方负责。需方应在货物到达指定地点后，提供符合安装条件的场地、电源、环境等。</w:t>
      </w:r>
    </w:p>
    <w:p>
      <w:pPr>
        <w:spacing w:line="500" w:lineRule="exact"/>
        <w:rPr>
          <w:rFonts w:hint="eastAsia" w:ascii="宋体" w:hAnsi="宋体" w:eastAsia="宋体" w:cs="宋体"/>
          <w:sz w:val="28"/>
          <w:szCs w:val="28"/>
        </w:rPr>
      </w:pPr>
      <w:r>
        <w:rPr>
          <w:rFonts w:hint="eastAsia" w:ascii="宋体" w:hAnsi="宋体" w:eastAsia="宋体" w:cs="宋体"/>
          <w:sz w:val="28"/>
          <w:szCs w:val="28"/>
        </w:rPr>
        <w:t>四、技术资料</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合同生效后7天之内，供方应将每套货物的中文技术资料一套（如目录索引、操作手册、使用指南、维修指南（或）服务手册）寄给需方。另外一套完整的上述资料供方应包装好随同每批货物装箱发运。</w:t>
      </w:r>
    </w:p>
    <w:p>
      <w:pPr>
        <w:spacing w:line="500" w:lineRule="exact"/>
        <w:rPr>
          <w:rFonts w:hint="eastAsia" w:ascii="宋体" w:hAnsi="宋体" w:eastAsia="宋体" w:cs="宋体"/>
          <w:sz w:val="28"/>
          <w:szCs w:val="28"/>
        </w:rPr>
      </w:pPr>
      <w:r>
        <w:rPr>
          <w:rFonts w:hint="eastAsia" w:ascii="宋体" w:hAnsi="宋体" w:eastAsia="宋体" w:cs="宋体"/>
          <w:sz w:val="28"/>
          <w:szCs w:val="28"/>
        </w:rPr>
        <w:t>五、使用合同文件和资料</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事先未经需方书面同意，供方不得将由需方或代表需方提供的有关合同或任何合同条文、规格、计划、模型等提供给与履行本合同无关的任何其他人。即使向与履行本合同有关的人员提供，也应注意保密并限于履行合同所必需的范围。</w:t>
      </w:r>
    </w:p>
    <w:p>
      <w:pPr>
        <w:spacing w:line="500" w:lineRule="exact"/>
        <w:rPr>
          <w:rFonts w:hint="eastAsia" w:ascii="宋体" w:hAnsi="宋体" w:eastAsia="宋体" w:cs="宋体"/>
          <w:sz w:val="28"/>
          <w:szCs w:val="28"/>
        </w:rPr>
      </w:pPr>
      <w:r>
        <w:rPr>
          <w:rFonts w:hint="eastAsia" w:ascii="宋体" w:hAnsi="宋体" w:eastAsia="宋体" w:cs="宋体"/>
          <w:sz w:val="28"/>
          <w:szCs w:val="28"/>
        </w:rPr>
        <w:t>六、检验和测试</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货物抵达目的地后，由需方对货物的质量、规格、数量和重量进行检验，如果发现规格、数量或两者有与合同规定不一致的地方；或对成套货物安装调试、人员培训有异议的；或证实货物是有缺陷的，包括潜在的缺陷或使用不符合要求的材料等，需方应尽快以书面形式通知供方。供方在收到通知后最迟应于24小时内解决问题。</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如果供方在收到通知后7天内没有解决问题，需方可采取必要的补救措施，但由此引发的风险和费用均由供方承担。</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如供、需双方对货物的质量发生争议，可委托具有国家规定相关资质的第三方检验机构检验，检验和测试不论在何处发生，一切费用均由供方承担。</w:t>
      </w:r>
    </w:p>
    <w:p>
      <w:pPr>
        <w:spacing w:line="500" w:lineRule="exact"/>
        <w:rPr>
          <w:rFonts w:hint="eastAsia" w:ascii="宋体" w:hAnsi="宋体" w:eastAsia="宋体" w:cs="宋体"/>
          <w:sz w:val="28"/>
          <w:szCs w:val="28"/>
        </w:rPr>
      </w:pPr>
      <w:r>
        <w:rPr>
          <w:rFonts w:hint="eastAsia" w:ascii="宋体" w:hAnsi="宋体" w:eastAsia="宋体" w:cs="宋体"/>
          <w:sz w:val="28"/>
          <w:szCs w:val="28"/>
        </w:rPr>
        <w:t>七、验收</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供方在货物到达目的地后应按要求及时填写到货开箱验收报告（见附件四），需方在安装调试、人员培训完毕，且成套货物正常运行后应在30个工作日内完成验收。</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需方严格按合同内容进行验收，供方不得变更合同中的货物品牌、型号、规格等。如因特殊原因需要变更，则必须向需方递交书面变更申请，并经同意后方可更换，供方应承担因更换而支付的一切费用。未经需方同意而进行变更，需方有权不予验收，并视为违约行为，同时要求供方按原合同执行。因更换而造成逾期交货，仍按逾期交货处理。</w:t>
      </w:r>
    </w:p>
    <w:p>
      <w:pPr>
        <w:spacing w:line="500" w:lineRule="exact"/>
        <w:rPr>
          <w:rFonts w:hint="eastAsia" w:ascii="宋体" w:hAnsi="宋体" w:eastAsia="宋体" w:cs="宋体"/>
          <w:sz w:val="28"/>
          <w:szCs w:val="28"/>
        </w:rPr>
      </w:pPr>
      <w:r>
        <w:rPr>
          <w:rFonts w:hint="eastAsia" w:ascii="宋体" w:hAnsi="宋体" w:eastAsia="宋体" w:cs="宋体"/>
          <w:sz w:val="28"/>
          <w:szCs w:val="28"/>
        </w:rPr>
        <w:t>八、人员培训</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供方免费对需方人员进行技术培训。</w:t>
      </w:r>
    </w:p>
    <w:p>
      <w:pPr>
        <w:spacing w:line="500" w:lineRule="exact"/>
        <w:rPr>
          <w:rFonts w:hint="eastAsia" w:ascii="宋体" w:hAnsi="宋体" w:eastAsia="宋体" w:cs="宋体"/>
          <w:sz w:val="28"/>
          <w:szCs w:val="28"/>
        </w:rPr>
      </w:pPr>
      <w:r>
        <w:rPr>
          <w:rFonts w:hint="eastAsia" w:ascii="宋体" w:hAnsi="宋体" w:eastAsia="宋体" w:cs="宋体"/>
          <w:sz w:val="28"/>
          <w:szCs w:val="28"/>
        </w:rPr>
        <w:t>九、付款方式及期限</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1.供方开具以河南理工大学为客户名称的正规发票。</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2.付款期限：经需方验收合格并收到供方的正规发票后支付合同价款总额的100%（¥ 3006900元）。</w:t>
      </w:r>
    </w:p>
    <w:p>
      <w:pPr>
        <w:spacing w:line="500" w:lineRule="exact"/>
        <w:ind w:left="560" w:hanging="560" w:hangingChars="200"/>
        <w:rPr>
          <w:rFonts w:hint="eastAsia" w:ascii="宋体" w:hAnsi="宋体" w:eastAsia="宋体" w:cs="宋体"/>
          <w:sz w:val="28"/>
          <w:szCs w:val="28"/>
        </w:rPr>
      </w:pPr>
      <w:r>
        <w:rPr>
          <w:rFonts w:hint="eastAsia" w:ascii="宋体" w:hAnsi="宋体" w:eastAsia="宋体" w:cs="宋体"/>
          <w:sz w:val="28"/>
          <w:szCs w:val="28"/>
        </w:rPr>
        <w:t>十、供、需双方应严格遵守需方磋商文件中的投标要求和投标人须知，如有违反，按投标要求和投标人须知规定予以处理。</w:t>
      </w:r>
    </w:p>
    <w:p>
      <w:pPr>
        <w:spacing w:line="500" w:lineRule="exact"/>
        <w:ind w:left="560" w:hanging="560" w:hangingChars="200"/>
        <w:rPr>
          <w:rFonts w:hint="eastAsia" w:ascii="宋体" w:hAnsi="宋体" w:eastAsia="宋体" w:cs="宋体"/>
          <w:sz w:val="28"/>
          <w:szCs w:val="28"/>
        </w:rPr>
      </w:pPr>
      <w:r>
        <w:rPr>
          <w:rFonts w:hint="eastAsia" w:ascii="宋体" w:hAnsi="宋体" w:eastAsia="宋体" w:cs="宋体"/>
          <w:sz w:val="28"/>
          <w:szCs w:val="28"/>
        </w:rPr>
        <w:t>十一、采购文件及其修改、投标文件及其修改、澄清以及本合同书的附件均为本合同的组成部分。其效力顺序为：首先，本合同书及其附件，其次，采购文件及其修改，再次，投标文件及其修改、澄清。</w:t>
      </w:r>
    </w:p>
    <w:p>
      <w:pPr>
        <w:spacing w:line="500" w:lineRule="exact"/>
        <w:rPr>
          <w:rFonts w:hint="eastAsia" w:ascii="宋体" w:hAnsi="宋体" w:eastAsia="宋体" w:cs="宋体"/>
          <w:sz w:val="28"/>
          <w:szCs w:val="28"/>
        </w:rPr>
      </w:pPr>
      <w:r>
        <w:rPr>
          <w:rFonts w:hint="eastAsia" w:ascii="宋体" w:hAnsi="宋体" w:eastAsia="宋体" w:cs="宋体"/>
          <w:sz w:val="28"/>
          <w:szCs w:val="28"/>
        </w:rPr>
        <w:t>十二、违约与索赔</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未按期交付货物的，应向需方偿付违约金，违约金按每周合同总价款的0.5%计收。该违约金的最高限额为合同总价款的5%。一周按7天计算，不足7天按一周计算。如果达到最高限额，需方有权解除合同，同时保留向供方追诉的权利。</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供方不能交付货物的，应向需方偿付合同总价款5%的违约金，同时需方有权解除合同。需方无正当理由拒收货物，应向供方偿付拒收货物款额总值5%的违约金。</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如果供方对货物的偏差负有责任，而需方在规定的检验、安装、调试、验收和质量保证期内提出了索赔，供方应按照需方同意的下列一种或几种方式解决索赔事宜：</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1.供方同意退货并用合同规定的货币将货款退还给需方，并承担由此发生的一切损失和费用，包括利息、银行手续费、运费、保险费、检验费、仓储费、装卸费以及为看管和保护退回货物所需的其它必要费用。</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2.根据货物的偏差情况、损坏程度以及需方所遭受损失的金额，经需供双方商定降低货物的价格。</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用符合合同规定的规格、质量和性能要求的新零件、部件和（或）货物来更换有缺陷的部分和（或）修补缺陷部分，供方应承担一切费用和风险并负担需方蒙受的全部直接损失费用。同时，供方应延长所更换货物的质量保证期。</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如果在需方发出索赔通知后三十（30）天内，供方未作答复，需方所选择的上述索赔方式之一应视为已被供方接受。如供方未能在需方发出索赔通知后三十（30）天内或需方同意的延长期限内，按照需方同意的上述规定的任何一种方法解决索赔事宜，需方将从履约保证金和合同货款中扣回索赔金额。</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需方将根据违约严重程度视情况将供方列入需方的不良诚信记录名单，并向政府有关部门报送不良诚信记录。</w:t>
      </w:r>
    </w:p>
    <w:p>
      <w:pPr>
        <w:spacing w:line="500" w:lineRule="exact"/>
        <w:ind w:left="560" w:hanging="560" w:hangingChars="200"/>
        <w:rPr>
          <w:rFonts w:hint="eastAsia" w:ascii="宋体" w:hAnsi="宋体" w:eastAsia="宋体" w:cs="宋体"/>
          <w:sz w:val="28"/>
          <w:szCs w:val="28"/>
        </w:rPr>
      </w:pPr>
      <w:r>
        <w:rPr>
          <w:rFonts w:hint="eastAsia" w:ascii="宋体" w:hAnsi="宋体" w:eastAsia="宋体" w:cs="宋体"/>
          <w:sz w:val="28"/>
          <w:szCs w:val="28"/>
        </w:rPr>
        <w:t>十三、本合同签订和履行适用中华人民共和国法律，因履行合同发生的争议，由供需双方直接协商解决，如协商不成向合同签订地人民法院诉讼。</w:t>
      </w:r>
    </w:p>
    <w:p>
      <w:pPr>
        <w:spacing w:line="500" w:lineRule="exact"/>
        <w:ind w:left="560" w:hanging="560" w:hangingChars="200"/>
        <w:rPr>
          <w:rFonts w:hint="eastAsia" w:ascii="宋体" w:hAnsi="宋体" w:eastAsia="宋体" w:cs="宋体"/>
          <w:sz w:val="28"/>
          <w:szCs w:val="28"/>
        </w:rPr>
      </w:pPr>
      <w:r>
        <w:rPr>
          <w:rFonts w:hint="eastAsia" w:ascii="宋体" w:hAnsi="宋体" w:eastAsia="宋体" w:cs="宋体"/>
          <w:sz w:val="28"/>
          <w:szCs w:val="28"/>
        </w:rPr>
        <w:t>十四、本合同未尽事宜，供需双方可签订补充协议，与本合同具有同等法律效力。</w:t>
      </w:r>
    </w:p>
    <w:p>
      <w:pPr>
        <w:spacing w:line="500" w:lineRule="exact"/>
        <w:rPr>
          <w:rFonts w:hint="eastAsia" w:ascii="宋体" w:hAnsi="宋体" w:eastAsia="宋体" w:cs="宋体"/>
          <w:sz w:val="28"/>
          <w:szCs w:val="28"/>
        </w:rPr>
      </w:pPr>
      <w:r>
        <w:rPr>
          <w:rFonts w:hint="eastAsia" w:ascii="宋体" w:hAnsi="宋体" w:eastAsia="宋体" w:cs="宋体"/>
          <w:sz w:val="28"/>
          <w:szCs w:val="28"/>
        </w:rPr>
        <w:t>十五、合同生效及其它</w:t>
      </w:r>
    </w:p>
    <w:p>
      <w:pPr>
        <w:spacing w:line="5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供方应当在本合同签订时向需方提供本合同总价款5%的履约保函。</w:t>
      </w:r>
    </w:p>
    <w:p>
      <w:pPr>
        <w:spacing w:line="500" w:lineRule="exact"/>
        <w:rPr>
          <w:rFonts w:hint="eastAsia" w:ascii="宋体" w:hAnsi="宋体" w:eastAsia="宋体" w:cs="宋体"/>
          <w:sz w:val="28"/>
          <w:szCs w:val="28"/>
        </w:rPr>
      </w:pPr>
      <w:r>
        <w:rPr>
          <w:rFonts w:hint="eastAsia" w:ascii="宋体" w:hAnsi="宋体" w:eastAsia="宋体" w:cs="宋体"/>
          <w:sz w:val="28"/>
          <w:szCs w:val="28"/>
        </w:rPr>
        <w:t>本合同经双方代表签字、盖章后生效。本合同（共</w:t>
      </w:r>
      <w:r>
        <w:rPr>
          <w:rFonts w:hint="eastAsia" w:ascii="宋体" w:hAnsi="宋体" w:eastAsia="宋体" w:cs="宋体"/>
          <w:sz w:val="28"/>
          <w:szCs w:val="28"/>
          <w:lang w:val="en-US" w:eastAsia="zh-CN"/>
        </w:rPr>
        <w:t>31</w:t>
      </w:r>
      <w:r>
        <w:rPr>
          <w:rFonts w:hint="eastAsia" w:ascii="宋体" w:hAnsi="宋体" w:eastAsia="宋体" w:cs="宋体"/>
          <w:sz w:val="28"/>
          <w:szCs w:val="28"/>
        </w:rPr>
        <w:t>页）一式九份，需方五份，供方二份，招标公司二份。</w:t>
      </w: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pPr>
    </w:p>
    <w:p>
      <w:pPr>
        <w:spacing w:line="240" w:lineRule="auto"/>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5632450" cy="7507605"/>
            <wp:effectExtent l="0" t="0" r="6350" b="17145"/>
            <wp:docPr id="25" name="图片 25" descr="微信图片_202405221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40522154947"/>
                    <pic:cNvPicPr>
                      <a:picLocks noChangeAspect="1"/>
                    </pic:cNvPicPr>
                  </pic:nvPicPr>
                  <pic:blipFill>
                    <a:blip r:embed="rId8"/>
                    <a:stretch>
                      <a:fillRect/>
                    </a:stretch>
                  </pic:blipFill>
                  <pic:spPr>
                    <a:xfrm>
                      <a:off x="0" y="0"/>
                      <a:ext cx="5632450" cy="7507605"/>
                    </a:xfrm>
                    <a:prstGeom prst="rect">
                      <a:avLst/>
                    </a:prstGeom>
                  </pic:spPr>
                </pic:pic>
              </a:graphicData>
            </a:graphic>
          </wp:inline>
        </w:drawing>
      </w:r>
    </w:p>
    <w:p>
      <w:pPr>
        <w:spacing w:line="500" w:lineRule="exact"/>
        <w:rPr>
          <w:rFonts w:hint="eastAsia" w:ascii="宋体" w:hAnsi="宋体" w:eastAsia="宋体" w:cs="宋体"/>
          <w:sz w:val="28"/>
          <w:szCs w:val="28"/>
        </w:rPr>
      </w:pPr>
    </w:p>
    <w:p>
      <w:pPr>
        <w:spacing w:line="500" w:lineRule="exact"/>
        <w:rPr>
          <w:rFonts w:hint="eastAsia" w:ascii="宋体" w:hAnsi="宋体" w:eastAsia="宋体" w:cs="宋体"/>
          <w:sz w:val="28"/>
          <w:szCs w:val="28"/>
        </w:rPr>
        <w:sectPr>
          <w:headerReference r:id="rId3" w:type="default"/>
          <w:footerReference r:id="rId4" w:type="default"/>
          <w:pgSz w:w="11906" w:h="16838"/>
          <w:pgMar w:top="1418" w:right="1796" w:bottom="1418" w:left="1230" w:header="851" w:footer="992" w:gutter="0"/>
          <w:pgBorders>
            <w:top w:val="none" w:sz="0" w:space="0"/>
            <w:left w:val="none" w:sz="0" w:space="0"/>
            <w:bottom w:val="double" w:color="auto" w:sz="4" w:space="1"/>
            <w:right w:val="none" w:sz="0" w:space="0"/>
          </w:pgBorders>
          <w:pgNumType w:fmt="decimal"/>
          <w:cols w:space="720" w:num="1"/>
          <w:docGrid w:linePitch="312" w:charSpace="0"/>
        </w:sectPr>
      </w:pPr>
    </w:p>
    <w:p>
      <w:pPr>
        <w:spacing w:line="500" w:lineRule="exact"/>
        <w:rPr>
          <w:rFonts w:hint="eastAsia" w:ascii="宋体" w:hAnsi="宋体" w:eastAsia="宋体" w:cs="宋体"/>
          <w:b/>
          <w:bCs/>
          <w:sz w:val="32"/>
          <w:szCs w:val="32"/>
        </w:rPr>
      </w:pPr>
      <w:r>
        <w:rPr>
          <w:rFonts w:hint="eastAsia" w:ascii="宋体" w:hAnsi="宋体" w:eastAsia="宋体" w:cs="宋体"/>
          <w:b/>
          <w:bCs/>
          <w:sz w:val="32"/>
          <w:szCs w:val="32"/>
        </w:rPr>
        <w:t xml:space="preserve">附件一               </w:t>
      </w:r>
    </w:p>
    <w:p>
      <w:pPr>
        <w:spacing w:line="500" w:lineRule="exact"/>
        <w:jc w:val="center"/>
        <w:rPr>
          <w:rFonts w:hint="eastAsia" w:ascii="宋体" w:hAnsi="宋体" w:eastAsia="宋体" w:cs="宋体"/>
          <w:b/>
          <w:bCs/>
          <w:sz w:val="32"/>
          <w:szCs w:val="32"/>
        </w:rPr>
      </w:pPr>
      <w:r>
        <w:rPr>
          <w:rFonts w:hint="eastAsia" w:ascii="宋体" w:hAnsi="宋体" w:eastAsia="宋体" w:cs="宋体"/>
          <w:b/>
          <w:bCs/>
          <w:sz w:val="32"/>
          <w:szCs w:val="32"/>
        </w:rPr>
        <w:t>货物规格价格一览表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1444"/>
        <w:gridCol w:w="2775"/>
        <w:gridCol w:w="1125"/>
        <w:gridCol w:w="915"/>
        <w:gridCol w:w="1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序号</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货物名称</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品牌型号</w:t>
            </w:r>
          </w:p>
          <w:p>
            <w:pPr>
              <w:spacing w:line="500" w:lineRule="exact"/>
              <w:rPr>
                <w:rFonts w:hint="eastAsia" w:ascii="宋体" w:hAnsi="宋体" w:eastAsia="宋体" w:cs="宋体"/>
                <w:sz w:val="24"/>
                <w:szCs w:val="24"/>
              </w:rPr>
            </w:pPr>
            <w:r>
              <w:rPr>
                <w:rFonts w:hint="eastAsia" w:ascii="宋体" w:hAnsi="宋体" w:eastAsia="宋体" w:cs="宋体"/>
                <w:sz w:val="24"/>
                <w:szCs w:val="24"/>
              </w:rPr>
              <w:t>及制造商</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数量</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单价</w:t>
            </w:r>
          </w:p>
          <w:p>
            <w:pPr>
              <w:spacing w:line="500" w:lineRule="exact"/>
              <w:rPr>
                <w:rFonts w:hint="eastAsia" w:ascii="宋体" w:hAnsi="宋体" w:eastAsia="宋体" w:cs="宋体"/>
                <w:sz w:val="24"/>
                <w:szCs w:val="24"/>
              </w:rPr>
            </w:pPr>
            <w:r>
              <w:rPr>
                <w:rFonts w:hint="eastAsia" w:ascii="宋体" w:hAnsi="宋体" w:eastAsia="宋体" w:cs="宋体"/>
                <w:sz w:val="24"/>
                <w:szCs w:val="24"/>
              </w:rPr>
              <w:t>（元）</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合计</w:t>
            </w:r>
          </w:p>
          <w:p>
            <w:pPr>
              <w:spacing w:line="500" w:lineRule="exact"/>
              <w:rPr>
                <w:rFonts w:hint="eastAsia" w:ascii="宋体" w:hAnsi="宋体" w:eastAsia="宋体" w:cs="宋体"/>
                <w:sz w:val="24"/>
                <w:szCs w:val="24"/>
              </w:rPr>
            </w:pPr>
            <w:r>
              <w:rPr>
                <w:rFonts w:hint="eastAsia" w:ascii="宋体" w:hAnsi="宋体" w:eastAsia="宋体" w:cs="宋体"/>
                <w:sz w:val="24"/>
                <w:szCs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智慧教室标准化考场摄像机</w:t>
            </w:r>
          </w:p>
        </w:tc>
        <w:tc>
          <w:tcPr>
            <w:tcW w:w="2775" w:type="dxa"/>
            <w:vAlign w:val="center"/>
          </w:tcPr>
          <w:p>
            <w:pPr>
              <w:spacing w:line="500" w:lineRule="exact"/>
              <w:ind w:left="300" w:hanging="240" w:hangingChars="100"/>
              <w:rPr>
                <w:rFonts w:hint="eastAsia" w:ascii="宋体" w:hAnsi="宋体" w:eastAsia="宋体" w:cs="宋体"/>
                <w:sz w:val="24"/>
                <w:szCs w:val="24"/>
              </w:rPr>
            </w:pPr>
            <w:r>
              <w:rPr>
                <w:rFonts w:hint="eastAsia" w:ascii="宋体" w:hAnsi="宋体" w:eastAsia="宋体" w:cs="宋体"/>
                <w:sz w:val="24"/>
                <w:szCs w:val="24"/>
              </w:rPr>
              <w:t xml:space="preserve">佳发 </w:t>
            </w:r>
          </w:p>
          <w:p>
            <w:pPr>
              <w:spacing w:line="500" w:lineRule="exact"/>
              <w:ind w:left="300" w:hanging="240" w:hangingChars="100"/>
              <w:rPr>
                <w:rFonts w:hint="eastAsia" w:ascii="宋体" w:hAnsi="宋体" w:eastAsia="宋体" w:cs="宋体"/>
                <w:sz w:val="24"/>
                <w:szCs w:val="24"/>
              </w:rPr>
            </w:pPr>
            <w:r>
              <w:rPr>
                <w:rFonts w:hint="eastAsia" w:ascii="宋体" w:hAnsi="宋体" w:eastAsia="宋体" w:cs="宋体"/>
                <w:sz w:val="24"/>
                <w:szCs w:val="24"/>
              </w:rPr>
              <w:t>JF-NC302RP-K</w:t>
            </w:r>
          </w:p>
          <w:p>
            <w:pPr>
              <w:spacing w:line="500" w:lineRule="exact"/>
              <w:rPr>
                <w:rFonts w:hint="eastAsia" w:ascii="宋体" w:hAnsi="宋体" w:eastAsia="宋体" w:cs="宋体"/>
                <w:sz w:val="24"/>
                <w:szCs w:val="24"/>
              </w:rPr>
            </w:pPr>
            <w:r>
              <w:rPr>
                <w:rFonts w:hint="eastAsia" w:ascii="宋体" w:hAnsi="宋体" w:eastAsia="宋体" w:cs="宋体"/>
                <w:sz w:val="24"/>
                <w:szCs w:val="24"/>
              </w:rPr>
              <w:t>成都佳发安泰教育科技股份有限公司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3590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890320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存储卡</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萤石 64G</w:t>
            </w:r>
          </w:p>
          <w:p>
            <w:pPr>
              <w:spacing w:line="500" w:lineRule="exact"/>
              <w:rPr>
                <w:rFonts w:hint="eastAsia" w:ascii="宋体" w:hAnsi="宋体" w:eastAsia="宋体" w:cs="宋体"/>
                <w:sz w:val="24"/>
                <w:szCs w:val="24"/>
              </w:rPr>
            </w:pPr>
            <w:r>
              <w:rPr>
                <w:rFonts w:hint="eastAsia" w:ascii="宋体" w:hAnsi="宋体" w:eastAsia="宋体" w:cs="宋体"/>
                <w:sz w:val="24"/>
                <w:szCs w:val="24"/>
              </w:rPr>
              <w:t>杭州萤石网络股份有限公司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248张</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摄像机</w:t>
            </w:r>
          </w:p>
          <w:p>
            <w:pPr>
              <w:spacing w:line="500" w:lineRule="exact"/>
              <w:rPr>
                <w:rFonts w:hint="eastAsia" w:ascii="宋体" w:hAnsi="宋体" w:eastAsia="宋体" w:cs="宋体"/>
                <w:sz w:val="24"/>
                <w:szCs w:val="24"/>
              </w:rPr>
            </w:pPr>
            <w:r>
              <w:rPr>
                <w:rFonts w:hint="eastAsia" w:ascii="宋体" w:hAnsi="宋体" w:eastAsia="宋体" w:cs="宋体"/>
                <w:sz w:val="24"/>
                <w:szCs w:val="24"/>
              </w:rPr>
              <w:t>支架</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华视云 定制</w:t>
            </w:r>
          </w:p>
          <w:p>
            <w:pPr>
              <w:spacing w:line="500" w:lineRule="exact"/>
              <w:rPr>
                <w:rFonts w:hint="eastAsia" w:ascii="宋体" w:hAnsi="宋体" w:eastAsia="宋体" w:cs="宋体"/>
                <w:sz w:val="24"/>
                <w:szCs w:val="24"/>
              </w:rPr>
            </w:pPr>
            <w:r>
              <w:rPr>
                <w:rFonts w:hint="eastAsia" w:ascii="宋体" w:hAnsi="宋体" w:eastAsia="宋体" w:cs="宋体"/>
                <w:sz w:val="24"/>
                <w:szCs w:val="24"/>
              </w:rPr>
              <w:t>河南华视云信息科技有限公司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248支</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22320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4</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拾音器</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大华 DH-HSA200</w:t>
            </w:r>
          </w:p>
          <w:p>
            <w:pPr>
              <w:spacing w:line="500" w:lineRule="exact"/>
              <w:rPr>
                <w:rFonts w:hint="eastAsia" w:ascii="宋体" w:hAnsi="宋体" w:eastAsia="宋体" w:cs="宋体"/>
                <w:sz w:val="24"/>
                <w:szCs w:val="24"/>
              </w:rPr>
            </w:pPr>
            <w:r>
              <w:rPr>
                <w:rFonts w:hint="eastAsia" w:ascii="宋体" w:hAnsi="宋体" w:eastAsia="宋体" w:cs="宋体"/>
                <w:sz w:val="24"/>
                <w:szCs w:val="24"/>
              </w:rPr>
              <w:t>浙江大华技术股份有限公司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248支</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600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148800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5</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电源模块</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小耳朵 STD-K2L-N</w:t>
            </w:r>
          </w:p>
          <w:p>
            <w:pPr>
              <w:spacing w:line="500" w:lineRule="exact"/>
              <w:rPr>
                <w:rFonts w:hint="eastAsia" w:ascii="宋体" w:hAnsi="宋体" w:eastAsia="宋体" w:cs="宋体"/>
                <w:sz w:val="24"/>
                <w:szCs w:val="24"/>
              </w:rPr>
            </w:pPr>
            <w:r>
              <w:rPr>
                <w:rFonts w:hint="eastAsia" w:ascii="宋体" w:hAnsi="宋体" w:eastAsia="宋体" w:cs="宋体"/>
                <w:sz w:val="24"/>
                <w:szCs w:val="24"/>
              </w:rPr>
              <w:t>东莞小耳朵智能科技有限公司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150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6</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设备箱</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华视云 定制</w:t>
            </w:r>
          </w:p>
          <w:p>
            <w:pPr>
              <w:spacing w:line="500" w:lineRule="exact"/>
              <w:rPr>
                <w:rFonts w:hint="eastAsia" w:ascii="宋体" w:hAnsi="宋体" w:eastAsia="宋体" w:cs="宋体"/>
                <w:sz w:val="24"/>
                <w:szCs w:val="24"/>
              </w:rPr>
            </w:pPr>
            <w:r>
              <w:rPr>
                <w:rFonts w:hint="eastAsia" w:ascii="宋体" w:hAnsi="宋体" w:eastAsia="宋体" w:cs="宋体"/>
                <w:sz w:val="24"/>
                <w:szCs w:val="24"/>
              </w:rPr>
              <w:t>河南华视云信息科技有限公司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150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交换机</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锐捷 RG-ES08G</w:t>
            </w:r>
          </w:p>
          <w:p>
            <w:pPr>
              <w:spacing w:line="500" w:lineRule="exact"/>
              <w:rPr>
                <w:rFonts w:hint="eastAsia" w:ascii="宋体" w:hAnsi="宋体" w:eastAsia="宋体" w:cs="宋体"/>
                <w:sz w:val="24"/>
                <w:szCs w:val="24"/>
              </w:rPr>
            </w:pPr>
            <w:r>
              <w:rPr>
                <w:rFonts w:hint="eastAsia" w:ascii="宋体" w:hAnsi="宋体" w:eastAsia="宋体" w:cs="宋体"/>
                <w:sz w:val="24"/>
                <w:szCs w:val="24"/>
              </w:rPr>
              <w:t>锐捷网络股份有限公司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49600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电源系统布线</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华视云 定制</w:t>
            </w:r>
          </w:p>
          <w:p>
            <w:pPr>
              <w:spacing w:line="500" w:lineRule="exact"/>
              <w:rPr>
                <w:rFonts w:hint="eastAsia" w:ascii="宋体" w:hAnsi="宋体" w:eastAsia="宋体" w:cs="宋体"/>
                <w:sz w:val="24"/>
                <w:szCs w:val="24"/>
              </w:rPr>
            </w:pPr>
            <w:r>
              <w:rPr>
                <w:rFonts w:hint="eastAsia" w:ascii="宋体" w:hAnsi="宋体" w:eastAsia="宋体" w:cs="宋体"/>
                <w:sz w:val="24"/>
                <w:szCs w:val="24"/>
              </w:rPr>
              <w:t>河南华视云信息科技有限公司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网络系统布线</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华视云 定制</w:t>
            </w:r>
          </w:p>
          <w:p>
            <w:pPr>
              <w:spacing w:line="500" w:lineRule="exact"/>
              <w:rPr>
                <w:rFonts w:hint="eastAsia" w:ascii="宋体" w:hAnsi="宋体" w:eastAsia="宋体" w:cs="宋体"/>
                <w:sz w:val="24"/>
                <w:szCs w:val="24"/>
              </w:rPr>
            </w:pPr>
            <w:r>
              <w:rPr>
                <w:rFonts w:hint="eastAsia" w:ascii="宋体" w:hAnsi="宋体" w:eastAsia="宋体" w:cs="宋体"/>
                <w:sz w:val="24"/>
                <w:szCs w:val="24"/>
              </w:rPr>
              <w:t>河南华视云信息科技有限公司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248套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10</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流媒体服务器</w:t>
            </w:r>
          </w:p>
        </w:tc>
        <w:tc>
          <w:tcPr>
            <w:tcW w:w="2775" w:type="dxa"/>
            <w:vAlign w:val="center"/>
          </w:tcPr>
          <w:p>
            <w:pPr>
              <w:spacing w:line="500" w:lineRule="exact"/>
              <w:ind w:left="300" w:hanging="240" w:hangingChars="100"/>
              <w:rPr>
                <w:rFonts w:hint="eastAsia" w:ascii="宋体" w:hAnsi="宋体" w:eastAsia="宋体" w:cs="宋体"/>
                <w:sz w:val="24"/>
                <w:szCs w:val="24"/>
                <w:lang w:val="en-US" w:eastAsia="zh-CN"/>
              </w:rPr>
            </w:pPr>
            <w:r>
              <w:rPr>
                <w:rFonts w:hint="eastAsia" w:ascii="宋体" w:hAnsi="宋体" w:eastAsia="宋体" w:cs="宋体"/>
                <w:sz w:val="24"/>
                <w:szCs w:val="24"/>
              </w:rPr>
              <w:t>H3C</w:t>
            </w:r>
            <w:r>
              <w:rPr>
                <w:rFonts w:hint="eastAsia" w:ascii="宋体" w:hAnsi="宋体" w:eastAsia="宋体" w:cs="宋体"/>
                <w:sz w:val="24"/>
                <w:szCs w:val="24"/>
                <w:lang w:val="en-US" w:eastAsia="zh-CN"/>
              </w:rPr>
              <w:t xml:space="preserve"> </w:t>
            </w:r>
          </w:p>
          <w:p>
            <w:pPr>
              <w:spacing w:line="500" w:lineRule="exact"/>
              <w:ind w:left="300" w:hanging="240" w:hangingChars="100"/>
              <w:rPr>
                <w:rFonts w:hint="eastAsia" w:ascii="宋体" w:hAnsi="宋体" w:eastAsia="宋体" w:cs="宋体"/>
                <w:sz w:val="24"/>
                <w:szCs w:val="24"/>
              </w:rPr>
            </w:pPr>
            <w:r>
              <w:rPr>
                <w:rFonts w:hint="eastAsia" w:ascii="宋体" w:hAnsi="宋体" w:eastAsia="宋体" w:cs="宋体"/>
                <w:sz w:val="24"/>
                <w:szCs w:val="24"/>
              </w:rPr>
              <w:t xml:space="preserve">UniServer </w:t>
            </w:r>
          </w:p>
          <w:p>
            <w:pPr>
              <w:spacing w:line="500" w:lineRule="exact"/>
              <w:ind w:left="300" w:hanging="240" w:hangingChars="100"/>
              <w:rPr>
                <w:rFonts w:hint="eastAsia" w:ascii="宋体" w:hAnsi="宋体" w:eastAsia="宋体" w:cs="宋体"/>
                <w:sz w:val="24"/>
                <w:szCs w:val="24"/>
              </w:rPr>
            </w:pPr>
            <w:r>
              <w:rPr>
                <w:rFonts w:hint="eastAsia" w:ascii="宋体" w:hAnsi="宋体" w:eastAsia="宋体" w:cs="宋体"/>
                <w:sz w:val="24"/>
                <w:szCs w:val="24"/>
              </w:rPr>
              <w:t>R4900 G5</w:t>
            </w:r>
          </w:p>
          <w:p>
            <w:pPr>
              <w:spacing w:line="500" w:lineRule="exact"/>
              <w:rPr>
                <w:rFonts w:hint="eastAsia" w:ascii="宋体" w:hAnsi="宋体" w:eastAsia="宋体" w:cs="宋体"/>
                <w:sz w:val="24"/>
                <w:szCs w:val="24"/>
              </w:rPr>
            </w:pPr>
            <w:r>
              <w:rPr>
                <w:rFonts w:hint="eastAsia" w:ascii="宋体" w:hAnsi="宋体" w:eastAsia="宋体" w:cs="宋体"/>
                <w:sz w:val="24"/>
                <w:szCs w:val="24"/>
              </w:rPr>
              <w:t>新华三技术有限公司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85000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11</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音频采集器</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大华 DH-HSA200</w:t>
            </w:r>
          </w:p>
          <w:p>
            <w:pPr>
              <w:spacing w:line="500" w:lineRule="exact"/>
              <w:rPr>
                <w:rFonts w:hint="eastAsia" w:ascii="宋体" w:hAnsi="宋体" w:eastAsia="宋体" w:cs="宋体"/>
                <w:sz w:val="24"/>
                <w:szCs w:val="24"/>
              </w:rPr>
            </w:pPr>
            <w:r>
              <w:rPr>
                <w:rFonts w:hint="eastAsia" w:ascii="宋体" w:hAnsi="宋体" w:eastAsia="宋体" w:cs="宋体"/>
                <w:sz w:val="24"/>
                <w:szCs w:val="24"/>
              </w:rPr>
              <w:t>浙江大华技术股份有限公司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198个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600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118800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12</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身份验证移动终端</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联想 ID-7305F</w:t>
            </w:r>
          </w:p>
          <w:p>
            <w:pPr>
              <w:spacing w:line="500" w:lineRule="exact"/>
              <w:rPr>
                <w:rFonts w:hint="eastAsia" w:ascii="宋体" w:hAnsi="宋体" w:eastAsia="宋体" w:cs="宋体"/>
                <w:sz w:val="24"/>
                <w:szCs w:val="24"/>
              </w:rPr>
            </w:pPr>
            <w:r>
              <w:rPr>
                <w:rFonts w:hint="eastAsia" w:ascii="宋体" w:hAnsi="宋体" w:eastAsia="宋体" w:cs="宋体"/>
                <w:sz w:val="24"/>
                <w:szCs w:val="24"/>
              </w:rPr>
              <w:t>联想（北京）有限公司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5000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13</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管理机</w:t>
            </w:r>
          </w:p>
        </w:tc>
        <w:tc>
          <w:tcPr>
            <w:tcW w:w="2775" w:type="dxa"/>
            <w:vAlign w:val="center"/>
          </w:tcPr>
          <w:p>
            <w:pPr>
              <w:spacing w:line="500" w:lineRule="exact"/>
              <w:rPr>
                <w:rFonts w:hint="eastAsia" w:ascii="宋体" w:hAnsi="宋体" w:eastAsia="宋体" w:cs="宋体"/>
                <w:sz w:val="24"/>
                <w:szCs w:val="24"/>
                <w:lang w:eastAsia="zh-CN"/>
              </w:rPr>
            </w:pPr>
            <w:r>
              <w:rPr>
                <w:rFonts w:hint="eastAsia" w:ascii="宋体" w:hAnsi="宋体" w:eastAsia="宋体" w:cs="宋体"/>
                <w:sz w:val="24"/>
                <w:szCs w:val="24"/>
              </w:rPr>
              <w:t>HP Pro Tower 288 G9</w:t>
            </w:r>
          </w:p>
          <w:p>
            <w:pPr>
              <w:spacing w:line="500" w:lineRule="exact"/>
              <w:rPr>
                <w:rFonts w:hint="eastAsia" w:ascii="宋体" w:hAnsi="宋体" w:eastAsia="宋体" w:cs="宋体"/>
                <w:sz w:val="24"/>
                <w:szCs w:val="24"/>
              </w:rPr>
            </w:pPr>
            <w:r>
              <w:rPr>
                <w:rFonts w:hint="eastAsia" w:ascii="宋体" w:hAnsi="宋体" w:eastAsia="宋体" w:cs="宋体"/>
                <w:sz w:val="24"/>
                <w:szCs w:val="24"/>
              </w:rPr>
              <w:t>P24v G5</w:t>
            </w:r>
          </w:p>
          <w:p>
            <w:pPr>
              <w:spacing w:line="500" w:lineRule="exact"/>
              <w:rPr>
                <w:rFonts w:hint="eastAsia" w:ascii="宋体" w:hAnsi="宋体" w:eastAsia="宋体" w:cs="宋体"/>
                <w:sz w:val="24"/>
                <w:szCs w:val="24"/>
              </w:rPr>
            </w:pPr>
            <w:r>
              <w:rPr>
                <w:rFonts w:hint="eastAsia" w:ascii="宋体" w:hAnsi="宋体" w:eastAsia="宋体" w:cs="宋体"/>
                <w:sz w:val="24"/>
                <w:szCs w:val="24"/>
              </w:rPr>
              <w:t>惠普（重庆）有限公司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14</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平台软件</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华璨 RTSP to Web V1.0</w:t>
            </w:r>
          </w:p>
          <w:p>
            <w:pPr>
              <w:spacing w:line="500" w:lineRule="exact"/>
              <w:rPr>
                <w:rFonts w:hint="eastAsia" w:ascii="宋体" w:hAnsi="宋体" w:eastAsia="宋体" w:cs="宋体"/>
                <w:sz w:val="24"/>
                <w:szCs w:val="24"/>
              </w:rPr>
            </w:pPr>
            <w:r>
              <w:rPr>
                <w:rFonts w:hint="eastAsia" w:ascii="宋体" w:hAnsi="宋体" w:eastAsia="宋体" w:cs="宋体"/>
                <w:sz w:val="24"/>
                <w:szCs w:val="24"/>
              </w:rPr>
              <w:t>北京华璨电子有限公司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1套</w:t>
            </w:r>
          </w:p>
        </w:tc>
        <w:tc>
          <w:tcPr>
            <w:tcW w:w="915" w:type="dxa"/>
            <w:vAlign w:val="center"/>
          </w:tcPr>
          <w:p>
            <w:pPr>
              <w:spacing w:line="500" w:lineRule="exac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45940</w:t>
            </w:r>
          </w:p>
        </w:tc>
        <w:tc>
          <w:tcPr>
            <w:tcW w:w="1463" w:type="dxa"/>
            <w:vAlign w:val="center"/>
          </w:tcPr>
          <w:p>
            <w:pPr>
              <w:spacing w:line="500" w:lineRule="exac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45940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15</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高清SIP管理平台</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佳发 JF-WRS7600G</w:t>
            </w:r>
          </w:p>
          <w:p>
            <w:pPr>
              <w:spacing w:line="500" w:lineRule="exact"/>
              <w:rPr>
                <w:rFonts w:hint="eastAsia" w:ascii="宋体" w:hAnsi="宋体" w:eastAsia="宋体" w:cs="宋体"/>
                <w:sz w:val="24"/>
                <w:szCs w:val="24"/>
              </w:rPr>
            </w:pPr>
            <w:r>
              <w:rPr>
                <w:rFonts w:hint="eastAsia" w:ascii="宋体" w:hAnsi="宋体" w:eastAsia="宋体" w:cs="宋体"/>
                <w:sz w:val="24"/>
                <w:szCs w:val="24"/>
              </w:rPr>
              <w:t>成都佳发安泰教育股份有限公司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75000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16</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高清媒体转发服务器</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佳发 JF-VPR7600G</w:t>
            </w:r>
          </w:p>
          <w:p>
            <w:pPr>
              <w:spacing w:line="500" w:lineRule="exact"/>
              <w:rPr>
                <w:rFonts w:hint="eastAsia" w:ascii="宋体" w:hAnsi="宋体" w:eastAsia="宋体" w:cs="宋体"/>
                <w:sz w:val="24"/>
                <w:szCs w:val="24"/>
              </w:rPr>
            </w:pPr>
            <w:r>
              <w:rPr>
                <w:rFonts w:hint="eastAsia" w:ascii="宋体" w:hAnsi="宋体" w:eastAsia="宋体" w:cs="宋体"/>
                <w:sz w:val="24"/>
                <w:szCs w:val="24"/>
              </w:rPr>
              <w:t>成都佳发安泰教育股份有限公司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75000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17</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网络流媒体存储管理平台</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佳发 JF-VERO16KB</w:t>
            </w:r>
          </w:p>
          <w:p>
            <w:pPr>
              <w:spacing w:line="500" w:lineRule="exact"/>
              <w:rPr>
                <w:rFonts w:hint="eastAsia" w:ascii="宋体" w:hAnsi="宋体" w:eastAsia="宋体" w:cs="宋体"/>
                <w:sz w:val="24"/>
                <w:szCs w:val="24"/>
              </w:rPr>
            </w:pPr>
            <w:r>
              <w:rPr>
                <w:rFonts w:hint="eastAsia" w:ascii="宋体" w:hAnsi="宋体" w:eastAsia="宋体" w:cs="宋体"/>
                <w:sz w:val="24"/>
                <w:szCs w:val="24"/>
              </w:rPr>
              <w:t>成都佳发安泰教育股份有限公司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74000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18</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存储硬盘</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希捷 6T</w:t>
            </w:r>
          </w:p>
          <w:p>
            <w:pPr>
              <w:spacing w:line="500" w:lineRule="exact"/>
              <w:rPr>
                <w:rFonts w:hint="eastAsia" w:ascii="宋体" w:hAnsi="宋体" w:eastAsia="宋体" w:cs="宋体"/>
                <w:sz w:val="24"/>
                <w:szCs w:val="24"/>
              </w:rPr>
            </w:pPr>
            <w:r>
              <w:rPr>
                <w:rFonts w:hint="eastAsia" w:ascii="宋体" w:hAnsi="宋体" w:eastAsia="宋体" w:cs="宋体"/>
                <w:sz w:val="24"/>
                <w:szCs w:val="24"/>
              </w:rPr>
              <w:t>希捷科技有限公司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48块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1500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72000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汇聚交换机</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锐捷</w:t>
            </w:r>
          </w:p>
          <w:p>
            <w:pPr>
              <w:spacing w:line="500" w:lineRule="exact"/>
              <w:rPr>
                <w:rFonts w:hint="eastAsia" w:ascii="宋体" w:hAnsi="宋体" w:eastAsia="宋体" w:cs="宋体"/>
                <w:sz w:val="24"/>
                <w:szCs w:val="24"/>
              </w:rPr>
            </w:pPr>
            <w:r>
              <w:rPr>
                <w:rFonts w:hint="eastAsia" w:ascii="宋体" w:hAnsi="宋体" w:eastAsia="宋体" w:cs="宋体"/>
                <w:sz w:val="24"/>
                <w:szCs w:val="24"/>
              </w:rPr>
              <w:t>RG-S2906-24GT4MS-L</w:t>
            </w:r>
          </w:p>
          <w:p>
            <w:pPr>
              <w:spacing w:line="500" w:lineRule="exact"/>
              <w:rPr>
                <w:rFonts w:hint="eastAsia" w:ascii="宋体" w:hAnsi="宋体" w:eastAsia="宋体" w:cs="宋体"/>
                <w:sz w:val="24"/>
                <w:szCs w:val="24"/>
              </w:rPr>
            </w:pPr>
            <w:r>
              <w:rPr>
                <w:rFonts w:hint="eastAsia" w:ascii="宋体" w:hAnsi="宋体" w:eastAsia="宋体" w:cs="宋体"/>
                <w:sz w:val="24"/>
                <w:szCs w:val="24"/>
              </w:rPr>
              <w:t>锐捷网络股份有限公司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21台</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6350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133350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20</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光模块</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 xml:space="preserve">锐捷 </w:t>
            </w:r>
          </w:p>
          <w:p>
            <w:pPr>
              <w:spacing w:line="500" w:lineRule="exact"/>
              <w:rPr>
                <w:rFonts w:hint="eastAsia" w:ascii="宋体" w:hAnsi="宋体" w:eastAsia="宋体" w:cs="宋体"/>
                <w:sz w:val="24"/>
                <w:szCs w:val="24"/>
              </w:rPr>
            </w:pPr>
            <w:r>
              <w:rPr>
                <w:rFonts w:hint="eastAsia" w:ascii="宋体" w:hAnsi="宋体" w:eastAsia="宋体" w:cs="宋体"/>
                <w:sz w:val="24"/>
                <w:szCs w:val="24"/>
              </w:rPr>
              <w:t>SFP-GE-LX-1310-A</w:t>
            </w:r>
          </w:p>
          <w:p>
            <w:pPr>
              <w:spacing w:line="500" w:lineRule="exact"/>
              <w:rPr>
                <w:rFonts w:hint="eastAsia" w:ascii="宋体" w:hAnsi="宋体" w:eastAsia="宋体" w:cs="宋体"/>
                <w:sz w:val="24"/>
                <w:szCs w:val="24"/>
              </w:rPr>
            </w:pPr>
            <w:r>
              <w:rPr>
                <w:rFonts w:hint="eastAsia" w:ascii="宋体" w:hAnsi="宋体" w:eastAsia="宋体" w:cs="宋体"/>
                <w:sz w:val="24"/>
                <w:szCs w:val="24"/>
              </w:rPr>
              <w:t>锐捷网络股份有限公司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21个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37800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21</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UPS电源1</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HP1110H</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19800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22</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UPS电源2</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HP1106H</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17000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51000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23</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UPS电源3</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HP1103H</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9500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85500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24</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电池</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GW12100</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104块</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980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101920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25</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电池柜</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C-32</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4个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26</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电池柜</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商宇 C-6</w:t>
            </w:r>
          </w:p>
          <w:p>
            <w:pPr>
              <w:spacing w:line="500" w:lineRule="exact"/>
              <w:rPr>
                <w:rFonts w:hint="eastAsia" w:ascii="宋体" w:hAnsi="宋体" w:eastAsia="宋体" w:cs="宋体"/>
                <w:sz w:val="24"/>
                <w:szCs w:val="24"/>
              </w:rPr>
            </w:pPr>
            <w:r>
              <w:rPr>
                <w:rFonts w:hint="eastAsia" w:ascii="宋体" w:hAnsi="宋体" w:eastAsia="宋体" w:cs="宋体"/>
                <w:sz w:val="24"/>
                <w:szCs w:val="24"/>
              </w:rPr>
              <w:t>商宇(深圳)科技有限公司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9个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350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3150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6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27</w:t>
            </w:r>
          </w:p>
        </w:tc>
        <w:tc>
          <w:tcPr>
            <w:tcW w:w="1444"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配电箱</w:t>
            </w:r>
          </w:p>
        </w:tc>
        <w:tc>
          <w:tcPr>
            <w:tcW w:w="277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华视云 定制</w:t>
            </w:r>
          </w:p>
          <w:p>
            <w:pPr>
              <w:spacing w:line="500" w:lineRule="exact"/>
              <w:rPr>
                <w:rFonts w:hint="eastAsia" w:ascii="宋体" w:hAnsi="宋体" w:eastAsia="宋体" w:cs="宋体"/>
                <w:sz w:val="24"/>
                <w:szCs w:val="24"/>
              </w:rPr>
            </w:pPr>
            <w:r>
              <w:rPr>
                <w:rFonts w:hint="eastAsia" w:ascii="宋体" w:hAnsi="宋体" w:eastAsia="宋体" w:cs="宋体"/>
                <w:sz w:val="24"/>
                <w:szCs w:val="24"/>
              </w:rPr>
              <w:t>河南华视云信息科技有限公司</w:t>
            </w:r>
          </w:p>
        </w:tc>
        <w:tc>
          <w:tcPr>
            <w:tcW w:w="112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13个</w:t>
            </w:r>
          </w:p>
        </w:tc>
        <w:tc>
          <w:tcPr>
            <w:tcW w:w="915"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1800</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23400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6823" w:type="dxa"/>
            <w:gridSpan w:val="5"/>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合计：人民币叁佰</w:t>
            </w:r>
            <w:r>
              <w:rPr>
                <w:rFonts w:hint="eastAsia" w:ascii="宋体" w:hAnsi="宋体" w:eastAsia="宋体" w:cs="宋体"/>
                <w:sz w:val="24"/>
                <w:szCs w:val="24"/>
                <w:lang w:val="en-US" w:eastAsia="zh-CN"/>
              </w:rPr>
              <w:t>万</w:t>
            </w:r>
            <w:r>
              <w:rPr>
                <w:rFonts w:hint="eastAsia" w:ascii="宋体" w:hAnsi="宋体" w:eastAsia="宋体" w:cs="宋体"/>
                <w:sz w:val="24"/>
                <w:szCs w:val="24"/>
              </w:rPr>
              <w:t>零陆仟玖佰元整</w:t>
            </w:r>
          </w:p>
        </w:tc>
        <w:tc>
          <w:tcPr>
            <w:tcW w:w="1463" w:type="dxa"/>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 xml:space="preserve">3006900 </w:t>
            </w:r>
          </w:p>
        </w:tc>
      </w:tr>
    </w:tbl>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r>
        <w:rPr>
          <w:rFonts w:hint="eastAsia" w:ascii="宋体" w:hAnsi="宋体" w:eastAsia="宋体" w:cs="宋体"/>
          <w:b/>
          <w:bCs/>
          <w:sz w:val="30"/>
          <w:szCs w:val="30"/>
        </w:rPr>
        <w:t>附件二</w:t>
      </w:r>
    </w:p>
    <w:p>
      <w:pPr>
        <w:spacing w:line="500" w:lineRule="exact"/>
        <w:jc w:val="center"/>
        <w:rPr>
          <w:rFonts w:hint="eastAsia" w:ascii="宋体" w:hAnsi="宋体" w:eastAsia="宋体" w:cs="宋体"/>
          <w:b/>
          <w:bCs/>
          <w:sz w:val="30"/>
          <w:szCs w:val="30"/>
        </w:rPr>
      </w:pPr>
      <w:r>
        <w:rPr>
          <w:rFonts w:hint="eastAsia" w:ascii="宋体" w:hAnsi="宋体" w:eastAsia="宋体" w:cs="宋体"/>
          <w:b/>
          <w:bCs/>
          <w:sz w:val="30"/>
          <w:szCs w:val="30"/>
        </w:rPr>
        <w:t>货物主要技术参数</w:t>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 name="图片 1" descr="（备份）河南华视云信息科技有限公司-副本4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备份）河南华视云信息科技有限公司-副本4_52"/>
                    <pic:cNvPicPr>
                      <a:picLocks noChangeAspect="1"/>
                    </pic:cNvPicPr>
                  </pic:nvPicPr>
                  <pic:blipFill>
                    <a:blip r:embed="rId9"/>
                    <a:stretch>
                      <a:fillRect/>
                    </a:stretch>
                  </pic:blipFill>
                  <pic:spPr>
                    <a:xfrm>
                      <a:off x="0" y="0"/>
                      <a:ext cx="5507355" cy="3894455"/>
                    </a:xfrm>
                    <a:prstGeom prst="rect">
                      <a:avLst/>
                    </a:prstGeom>
                  </pic:spPr>
                </pic:pic>
              </a:graphicData>
            </a:graphic>
          </wp:inline>
        </w:drawing>
      </w: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2" name="图片 2" descr="（备份）河南华视云信息科技有限公司-副本4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备份）河南华视云信息科技有限公司-副本4_53"/>
                    <pic:cNvPicPr>
                      <a:picLocks noChangeAspect="1"/>
                    </pic:cNvPicPr>
                  </pic:nvPicPr>
                  <pic:blipFill>
                    <a:blip r:embed="rId10"/>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3" name="图片 3" descr="（备份）河南华视云信息科技有限公司-副本4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备份）河南华视云信息科技有限公司-副本4_54"/>
                    <pic:cNvPicPr>
                      <a:picLocks noChangeAspect="1"/>
                    </pic:cNvPicPr>
                  </pic:nvPicPr>
                  <pic:blipFill>
                    <a:blip r:embed="rId11"/>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4" name="图片 4" descr="（备份）河南华视云信息科技有限公司-副本4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备份）河南华视云信息科技有限公司-副本4_55"/>
                    <pic:cNvPicPr>
                      <a:picLocks noChangeAspect="1"/>
                    </pic:cNvPicPr>
                  </pic:nvPicPr>
                  <pic:blipFill>
                    <a:blip r:embed="rId12"/>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5" name="图片 5" descr="（备份）河南华视云信息科技有限公司-副本4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备份）河南华视云信息科技有限公司-副本4_56"/>
                    <pic:cNvPicPr>
                      <a:picLocks noChangeAspect="1"/>
                    </pic:cNvPicPr>
                  </pic:nvPicPr>
                  <pic:blipFill>
                    <a:blip r:embed="rId13"/>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6" name="图片 6" descr="（备份）河南华视云信息科技有限公司-副本4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备份）河南华视云信息科技有限公司-副本4_57"/>
                    <pic:cNvPicPr>
                      <a:picLocks noChangeAspect="1"/>
                    </pic:cNvPicPr>
                  </pic:nvPicPr>
                  <pic:blipFill>
                    <a:blip r:embed="rId14"/>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7" name="图片 7" descr="（备份）河南华视云信息科技有限公司-副本4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备份）河南华视云信息科技有限公司-副本4_58"/>
                    <pic:cNvPicPr>
                      <a:picLocks noChangeAspect="1"/>
                    </pic:cNvPicPr>
                  </pic:nvPicPr>
                  <pic:blipFill>
                    <a:blip r:embed="rId15"/>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1" name="图片 11" descr="（备份）河南华视云信息科技有限公司-副本4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备份）河南华视云信息科技有限公司-副本4_59"/>
                    <pic:cNvPicPr>
                      <a:picLocks noChangeAspect="1"/>
                    </pic:cNvPicPr>
                  </pic:nvPicPr>
                  <pic:blipFill>
                    <a:blip r:embed="rId16"/>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8" name="图片 8" descr="（备份）河南华视云信息科技有限公司-副本4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备份）河南华视云信息科技有限公司-副本4_59"/>
                    <pic:cNvPicPr>
                      <a:picLocks noChangeAspect="1"/>
                    </pic:cNvPicPr>
                  </pic:nvPicPr>
                  <pic:blipFill>
                    <a:blip r:embed="rId16"/>
                    <a:stretch>
                      <a:fillRect/>
                    </a:stretch>
                  </pic:blipFill>
                  <pic:spPr>
                    <a:xfrm>
                      <a:off x="0" y="0"/>
                      <a:ext cx="5507355" cy="3894455"/>
                    </a:xfrm>
                    <a:prstGeom prst="rect">
                      <a:avLst/>
                    </a:prstGeom>
                  </pic:spPr>
                </pic:pic>
              </a:graphicData>
            </a:graphic>
          </wp:inline>
        </w:drawing>
      </w:r>
    </w:p>
    <w:p>
      <w:pPr>
        <w:spacing w:line="240" w:lineRule="auto"/>
        <w:rPr>
          <w:rFonts w:hint="eastAsia" w:ascii="宋体" w:hAnsi="宋体" w:eastAsia="宋体" w:cs="宋体"/>
          <w:b/>
          <w:bCs/>
          <w:sz w:val="30"/>
          <w:szCs w:val="30"/>
          <w:lang w:eastAsia="zh-CN"/>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2" name="图片 12" descr="（备份）河南华视云信息科技有限公司-副本4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备份）河南华视云信息科技有限公司-副本4_60"/>
                    <pic:cNvPicPr>
                      <a:picLocks noChangeAspect="1"/>
                    </pic:cNvPicPr>
                  </pic:nvPicPr>
                  <pic:blipFill>
                    <a:blip r:embed="rId17"/>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3" name="图片 13" descr="（备份）河南华视云信息科技有限公司-副本4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备份）河南华视云信息科技有限公司-副本4_61"/>
                    <pic:cNvPicPr>
                      <a:picLocks noChangeAspect="1"/>
                    </pic:cNvPicPr>
                  </pic:nvPicPr>
                  <pic:blipFill>
                    <a:blip r:embed="rId18"/>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4" name="图片 14" descr="（备份）河南华视云信息科技有限公司-副本4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备份）河南华视云信息科技有限公司-副本4_62"/>
                    <pic:cNvPicPr>
                      <a:picLocks noChangeAspect="1"/>
                    </pic:cNvPicPr>
                  </pic:nvPicPr>
                  <pic:blipFill>
                    <a:blip r:embed="rId19"/>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5" name="图片 15" descr="（备份）河南华视云信息科技有限公司-副本4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备份）河南华视云信息科技有限公司-副本4_63"/>
                    <pic:cNvPicPr>
                      <a:picLocks noChangeAspect="1"/>
                    </pic:cNvPicPr>
                  </pic:nvPicPr>
                  <pic:blipFill>
                    <a:blip r:embed="rId20"/>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6" name="图片 16" descr="（备份）河南华视云信息科技有限公司-副本4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备份）河南华视云信息科技有限公司-副本4_64"/>
                    <pic:cNvPicPr>
                      <a:picLocks noChangeAspect="1"/>
                    </pic:cNvPicPr>
                  </pic:nvPicPr>
                  <pic:blipFill>
                    <a:blip r:embed="rId21"/>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7" name="图片 17" descr="（备份）河南华视云信息科技有限公司-副本4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备份）河南华视云信息科技有限公司-副本4_65"/>
                    <pic:cNvPicPr>
                      <a:picLocks noChangeAspect="1"/>
                    </pic:cNvPicPr>
                  </pic:nvPicPr>
                  <pic:blipFill>
                    <a:blip r:embed="rId22"/>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8" name="图片 18" descr="（备份）河南华视云信息科技有限公司-副本4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备份）河南华视云信息科技有限公司-副本4_66"/>
                    <pic:cNvPicPr>
                      <a:picLocks noChangeAspect="1"/>
                    </pic:cNvPicPr>
                  </pic:nvPicPr>
                  <pic:blipFill>
                    <a:blip r:embed="rId23"/>
                    <a:stretch>
                      <a:fillRect/>
                    </a:stretch>
                  </pic:blipFill>
                  <pic:spPr>
                    <a:xfrm>
                      <a:off x="0" y="0"/>
                      <a:ext cx="5507355" cy="3894455"/>
                    </a:xfrm>
                    <a:prstGeom prst="rect">
                      <a:avLst/>
                    </a:prstGeom>
                  </pic:spPr>
                </pic:pic>
              </a:graphicData>
            </a:graphic>
          </wp:inline>
        </w:drawing>
      </w: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19" name="图片 19" descr="（备份）河南华视云信息科技有限公司-副本4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备份）河南华视云信息科技有限公司-副本4_67"/>
                    <pic:cNvPicPr>
                      <a:picLocks noChangeAspect="1"/>
                    </pic:cNvPicPr>
                  </pic:nvPicPr>
                  <pic:blipFill>
                    <a:blip r:embed="rId24"/>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20" name="图片 20" descr="（备份）河南华视云信息科技有限公司-副本4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备份）河南华视云信息科技有限公司-副本4_68"/>
                    <pic:cNvPicPr>
                      <a:picLocks noChangeAspect="1"/>
                    </pic:cNvPicPr>
                  </pic:nvPicPr>
                  <pic:blipFill>
                    <a:blip r:embed="rId25"/>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21" name="图片 21" descr="（备份）河南华视云信息科技有限公司-副本4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备份）河南华视云信息科技有限公司-副本4_69"/>
                    <pic:cNvPicPr>
                      <a:picLocks noChangeAspect="1"/>
                    </pic:cNvPicPr>
                  </pic:nvPicPr>
                  <pic:blipFill>
                    <a:blip r:embed="rId26"/>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240" w:lineRule="auto"/>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inline distT="0" distB="0" distL="114300" distR="114300">
            <wp:extent cx="5507355" cy="3894455"/>
            <wp:effectExtent l="0" t="0" r="17145" b="10795"/>
            <wp:docPr id="22" name="图片 22" descr="（备份）河南华视云信息科技有限公司-副本4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备份）河南华视云信息科技有限公司-副本4_70"/>
                    <pic:cNvPicPr>
                      <a:picLocks noChangeAspect="1"/>
                    </pic:cNvPicPr>
                  </pic:nvPicPr>
                  <pic:blipFill>
                    <a:blip r:embed="rId27"/>
                    <a:stretch>
                      <a:fillRect/>
                    </a:stretch>
                  </pic:blipFill>
                  <pic:spPr>
                    <a:xfrm>
                      <a:off x="0" y="0"/>
                      <a:ext cx="5507355" cy="3894455"/>
                    </a:xfrm>
                    <a:prstGeom prst="rect">
                      <a:avLst/>
                    </a:prstGeom>
                  </pic:spPr>
                </pic:pic>
              </a:graphicData>
            </a:graphic>
          </wp:inline>
        </w:drawing>
      </w: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p>
    <w:p>
      <w:pPr>
        <w:spacing w:line="500" w:lineRule="exact"/>
        <w:rPr>
          <w:rFonts w:hint="eastAsia" w:ascii="宋体" w:hAnsi="宋体" w:eastAsia="宋体" w:cs="宋体"/>
          <w:b/>
          <w:bCs/>
          <w:sz w:val="30"/>
          <w:szCs w:val="30"/>
        </w:rPr>
      </w:pPr>
      <w:r>
        <w:rPr>
          <w:rFonts w:hint="eastAsia" w:ascii="宋体" w:hAnsi="宋体" w:eastAsia="宋体" w:cs="宋体"/>
          <w:b/>
          <w:bCs/>
          <w:sz w:val="30"/>
          <w:szCs w:val="30"/>
        </w:rPr>
        <w:t xml:space="preserve">附件三            </w:t>
      </w:r>
    </w:p>
    <w:p>
      <w:pPr>
        <w:spacing w:line="500" w:lineRule="exact"/>
        <w:jc w:val="center"/>
        <w:rPr>
          <w:rFonts w:hint="eastAsia" w:ascii="宋体" w:hAnsi="宋体" w:eastAsia="宋体" w:cs="宋体"/>
          <w:b/>
          <w:bCs/>
          <w:sz w:val="30"/>
          <w:szCs w:val="30"/>
        </w:rPr>
      </w:pPr>
      <w:r>
        <w:rPr>
          <w:rFonts w:hint="eastAsia" w:ascii="宋体" w:hAnsi="宋体" w:eastAsia="宋体" w:cs="宋体"/>
          <w:b/>
          <w:bCs/>
          <w:sz w:val="30"/>
          <w:szCs w:val="30"/>
        </w:rPr>
        <w:t>售后服务计划书</w:t>
      </w:r>
    </w:p>
    <w:p>
      <w:pPr>
        <w:spacing w:line="500" w:lineRule="exact"/>
        <w:rPr>
          <w:rFonts w:hint="eastAsia" w:ascii="宋体" w:hAnsi="宋体" w:eastAsia="宋体" w:cs="宋体"/>
          <w:sz w:val="28"/>
          <w:szCs w:val="28"/>
        </w:rPr>
      </w:pP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售后服务承诺</w:t>
      </w:r>
    </w:p>
    <w:p>
      <w:pPr>
        <w:numPr>
          <w:ilvl w:val="0"/>
          <w:numId w:val="0"/>
        </w:numPr>
        <w:spacing w:line="500" w:lineRule="exact"/>
        <w:rPr>
          <w:rFonts w:hint="eastAsia" w:ascii="宋体" w:hAnsi="宋体" w:eastAsia="宋体" w:cs="宋体"/>
          <w:sz w:val="24"/>
          <w:szCs w:val="24"/>
        </w:rPr>
      </w:pPr>
      <w:r>
        <w:rPr>
          <w:rFonts w:hint="eastAsia" w:ascii="宋体" w:hAnsi="宋体" w:eastAsia="宋体" w:cs="宋体"/>
          <w:sz w:val="24"/>
          <w:szCs w:val="24"/>
        </w:rPr>
        <w:t>全部设备免费质保三年。</w:t>
      </w:r>
    </w:p>
    <w:p>
      <w:pPr>
        <w:spacing w:line="500" w:lineRule="exact"/>
        <w:rPr>
          <w:rFonts w:hint="eastAsia" w:ascii="宋体" w:hAnsi="宋体" w:eastAsia="宋体" w:cs="宋体"/>
          <w:sz w:val="24"/>
          <w:szCs w:val="24"/>
        </w:rPr>
      </w:pPr>
      <w:r>
        <w:rPr>
          <w:rFonts w:hint="eastAsia" w:ascii="宋体" w:hAnsi="宋体" w:eastAsia="宋体" w:cs="宋体"/>
          <w:sz w:val="24"/>
          <w:szCs w:val="24"/>
        </w:rPr>
        <w:t>①响应时间：</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我公司为本项目服务配备专业的服务人员，并配备专业项目负责人，保证随时联系随时响应。质保期内自接到用户报修时：</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具体响应时间： 10 分钟内响应，及时接听用户报修电话或电子邮件等，并及时回复。在尽可能短的时间内核实用户报修内容。</w:t>
      </w:r>
    </w:p>
    <w:p>
      <w:pPr>
        <w:spacing w:line="500" w:lineRule="exact"/>
        <w:rPr>
          <w:rFonts w:hint="eastAsia" w:ascii="宋体" w:hAnsi="宋体" w:eastAsia="宋体" w:cs="宋体"/>
          <w:sz w:val="24"/>
          <w:szCs w:val="24"/>
        </w:rPr>
      </w:pPr>
      <w:r>
        <w:rPr>
          <w:rFonts w:hint="eastAsia" w:ascii="宋体" w:hAnsi="宋体" w:eastAsia="宋体" w:cs="宋体"/>
          <w:sz w:val="24"/>
          <w:szCs w:val="24"/>
        </w:rPr>
        <w:t>②到达现场时间：</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 小时内到达现场，我公司自接到接到采购人维修电话起，1  小时内到达现场查看情况。</w:t>
      </w:r>
    </w:p>
    <w:p>
      <w:pPr>
        <w:spacing w:line="500" w:lineRule="exact"/>
        <w:rPr>
          <w:rFonts w:hint="eastAsia" w:ascii="宋体" w:hAnsi="宋体" w:eastAsia="宋体" w:cs="宋体"/>
          <w:sz w:val="24"/>
          <w:szCs w:val="24"/>
        </w:rPr>
      </w:pPr>
      <w:r>
        <w:rPr>
          <w:rFonts w:hint="eastAsia" w:ascii="宋体" w:hAnsi="宋体" w:eastAsia="宋体" w:cs="宋体"/>
          <w:sz w:val="24"/>
          <w:szCs w:val="24"/>
        </w:rPr>
        <w:t>③解决问题时间：</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我公司接到用户报修到达现场后，解决一般故障问题不超过 4 小时。</w:t>
      </w:r>
    </w:p>
    <w:p>
      <w:pPr>
        <w:spacing w:line="500" w:lineRule="exact"/>
        <w:rPr>
          <w:rFonts w:hint="eastAsia" w:ascii="宋体" w:hAnsi="宋体" w:eastAsia="宋体" w:cs="宋体"/>
          <w:sz w:val="24"/>
          <w:szCs w:val="24"/>
        </w:rPr>
      </w:pPr>
      <w:r>
        <w:rPr>
          <w:rFonts w:hint="eastAsia" w:ascii="宋体" w:hAnsi="宋体" w:eastAsia="宋体" w:cs="宋体"/>
          <w:sz w:val="24"/>
          <w:szCs w:val="24"/>
        </w:rPr>
        <w:t>④提供备机服务：</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超过 4 小时无法解决的提供备机，并提供支持和代替方案，为用户提供良好、清晰的沟通，不断更新用户和相关方的情况，1 对 1 保持关注和支持，直到问题得到解决。</w:t>
      </w:r>
    </w:p>
    <w:p>
      <w:pPr>
        <w:spacing w:line="500" w:lineRule="exact"/>
        <w:rPr>
          <w:rFonts w:hint="eastAsia" w:ascii="宋体" w:hAnsi="宋体" w:eastAsia="宋体" w:cs="宋体"/>
          <w:sz w:val="24"/>
          <w:szCs w:val="24"/>
        </w:rPr>
      </w:pPr>
      <w:r>
        <w:rPr>
          <w:rFonts w:hint="eastAsia" w:ascii="宋体" w:hAnsi="宋体" w:eastAsia="宋体" w:cs="宋体"/>
          <w:sz w:val="24"/>
          <w:szCs w:val="24"/>
        </w:rPr>
        <w:t>⑤上门维护巡检安排：</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每年进行巡检 6 次。</w:t>
      </w:r>
    </w:p>
    <w:p>
      <w:pPr>
        <w:spacing w:line="500" w:lineRule="exact"/>
        <w:rPr>
          <w:rFonts w:hint="eastAsia" w:ascii="宋体" w:hAnsi="宋体" w:eastAsia="宋体" w:cs="宋体"/>
          <w:sz w:val="24"/>
          <w:szCs w:val="24"/>
        </w:rPr>
      </w:pPr>
      <w:r>
        <w:rPr>
          <w:rFonts w:hint="eastAsia" w:ascii="宋体" w:hAnsi="宋体" w:eastAsia="宋体" w:cs="宋体"/>
          <w:sz w:val="24"/>
          <w:szCs w:val="24"/>
        </w:rPr>
        <w:t>（二）驻场服务承诺函</w:t>
      </w:r>
    </w:p>
    <w:p>
      <w:pPr>
        <w:spacing w:line="500" w:lineRule="exact"/>
        <w:rPr>
          <w:rFonts w:hint="eastAsia" w:ascii="宋体" w:hAnsi="宋体" w:eastAsia="宋体" w:cs="宋体"/>
          <w:sz w:val="24"/>
          <w:szCs w:val="24"/>
        </w:rPr>
      </w:pPr>
      <w:r>
        <w:rPr>
          <w:rFonts w:hint="eastAsia" w:ascii="宋体" w:hAnsi="宋体" w:eastAsia="宋体" w:cs="宋体"/>
          <w:sz w:val="24"/>
          <w:szCs w:val="24"/>
        </w:rPr>
        <w:t>致：河南理工大学</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我单位就采购编号：豫财磋商采购-2024-183、河南理工大学智慧教室标准化考场建设项目中从正式投入使用开始，我公司提供项目驻场服务，具体服务如下：</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1.质保期内，我公司在项目地提供专业技术人员驻场服务。</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2.驻场服务期间，不定时为管理人员提供免费技术培训交流服务，在快速解决问题的基础上，整理解决方案并归档，形成知识库，方便管理员后期快速搜索，查找同类问题的解决方案。</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3.驻场服务期间，提供所有标准化考场设备检修服务，通过检修把问题解决在考试之前，减少使用中的故障率。</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4.驻场服务期间，提供各个考场教室的线路优化服务，把一些凌乱的线头、线缆进行扎线整理或铺设线槽，在保证安全的基础上，保证教室的整洁美观。</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5.驻场服务期间，提供随叫随到，为出现的设备故障问题提供快速现场维修服务。</w:t>
      </w:r>
    </w:p>
    <w:p>
      <w:pPr>
        <w:spacing w:line="500" w:lineRule="exact"/>
        <w:rPr>
          <w:rFonts w:hint="eastAsia" w:ascii="宋体" w:hAnsi="宋体" w:eastAsia="宋体" w:cs="宋体"/>
          <w:sz w:val="24"/>
          <w:szCs w:val="24"/>
        </w:rPr>
      </w:pPr>
      <w:r>
        <w:rPr>
          <w:rFonts w:hint="eastAsia" w:ascii="宋体" w:hAnsi="宋体" w:eastAsia="宋体" w:cs="宋体"/>
          <w:sz w:val="24"/>
          <w:szCs w:val="24"/>
        </w:rPr>
        <w:t>特此承诺。</w:t>
      </w:r>
    </w:p>
    <w:p>
      <w:pPr>
        <w:spacing w:line="500" w:lineRule="exact"/>
        <w:rPr>
          <w:rFonts w:hint="eastAsia" w:ascii="宋体" w:hAnsi="宋体" w:eastAsia="宋体" w:cs="宋体"/>
          <w:sz w:val="24"/>
          <w:szCs w:val="24"/>
        </w:rPr>
      </w:pPr>
      <w:r>
        <w:rPr>
          <w:rFonts w:hint="eastAsia" w:ascii="宋体" w:hAnsi="宋体" w:eastAsia="宋体" w:cs="宋体"/>
          <w:sz w:val="24"/>
          <w:szCs w:val="24"/>
        </w:rPr>
        <w:t>供应商：河南华视云信息科技有限公司（盖单位公章）</w:t>
      </w:r>
    </w:p>
    <w:p>
      <w:pPr>
        <w:spacing w:line="500" w:lineRule="exact"/>
        <w:rPr>
          <w:rFonts w:hint="eastAsia" w:ascii="宋体" w:hAnsi="宋体" w:eastAsia="宋体" w:cs="宋体"/>
          <w:sz w:val="24"/>
          <w:szCs w:val="24"/>
        </w:rPr>
      </w:pPr>
      <w:r>
        <w:rPr>
          <w:rFonts w:hint="eastAsia" w:ascii="宋体" w:hAnsi="宋体" w:eastAsia="宋体" w:cs="宋体"/>
          <w:sz w:val="24"/>
          <w:szCs w:val="24"/>
        </w:rPr>
        <w:t>日期：2024 年 5 月 8 日</w:t>
      </w:r>
    </w:p>
    <w:p>
      <w:pPr>
        <w:spacing w:line="500" w:lineRule="exact"/>
        <w:rPr>
          <w:rFonts w:hint="eastAsia" w:ascii="宋体" w:hAnsi="宋体" w:eastAsia="宋体" w:cs="宋体"/>
          <w:sz w:val="24"/>
          <w:szCs w:val="24"/>
        </w:rPr>
      </w:pPr>
      <w:r>
        <w:rPr>
          <w:rFonts w:hint="eastAsia" w:ascii="宋体" w:hAnsi="宋体" w:eastAsia="宋体" w:cs="宋体"/>
          <w:sz w:val="24"/>
          <w:szCs w:val="24"/>
        </w:rPr>
        <w:t>（三）现场服务措施</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对于不能通过电话、传真或互联网技术等解决的各种技术问题，我司会派有经验的技术人员到现场为用户解决问题，保证及时赶赴现场维护解决问题。</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在用户使用过程中出现问题的时候，工程师在现场了解故障详情，提供切实的故障解决方案，在规定的时间内解决故障，恢复设备及系统运行。</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我司技术人员将驻场到客户现场进行客户访问，收集客户意见和建议，及时发现问题和隐患，以便及时处置。</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将派遣技术支持服务人员为项目用户提供现场服务，按照项目用户的统一安排工作，为本项目所建系统提供现场技术支持、现场健康检查、安装配置、运行监控、故障检查与解决、系统调优、知识转移、应急处理、系统审计及故障处理等现场服务。</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（1）现场健康检查</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我司将对系统各项运行参数进行全面的现场健康检查，以便发现潜在的系统健康问题，并分析可能的原因，提出相关解决办法，现场健康检查的内容如下。</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1）系统现场健康检查</w:t>
      </w:r>
    </w:p>
    <w:p>
      <w:pPr>
        <w:spacing w:line="500" w:lineRule="exact"/>
        <w:rPr>
          <w:rFonts w:hint="eastAsia" w:ascii="宋体" w:hAnsi="宋体" w:eastAsia="宋体" w:cs="宋体"/>
          <w:sz w:val="24"/>
          <w:szCs w:val="24"/>
        </w:rPr>
      </w:pPr>
      <w:r>
        <w:rPr>
          <w:rFonts w:hint="eastAsia" w:ascii="宋体" w:hAnsi="宋体" w:eastAsia="宋体" w:cs="宋体"/>
          <w:sz w:val="24"/>
          <w:szCs w:val="24"/>
        </w:rPr>
        <w:t>定期执行系统现场健康检查，并提交运行现场健康检查报告。检查系统的各类日志是否存在异常告警信息。检查系统配置部署文件的使用状况。查看系统的系统配置参数、运行性能参数。监控系统各类资源的使用状况（内存消耗、性能效率等）。检查线程运行是否出现死锁情况。</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2）系统健康问题原因分析</w:t>
      </w:r>
    </w:p>
    <w:p>
      <w:pPr>
        <w:spacing w:line="500" w:lineRule="exact"/>
        <w:rPr>
          <w:rFonts w:hint="eastAsia" w:ascii="宋体" w:hAnsi="宋体" w:eastAsia="宋体" w:cs="宋体"/>
          <w:sz w:val="24"/>
          <w:szCs w:val="24"/>
        </w:rPr>
      </w:pPr>
      <w:r>
        <w:rPr>
          <w:rFonts w:hint="eastAsia" w:ascii="宋体" w:hAnsi="宋体" w:eastAsia="宋体" w:cs="宋体"/>
          <w:sz w:val="24"/>
          <w:szCs w:val="24"/>
        </w:rPr>
        <w:t>分析系统健康问题的表象，全面剖析与系统健康相关的各个环节。定位系统健康问题的原因。</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3）系统健康问题解决</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提出系统健康问题的解决办法，评价系统健康问题解决的结果，提交系统健康评价报告。</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（2）安装配置</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将根据现场服务要求，派遣工程师到用户现场进行系统的现场安装、调试、配置（运行配置参数、应用实例）等工作。在系统安装配置过程中，我司将提供系统的部署配置文档、参数设置文档、实施方案等技术资料。在系统安装配置期间，我司将通过热线电话、电子邮件、</w:t>
      </w:r>
    </w:p>
    <w:p>
      <w:pPr>
        <w:spacing w:line="500" w:lineRule="exact"/>
        <w:rPr>
          <w:rFonts w:hint="eastAsia" w:ascii="宋体" w:hAnsi="宋体" w:eastAsia="宋体" w:cs="宋体"/>
          <w:sz w:val="24"/>
          <w:szCs w:val="24"/>
        </w:rPr>
      </w:pPr>
      <w:r>
        <w:rPr>
          <w:rFonts w:hint="eastAsia" w:ascii="宋体" w:hAnsi="宋体" w:eastAsia="宋体" w:cs="宋体"/>
          <w:sz w:val="24"/>
          <w:szCs w:val="24"/>
        </w:rPr>
        <w:t>传真等方式，随时与用户保持良好的沟通。</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的现场技术服务工程师将为用户提供系统软件的安装、调试、配置等技术培训和指导，使其掌握系统的安装配置过程。在系统的安装配置完成后，我司的现场技术服务工程师将对系统进行检查，并利用问题跟踪机制详细记录系统的安装配置情况，及时解决在此过程中出现的问题。</w:t>
      </w:r>
    </w:p>
    <w:p>
      <w:pPr>
        <w:spacing w:line="500" w:lineRule="exact"/>
        <w:rPr>
          <w:rFonts w:hint="eastAsia" w:ascii="宋体" w:hAnsi="宋体" w:eastAsia="宋体" w:cs="宋体"/>
          <w:sz w:val="24"/>
          <w:szCs w:val="24"/>
        </w:rPr>
      </w:pPr>
      <w:r>
        <w:rPr>
          <w:rFonts w:hint="eastAsia" w:ascii="宋体" w:hAnsi="宋体" w:eastAsia="宋体" w:cs="宋体"/>
          <w:sz w:val="24"/>
          <w:szCs w:val="24"/>
        </w:rPr>
        <w:t>（3）运行监控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定期执行全面的系统运行性能监控，主要监控系统的运行性能状况，并提交运行监控报告。</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1）运行日志监控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对系统的各类日志中的异常告警信息进行监控。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2）配置文件使用监控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对系统的相关配置部署文件的使用状况进行监控。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3）系统配置与运行性能参数监控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对系统的系统配置参数、运行性能参数进行监控。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4）故障检查与解决</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我司在接到系统软件故障报告后，将提供以下故障检查服务，有效解决相关系统故障。</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在现场对系统进行故障诊断，利用系统的跟踪日志和告警日志文件，获取系统的故障描述、错误代码等信息，并对故障进行初步分析和定位，以便采取有效措施加以解决。</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重点检查系统的部署配置、运行性能、应用访问、系统安全等方面的参数、监控信息，结合故障告警信息，进一步定位故障位置，深入分析故障根源。</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根据故障检查和分析结果，利用系统的备用恢复方案，调整故障系统的相关部署配置参数、运行配置参数等。</w:t>
      </w:r>
    </w:p>
    <w:p>
      <w:pPr>
        <w:spacing w:line="500" w:lineRule="exact"/>
        <w:ind w:firstLine="240" w:firstLineChars="100"/>
        <w:rPr>
          <w:rFonts w:hint="eastAsia" w:ascii="宋体" w:hAnsi="宋体" w:eastAsia="宋体" w:cs="宋体"/>
          <w:sz w:val="24"/>
          <w:szCs w:val="24"/>
        </w:rPr>
      </w:pPr>
      <w:r>
        <w:rPr>
          <w:rFonts w:hint="eastAsia" w:ascii="宋体" w:hAnsi="宋体" w:eastAsia="宋体" w:cs="宋体"/>
          <w:sz w:val="24"/>
          <w:szCs w:val="24"/>
        </w:rPr>
        <w:t>（5）系统调优</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我司将根据用户方实际需求提供系统调优服务，以便满足用户方对业务应用规模增加所造成的系统性能下降、应用处理速度变慢、集群应用与负载均衡管理等问题的有效解决要求。</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为此，我司将根据系统运行情况和管理要求制定系统调优计划，定期开展系统性能诊断，并根据诊断结果，对相关配置参数进行合理调整，使系统始终处于最佳运行状态。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因此，我司每月将为用户的系统提供系统性能评估及调优服务，以保证系统的效率，系统性能调优服务分主要包括以下两类。</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1）我司接到用户的系统性能问题服务请求后，对系统的某方面性能进行调整优化。</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2）我司在巡检和故障处理过程中发现系统性能问题后，及时向用户提出系统性能调优意见，并根据具体情况实施。</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系统调优的主要服务内容包括：</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1）分析用户业务应用类型和业务行为。</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2）评价、修改系统的参数设置、应用部署。</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3）评价系统的资源使用情况，并提出相应建议。对系统性能进行诊断，根据诊断结果，提出系统性能调优建议解决方法，并进行系统性能调优处理。</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4）利用先进的性能调整工具，实施系统性能调优，并填写系统调优记录表。</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5）向用户方提交完整的系统性能调优报告。</w:t>
      </w:r>
    </w:p>
    <w:p>
      <w:pPr>
        <w:spacing w:line="500" w:lineRule="exact"/>
        <w:rPr>
          <w:rFonts w:hint="eastAsia" w:ascii="宋体" w:hAnsi="宋体" w:eastAsia="宋体" w:cs="宋体"/>
          <w:sz w:val="24"/>
          <w:szCs w:val="24"/>
        </w:rPr>
      </w:pPr>
      <w:r>
        <w:rPr>
          <w:rFonts w:hint="eastAsia" w:ascii="宋体" w:hAnsi="宋体" w:eastAsia="宋体" w:cs="宋体"/>
          <w:sz w:val="24"/>
          <w:szCs w:val="24"/>
        </w:rPr>
        <w:t>（6）知识转移</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我司通过为用户提供系统软件的操作培训、使用技术支持等服务，完成系统软件运行维护管理工作的知识与经验的有效转移。</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1）操作培训与服务优化研讨</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我司将提供丰富经验的培训讲师，为用户提供系统管理员培训、高级技术培训，使用户掌握系统的原理及构成、维护管理操作、应用部署操作等知识，为用户正常使用和维护系统提供有效保障。</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2）使用技术支持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于本项目应用软件，我司将通过电话、邮件等方式与用户沟通，提供系统的使用技术支持。我司将为用户提供相应的培训、现场指导等知识转移服务，以保障用户熟练使用系统软件，为用户的业务应用系统提供有力的技术保障。</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（四）保修期内故障处理流程</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（1）远程支持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在网络信息时代，远程支持是售后服务的一个重要组成部分。我司有一批经验丰富的售后工程师，并且在多年积累的基础上建立了内容丰富的故障数据库，能够帮助用户快速找到故障原因并找到解决的办法。</w:t>
      </w:r>
    </w:p>
    <w:p>
      <w:pPr>
        <w:spacing w:line="500" w:lineRule="exact"/>
        <w:rPr>
          <w:rFonts w:hint="eastAsia" w:ascii="宋体" w:hAnsi="宋体" w:eastAsia="宋体" w:cs="宋体"/>
          <w:sz w:val="24"/>
          <w:szCs w:val="24"/>
        </w:rPr>
      </w:pPr>
      <w:r>
        <w:rPr>
          <w:rFonts w:hint="eastAsia" w:ascii="宋体" w:hAnsi="宋体" w:eastAsia="宋体" w:cs="宋体"/>
          <w:sz w:val="24"/>
          <w:szCs w:val="24"/>
        </w:rPr>
        <w:t>远程支持可以通过电话、传真或互联网技术等方式，为用户解决产品相关的问题。</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（2）技术服务热线</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用户可随时通过电话就有关技术问题向我司的技术人员进行咨询；用户电话享有高度的优先级，优先处理用户电话求助，直至得到令用户满意的结果；专业的技术工程师和完善的电话处理及升级程序以保证快速有效的支持。也将定期向用户提供各种最新的技术资料，并及时对用户进行回访。</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（3）电子邮件 E-Mail</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对于在热线电话中无法解决的问题，如果需要以电子文件的方式提供，售后服务人员会根据用户提供的 E-Mail 地址及时给以回复。E-Mail 响应的内容一般包括：非紧急情况下的升级或更新软件的提供，用户需要的产品说明、操作指南等文件及其他。</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（4）现场支持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在远程无法解决的情况下，接到用户现场支持要求后，我司的专业技术人员将到达现场提供服务；服务过程及结果将形成文档，文档的格式与内容将严格遵守质量保证体系的要求。</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（五）巡回检修服务故障解决流程特殊情况处理</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1）应急响应策略</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针对自然灾害、盗窃、病毒等无法预知的应急事件所导致的系统故障，我司将制定系统的应急处理预案，组建应急处置领导和执行机构，实施快速的应急响应，使系统尽快恢复正常运行。</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应急事件发生后，首先要诊断并排除突发事件，尽快使系统恢复正常运转。其次要尽可能降低灾害对系统造成的破坏，并为管理者和决策者提供准确的分析统计报告和有价值的建议。根据我司的项目服务经验，将应急管理分为准备、事件检测、抑制、根除、恢复、报告等阶段的工作。</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为有效应对应急事件，在制定本项目系统的应急处置预案之前，我司将模拟生产环境中系统的运行状态和输出结果，以验证应急预案、回退预案的可行性，从而确保系统能有效地从故障中恢复。具体的应急响应策略如下所述：</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制定并执行应急预案。在本项目中，对于系统部署与实施技术或其他原因引起的系统故障、业务运行中断等问题，出于降低风险和损失的目的，我司将制定相应的应急处理预案，以便在预防和应对突发应急事件。</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制定并执行回退预案。在本项目中，对于系统软件无法满足应用需求而影响到业务正常运行的情况，我司将根据项目要求和运行环境制定回退预案加以应对，将系统运行特征或参数恢复到安全合理的状态。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2）应急处理措施</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出现重大故障时，采用应急备份切换方案和措施，确保生产业务应用系统在最短时间内恢复。执行切实可行的应急故障处理方案。定期对系统进行检查，并提交运行状态检查报告，以防患于未然。根据系统运行情况，提出系统配置参数、运行性能参数等方面的合理化建议。</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3）系统故障处理</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1）现场调整系统配置或系统重装</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当系统出现故障时，工程师将及时到达现场，调整系统配置或重装系统，在现场进行故障诊断;调整故障系统的部署配置参数、运行配置参数、其它部署参数;恢复故障系统的运行，故障处理汇报及预防措施实施。</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2）故障修复报告</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每次完成现场维护服务后，工程师将详细填写《系统维护报告》，并交用户签字认可，双方各留一份以备存档。《系统维护报告》包括报障时间、到场时间、服务开始和结束时间、故障现象、故障分析及处理过程、遗留问题、服务质量评价等内容。对于影响重大的故障或者用</w:t>
      </w:r>
    </w:p>
    <w:p>
      <w:pPr>
        <w:spacing w:line="500" w:lineRule="exact"/>
        <w:rPr>
          <w:rFonts w:hint="eastAsia" w:ascii="宋体" w:hAnsi="宋体" w:eastAsia="宋体" w:cs="宋体"/>
          <w:sz w:val="24"/>
          <w:szCs w:val="24"/>
        </w:rPr>
      </w:pPr>
      <w:r>
        <w:rPr>
          <w:rFonts w:hint="eastAsia" w:ascii="宋体" w:hAnsi="宋体" w:eastAsia="宋体" w:cs="宋体"/>
          <w:sz w:val="24"/>
          <w:szCs w:val="24"/>
        </w:rPr>
        <w:t>户认为需提交分析报告的故障，在故障处理后一天内提供故障分析报告，报告将详细描述整个故障的处理过程，并提出合理化建议（预防方法）。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六）质量保证与售后</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 、质量保证与售后</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1.1 我公司所提供的设备及其附件为全新。所购设备应采用的是优质材料和先进工艺，均符合国家规定的质量、规格和性能。设备制造商对产品生产的全过程严格按质量保证体系执行。我公司保证设备及其组建经过正确安装、正确操作和保养，在其寿命内运行良好。由于设计、材料或工艺的原因造成的缺陷和故障，在合理期限内我公司免费修理或更换有缺陷的零部件或整机。</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1.2 供我公司在设备安装、调试及质保期期间提供无偿的现场维保服务，直至设备正常投运为止。在质保期内出现软硬件质量问题需要更换设备时，我公司负责免费尽快更换，同时更换的设备重新开始计算质保期。给采购方造成损失的，赔偿相应损失。在质保期内需要维修时，维修或更换所发生的一切费用，包括工时费、交通费、住宿费、通讯费、运输（邮寄）费均由我公司承担。对于维修后的核心部件重新开始计算质保期。</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 、验收办法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2.1 设备安装、调试和验收：仪器到达最终用户现场并且实验室条件合格后，在接到用户通知后，厂家安排有经验的工程技术人员到用户现场安装、调试仪器，按验收指标逐项测试，直至达到验收要求。</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2.2 若我公司中标，验收由我公司负责组织相关部门检验、验收及办理备案等相关手续，并由贵方组织有关专家按照采购文件要求及合同内容进行验收，期间所有费用由我公司承担。</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2.3 我公司所提供的产品（包括软件）保证是原厂正货（正版）且原厂原装的全新产品（包装未启封），并且具有出厂合格证以及相应的质保、售后服务等证明。产品到达采购单位时，我公司保证依照采购需求的要求和报价响应的承诺，将产品、系统安装并调试至正常运行的最佳状态，并向采购人提供相关的应用培训，否则采购人有权拒绝收货验货。</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2.4 货物到达安装现场后，若我公司中标，我公司会和业主共同打开包装验货检查货物数量。我公司提供的仪器设备质量除应符合技术标书的技术条款外，也保证符合国家现行验收标准。</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2.5 设备不满足采购文件要求的，业主有权解除合同并追究我公司的法律责任。</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 3 、违约责任</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3.1 供应商未按期交付设备的，采购方可获得经济上的违约赔偿。其标准按合同执行。一周按 7 天计算，不足 7 天按一周计算。如果达到最高限额，需方有权解除合同并没收履约保证金，同时保留向供方追诉的权利，造成采购方经济损失的，我公司赔偿采购方经济损失。</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3.2 我公司如出现延期交付或所供应产品未达到采购文件要求的技术性能指标和我公司投标响应文件所响应的技术性能指标的情况，采购方将给予此事项上报监督主管部门，按弄虚作假谋取中标，将我公司列入不良行为记录名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 、服务与技术支持</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4.1 若我公司中标，我公司会配备专职技术服务人员，其中专职技术人员不少于 3 名。若我公司中标，将免费培训合格的使用人员，培训内容包括但不限于基础理论、设备使用操作、设备维修、故障排除与保养等方面技术培训，直至受训人员能熟练独立操作正常使用仪器。</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4.2 本次采购所要求提供的货物的质量保修期默认为自验收通过之日起开始计算，质保期外所有仪器设备终身上门维修服务（只收材料成本费）。</w:t>
      </w: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十三）质保期过后可提供的服务项目和收费明细</w:t>
      </w: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质保期出现的质量问题由我公司负责解决并承担所有费用。质保期后提供终身维修，维修时免收维修人工费，若需更换配件，价格给予优惠。</w:t>
      </w:r>
    </w:p>
    <w:p>
      <w:pPr>
        <w:spacing w:line="500" w:lineRule="exact"/>
        <w:ind w:firstLine="480" w:firstLineChars="200"/>
        <w:rPr>
          <w:rFonts w:hint="eastAsia" w:ascii="宋体" w:hAnsi="宋体" w:eastAsia="宋体" w:cs="宋体"/>
          <w:sz w:val="24"/>
          <w:szCs w:val="24"/>
          <w:lang w:val="en-US" w:eastAsia="en-US"/>
        </w:rPr>
      </w:pPr>
    </w:p>
    <w:tbl>
      <w:tblPr>
        <w:tblStyle w:val="13"/>
        <w:tblW w:w="964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8"/>
        <w:gridCol w:w="5612"/>
        <w:gridCol w:w="321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3" w:hRule="atLeast"/>
        </w:trPr>
        <w:tc>
          <w:tcPr>
            <w:tcW w:w="818" w:type="dxa"/>
            <w:vAlign w:val="top"/>
          </w:tcPr>
          <w:p>
            <w:pPr>
              <w:spacing w:line="500" w:lineRule="exact"/>
              <w:ind w:left="559" w:leftChars="266" w:firstLine="0" w:firstLine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序号</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服务项目</w:t>
            </w:r>
          </w:p>
        </w:tc>
        <w:tc>
          <w:tcPr>
            <w:tcW w:w="32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收费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8" w:hRule="atLeast"/>
        </w:trPr>
        <w:tc>
          <w:tcPr>
            <w:tcW w:w="8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有偿售后服务：包括但不限于设备维修、部件更换、 软件升级等，用户需要支付相应的费用。</w:t>
            </w:r>
          </w:p>
        </w:tc>
        <w:tc>
          <w:tcPr>
            <w:tcW w:w="3218" w:type="dxa"/>
            <w:vAlign w:val="top"/>
          </w:tcPr>
          <w:p>
            <w:pPr>
              <w:spacing w:line="50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免人工费，价格给予优惠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9" w:hRule="atLeast"/>
        </w:trPr>
        <w:tc>
          <w:tcPr>
            <w:tcW w:w="8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零配件供应：提供设备使用运行所必需的零配件， 以合理的优惠价格供应。</w:t>
            </w:r>
          </w:p>
        </w:tc>
        <w:tc>
          <w:tcPr>
            <w:tcW w:w="3218" w:type="dxa"/>
            <w:vAlign w:val="top"/>
          </w:tcPr>
          <w:p>
            <w:pPr>
              <w:spacing w:line="50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免人工费，价格给予优惠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8" w:hRule="atLeast"/>
        </w:trPr>
        <w:tc>
          <w:tcPr>
            <w:tcW w:w="8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故障排除和保养服务：负责设备的故障排除，并对 设备进行保养和维护，确保设备的正常运行。</w:t>
            </w:r>
          </w:p>
        </w:tc>
        <w:tc>
          <w:tcPr>
            <w:tcW w:w="3218" w:type="dxa"/>
            <w:vAlign w:val="top"/>
          </w:tcPr>
          <w:p>
            <w:pPr>
              <w:spacing w:line="50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免人工费，价格给予优惠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818" w:type="dxa"/>
            <w:vAlign w:val="top"/>
          </w:tcPr>
          <w:p>
            <w:pPr>
              <w:spacing w:line="500" w:lineRule="exact"/>
              <w:ind w:firstLine="480" w:firstLineChars="200"/>
              <w:rPr>
                <w:rFonts w:hint="eastAsia" w:ascii="宋体" w:hAnsi="宋体" w:eastAsia="宋体" w:cs="宋体"/>
                <w:sz w:val="24"/>
                <w:szCs w:val="24"/>
                <w:lang w:val="en-US" w:eastAsia="en-US"/>
              </w:rPr>
            </w:pP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备品备件储备：根据设备档案，做好备品备件的储 备，以优惠的价格提供备品备件和产品更新、改造 服务。</w:t>
            </w:r>
          </w:p>
        </w:tc>
        <w:tc>
          <w:tcPr>
            <w:tcW w:w="3218" w:type="dxa"/>
            <w:vAlign w:val="top"/>
          </w:tcPr>
          <w:p>
            <w:pPr>
              <w:spacing w:line="500" w:lineRule="exact"/>
              <w:ind w:firstLine="480" w:firstLineChars="200"/>
              <w:rPr>
                <w:rFonts w:hint="eastAsia" w:ascii="宋体" w:hAnsi="宋体" w:eastAsia="宋体" w:cs="宋体"/>
                <w:sz w:val="24"/>
                <w:szCs w:val="24"/>
                <w:lang w:val="en-US" w:eastAsia="en-US"/>
              </w:rPr>
            </w:pPr>
          </w:p>
          <w:p>
            <w:pPr>
              <w:spacing w:line="50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免人工费，价格给予优惠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818" w:type="dxa"/>
            <w:vAlign w:val="top"/>
          </w:tcPr>
          <w:p>
            <w:pPr>
              <w:spacing w:line="500" w:lineRule="exact"/>
              <w:ind w:firstLine="480" w:firstLineChars="200"/>
              <w:rPr>
                <w:rFonts w:hint="eastAsia" w:ascii="宋体" w:hAnsi="宋体" w:eastAsia="宋体" w:cs="宋体"/>
                <w:sz w:val="24"/>
                <w:szCs w:val="24"/>
                <w:lang w:val="en-US" w:eastAsia="en-US"/>
              </w:rPr>
            </w:pP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技术支持：提供设备使用运行的技术支持，包括故 障诊断、故障排除、保养维护等，以确保设备的稳 定运行。</w:t>
            </w:r>
          </w:p>
        </w:tc>
        <w:tc>
          <w:tcPr>
            <w:tcW w:w="3218" w:type="dxa"/>
            <w:vAlign w:val="top"/>
          </w:tcPr>
          <w:p>
            <w:pPr>
              <w:spacing w:line="500" w:lineRule="exact"/>
              <w:ind w:firstLine="480" w:firstLineChars="200"/>
              <w:rPr>
                <w:rFonts w:hint="eastAsia" w:ascii="宋体" w:hAnsi="宋体" w:eastAsia="宋体" w:cs="宋体"/>
                <w:sz w:val="24"/>
                <w:szCs w:val="24"/>
                <w:lang w:val="en-US" w:eastAsia="en-US"/>
              </w:rPr>
            </w:pP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9" w:hRule="atLeast"/>
        </w:trPr>
        <w:tc>
          <w:tcPr>
            <w:tcW w:w="8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检测和维护：定期对所供的设备进行检查和保养， 确保设备的正常运转。</w:t>
            </w:r>
          </w:p>
        </w:tc>
        <w:tc>
          <w:tcPr>
            <w:tcW w:w="32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3" w:hRule="atLeast"/>
        </w:trPr>
        <w:tc>
          <w:tcPr>
            <w:tcW w:w="818" w:type="dxa"/>
            <w:vAlign w:val="top"/>
          </w:tcPr>
          <w:p>
            <w:pPr>
              <w:spacing w:line="500" w:lineRule="exact"/>
              <w:ind w:firstLine="480" w:firstLineChars="200"/>
              <w:rPr>
                <w:rFonts w:hint="eastAsia" w:ascii="宋体" w:hAnsi="宋体" w:eastAsia="宋体" w:cs="宋体"/>
                <w:sz w:val="24"/>
                <w:szCs w:val="24"/>
                <w:lang w:val="en-US" w:eastAsia="en-US"/>
              </w:rPr>
            </w:pPr>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5612"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升级服务：提供设备的系统升级服务，以适应新的 技术和市场需求。</w:t>
            </w:r>
          </w:p>
        </w:tc>
        <w:tc>
          <w:tcPr>
            <w:tcW w:w="3218" w:type="dxa"/>
            <w:vAlign w:val="top"/>
          </w:tcPr>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免费</w:t>
            </w:r>
          </w:p>
        </w:tc>
      </w:tr>
    </w:tbl>
    <w:p>
      <w:pPr>
        <w:spacing w:line="500" w:lineRule="exact"/>
        <w:ind w:firstLine="480" w:firstLineChars="200"/>
        <w:rPr>
          <w:rFonts w:hint="eastAsia" w:ascii="宋体" w:hAnsi="宋体" w:eastAsia="宋体" w:cs="宋体"/>
          <w:sz w:val="24"/>
          <w:szCs w:val="24"/>
          <w:lang w:val="en-US" w:eastAsia="en-US"/>
        </w:rPr>
      </w:pPr>
    </w:p>
    <w:p>
      <w:pPr>
        <w:spacing w:line="500" w:lineRule="exact"/>
        <w:ind w:firstLine="480" w:firstLineChars="200"/>
        <w:rPr>
          <w:rFonts w:hint="eastAsia" w:ascii="宋体" w:hAnsi="宋体" w:eastAsia="宋体" w:cs="宋体"/>
          <w:sz w:val="24"/>
          <w:szCs w:val="24"/>
          <w:lang w:val="en-US" w:eastAsia="zh-CN"/>
        </w:rPr>
      </w:pPr>
    </w:p>
    <w:p>
      <w:pPr>
        <w:spacing w:line="500" w:lineRule="exact"/>
        <w:rPr>
          <w:rFonts w:hint="eastAsia" w:ascii="宋体" w:hAnsi="宋体" w:eastAsia="宋体" w:cs="宋体"/>
          <w:snapToGrid/>
          <w:color w:val="auto"/>
          <w:kern w:val="2"/>
          <w:sz w:val="24"/>
          <w:szCs w:val="24"/>
          <w:lang w:val="en-US" w:eastAsia="zh-CN" w:bidi="ar-SA"/>
        </w:rPr>
      </w:pPr>
    </w:p>
    <w:p>
      <w:pPr>
        <w:spacing w:line="500" w:lineRule="exact"/>
        <w:rPr>
          <w:rFonts w:hint="eastAsia" w:ascii="宋体" w:hAnsi="宋体" w:eastAsia="宋体" w:cs="宋体"/>
          <w:sz w:val="24"/>
          <w:szCs w:val="24"/>
        </w:rPr>
      </w:pPr>
      <w:r>
        <w:rPr>
          <w:rFonts w:hint="eastAsia" w:ascii="宋体" w:hAnsi="宋体" w:eastAsia="宋体" w:cs="宋体"/>
          <w:sz w:val="24"/>
          <w:szCs w:val="24"/>
        </w:rPr>
        <w:t>附件四</w:t>
      </w:r>
    </w:p>
    <w:p>
      <w:pPr>
        <w:spacing w:line="500" w:lineRule="exact"/>
        <w:rPr>
          <w:rFonts w:hint="eastAsia" w:ascii="宋体" w:hAnsi="宋体" w:eastAsia="宋体" w:cs="宋体"/>
          <w:sz w:val="24"/>
          <w:szCs w:val="24"/>
        </w:rPr>
      </w:pPr>
      <w:r>
        <w:rPr>
          <w:rFonts w:hint="eastAsia" w:ascii="宋体" w:hAnsi="宋体" w:eastAsia="宋体" w:cs="宋体"/>
          <w:sz w:val="24"/>
          <w:szCs w:val="24"/>
        </w:rPr>
        <w:t>到货开箱验收报告</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345"/>
        <w:gridCol w:w="2246"/>
        <w:gridCol w:w="2619"/>
        <w:gridCol w:w="1258"/>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供应商</w:t>
            </w:r>
          </w:p>
        </w:tc>
        <w:tc>
          <w:tcPr>
            <w:tcW w:w="7501" w:type="dxa"/>
            <w:gridSpan w:val="4"/>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使用单位</w:t>
            </w:r>
          </w:p>
        </w:tc>
        <w:tc>
          <w:tcPr>
            <w:tcW w:w="7501" w:type="dxa"/>
            <w:gridSpan w:val="4"/>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合同号</w:t>
            </w:r>
          </w:p>
        </w:tc>
        <w:tc>
          <w:tcPr>
            <w:tcW w:w="2246"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2619"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主要货物名称</w:t>
            </w:r>
          </w:p>
        </w:tc>
        <w:tc>
          <w:tcPr>
            <w:tcW w:w="2636"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3"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合同规定</w:t>
            </w:r>
          </w:p>
          <w:p>
            <w:pPr>
              <w:spacing w:line="500" w:lineRule="exact"/>
              <w:rPr>
                <w:rFonts w:hint="eastAsia" w:ascii="宋体" w:hAnsi="宋体" w:eastAsia="宋体" w:cs="宋体"/>
                <w:sz w:val="24"/>
                <w:szCs w:val="24"/>
              </w:rPr>
            </w:pPr>
            <w:r>
              <w:rPr>
                <w:rFonts w:hint="eastAsia" w:ascii="宋体" w:hAnsi="宋体" w:eastAsia="宋体" w:cs="宋体"/>
                <w:sz w:val="24"/>
                <w:szCs w:val="24"/>
              </w:rPr>
              <w:t>到货日期</w:t>
            </w:r>
          </w:p>
        </w:tc>
        <w:tc>
          <w:tcPr>
            <w:tcW w:w="2246"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2619"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实际到货日期</w:t>
            </w:r>
          </w:p>
          <w:p>
            <w:pPr>
              <w:spacing w:line="500" w:lineRule="exact"/>
              <w:rPr>
                <w:rFonts w:hint="eastAsia" w:ascii="宋体" w:hAnsi="宋体" w:eastAsia="宋体" w:cs="宋体"/>
                <w:sz w:val="24"/>
                <w:szCs w:val="24"/>
              </w:rPr>
            </w:pPr>
            <w:r>
              <w:rPr>
                <w:rFonts w:hint="eastAsia" w:ascii="宋体" w:hAnsi="宋体" w:eastAsia="宋体" w:cs="宋体"/>
                <w:sz w:val="24"/>
                <w:szCs w:val="24"/>
              </w:rPr>
              <w:t>(由使用单位填写)</w:t>
            </w:r>
          </w:p>
        </w:tc>
        <w:tc>
          <w:tcPr>
            <w:tcW w:w="2636"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exact"/>
          <w:jc w:val="center"/>
        </w:trPr>
        <w:tc>
          <w:tcPr>
            <w:tcW w:w="818" w:type="dxa"/>
            <w:vMerge w:val="restart"/>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验收情况说明</w:t>
            </w:r>
          </w:p>
        </w:tc>
        <w:tc>
          <w:tcPr>
            <w:tcW w:w="6210"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设备外包装情况</w:t>
            </w:r>
          </w:p>
        </w:tc>
        <w:tc>
          <w:tcPr>
            <w:tcW w:w="125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合格</w:t>
            </w:r>
          </w:p>
        </w:tc>
        <w:tc>
          <w:tcPr>
            <w:tcW w:w="137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不合格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 w:hRule="exact"/>
          <w:jc w:val="center"/>
        </w:trPr>
        <w:tc>
          <w:tcPr>
            <w:tcW w:w="818" w:type="dxa"/>
            <w:vMerge w:val="continue"/>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6210"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说明书、合格证、检验证、使用手册、维护手册、装箱清单等其它技术文档情况</w:t>
            </w:r>
          </w:p>
          <w:p>
            <w:pPr>
              <w:spacing w:line="500" w:lineRule="exact"/>
              <w:rPr>
                <w:rFonts w:hint="eastAsia" w:ascii="宋体" w:hAnsi="宋体" w:eastAsia="宋体" w:cs="宋体"/>
                <w:sz w:val="24"/>
                <w:szCs w:val="24"/>
              </w:rPr>
            </w:pPr>
          </w:p>
          <w:p>
            <w:pPr>
              <w:spacing w:line="500" w:lineRule="exact"/>
              <w:rPr>
                <w:rFonts w:hint="eastAsia" w:ascii="宋体" w:hAnsi="宋体" w:eastAsia="宋体" w:cs="宋体"/>
                <w:sz w:val="24"/>
                <w:szCs w:val="24"/>
              </w:rPr>
            </w:pPr>
          </w:p>
        </w:tc>
        <w:tc>
          <w:tcPr>
            <w:tcW w:w="125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齐全</w:t>
            </w:r>
          </w:p>
        </w:tc>
        <w:tc>
          <w:tcPr>
            <w:tcW w:w="137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不齐全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6" w:hRule="exact"/>
          <w:jc w:val="center"/>
        </w:trPr>
        <w:tc>
          <w:tcPr>
            <w:tcW w:w="818" w:type="dxa"/>
            <w:vMerge w:val="continue"/>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6210"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设备外观质量（损伤、损坏、锈蚀情况）是否合格</w:t>
            </w:r>
          </w:p>
        </w:tc>
        <w:tc>
          <w:tcPr>
            <w:tcW w:w="125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合格</w:t>
            </w:r>
          </w:p>
        </w:tc>
        <w:tc>
          <w:tcPr>
            <w:tcW w:w="137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不合格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exact"/>
          <w:jc w:val="center"/>
        </w:trPr>
        <w:tc>
          <w:tcPr>
            <w:tcW w:w="818" w:type="dxa"/>
            <w:vMerge w:val="continue"/>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6210"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设备主机、附件、零配件、工具等数量是否齐全（按合同、装箱单检查）</w:t>
            </w:r>
          </w:p>
        </w:tc>
        <w:tc>
          <w:tcPr>
            <w:tcW w:w="125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齐全</w:t>
            </w:r>
          </w:p>
        </w:tc>
        <w:tc>
          <w:tcPr>
            <w:tcW w:w="137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不齐全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exact"/>
          <w:jc w:val="center"/>
        </w:trPr>
        <w:tc>
          <w:tcPr>
            <w:tcW w:w="818" w:type="dxa"/>
            <w:vMerge w:val="continue"/>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p>
        </w:tc>
        <w:tc>
          <w:tcPr>
            <w:tcW w:w="6210"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设备名称、规格、型号、制造商是否完全符合合同要求（按采购合同检查）</w:t>
            </w:r>
          </w:p>
        </w:tc>
        <w:tc>
          <w:tcPr>
            <w:tcW w:w="125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符合</w:t>
            </w:r>
          </w:p>
        </w:tc>
        <w:tc>
          <w:tcPr>
            <w:tcW w:w="1378"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不符合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5"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供应商</w:t>
            </w:r>
          </w:p>
          <w:p>
            <w:pPr>
              <w:spacing w:line="500" w:lineRule="exact"/>
              <w:rPr>
                <w:rFonts w:hint="eastAsia" w:ascii="宋体" w:hAnsi="宋体" w:eastAsia="宋体" w:cs="宋体"/>
                <w:sz w:val="24"/>
                <w:szCs w:val="24"/>
              </w:rPr>
            </w:pPr>
            <w:r>
              <w:rPr>
                <w:rFonts w:hint="eastAsia" w:ascii="宋体" w:hAnsi="宋体" w:eastAsia="宋体" w:cs="宋体"/>
                <w:sz w:val="24"/>
                <w:szCs w:val="24"/>
              </w:rPr>
              <w:t>意见</w:t>
            </w:r>
          </w:p>
        </w:tc>
        <w:tc>
          <w:tcPr>
            <w:tcW w:w="7501" w:type="dxa"/>
            <w:gridSpan w:val="4"/>
            <w:tcBorders>
              <w:top w:val="single" w:color="auto" w:sz="4" w:space="0"/>
              <w:left w:val="single" w:color="auto" w:sz="4" w:space="0"/>
              <w:bottom w:val="single" w:color="auto" w:sz="4" w:space="0"/>
              <w:right w:val="single" w:color="auto" w:sz="4" w:space="0"/>
            </w:tcBorders>
          </w:tcPr>
          <w:p>
            <w:pPr>
              <w:spacing w:line="500" w:lineRule="exact"/>
              <w:rPr>
                <w:rFonts w:hint="eastAsia" w:ascii="宋体" w:hAnsi="宋体" w:eastAsia="宋体" w:cs="宋体"/>
                <w:sz w:val="24"/>
                <w:szCs w:val="24"/>
              </w:rPr>
            </w:pPr>
            <w:r>
              <w:rPr>
                <w:rFonts w:hint="eastAsia" w:ascii="宋体" w:hAnsi="宋体" w:eastAsia="宋体" w:cs="宋体"/>
                <w:sz w:val="24"/>
                <w:szCs w:val="24"/>
              </w:rPr>
              <w:t>（上述验收情况是否属实，有无其他说明）</w:t>
            </w:r>
          </w:p>
          <w:p>
            <w:pPr>
              <w:spacing w:line="500" w:lineRule="exact"/>
              <w:rPr>
                <w:rFonts w:hint="eastAsia" w:ascii="宋体" w:hAnsi="宋体" w:eastAsia="宋体" w:cs="宋体"/>
                <w:sz w:val="24"/>
                <w:szCs w:val="24"/>
              </w:rPr>
            </w:pPr>
          </w:p>
          <w:p>
            <w:pPr>
              <w:spacing w:line="500" w:lineRule="exact"/>
              <w:rPr>
                <w:rFonts w:hint="eastAsia" w:ascii="宋体" w:hAnsi="宋体" w:eastAsia="宋体" w:cs="宋体"/>
                <w:sz w:val="24"/>
                <w:szCs w:val="24"/>
              </w:rPr>
            </w:pPr>
          </w:p>
          <w:p>
            <w:pPr>
              <w:spacing w:line="500" w:lineRule="exact"/>
              <w:rPr>
                <w:rFonts w:hint="eastAsia" w:ascii="宋体" w:hAnsi="宋体" w:eastAsia="宋体" w:cs="宋体"/>
                <w:sz w:val="24"/>
                <w:szCs w:val="24"/>
              </w:rPr>
            </w:pPr>
            <w:r>
              <w:rPr>
                <w:rFonts w:hint="eastAsia" w:ascii="宋体" w:hAnsi="宋体" w:eastAsia="宋体" w:cs="宋体"/>
                <w:sz w:val="24"/>
                <w:szCs w:val="24"/>
              </w:rPr>
              <w:t xml:space="preserve">代表（签字）：                         年    月    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2"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使用单位</w:t>
            </w:r>
          </w:p>
          <w:p>
            <w:pPr>
              <w:spacing w:line="500" w:lineRule="exact"/>
              <w:rPr>
                <w:rFonts w:hint="eastAsia" w:ascii="宋体" w:hAnsi="宋体" w:eastAsia="宋体" w:cs="宋体"/>
                <w:sz w:val="24"/>
                <w:szCs w:val="24"/>
              </w:rPr>
            </w:pPr>
            <w:r>
              <w:rPr>
                <w:rFonts w:hint="eastAsia" w:ascii="宋体" w:hAnsi="宋体" w:eastAsia="宋体" w:cs="宋体"/>
                <w:sz w:val="24"/>
                <w:szCs w:val="24"/>
              </w:rPr>
              <w:t>意见</w:t>
            </w:r>
          </w:p>
        </w:tc>
        <w:tc>
          <w:tcPr>
            <w:tcW w:w="7501" w:type="dxa"/>
            <w:gridSpan w:val="4"/>
            <w:tcBorders>
              <w:top w:val="single" w:color="auto" w:sz="4" w:space="0"/>
              <w:left w:val="single" w:color="auto" w:sz="4" w:space="0"/>
              <w:bottom w:val="single" w:color="auto" w:sz="4" w:space="0"/>
              <w:right w:val="single" w:color="auto" w:sz="4" w:space="0"/>
            </w:tcBorders>
          </w:tcPr>
          <w:p>
            <w:pPr>
              <w:spacing w:line="500" w:lineRule="exact"/>
              <w:rPr>
                <w:rFonts w:hint="eastAsia" w:ascii="宋体" w:hAnsi="宋体" w:eastAsia="宋体" w:cs="宋体"/>
                <w:sz w:val="24"/>
                <w:szCs w:val="24"/>
              </w:rPr>
            </w:pPr>
            <w:r>
              <w:rPr>
                <w:rFonts w:hint="eastAsia" w:ascii="宋体" w:hAnsi="宋体" w:eastAsia="宋体" w:cs="宋体"/>
                <w:sz w:val="24"/>
                <w:szCs w:val="24"/>
              </w:rPr>
              <w:t>（上述验收情况是否属实，有无其他说明）</w:t>
            </w:r>
          </w:p>
          <w:p>
            <w:pPr>
              <w:spacing w:line="500" w:lineRule="exact"/>
              <w:rPr>
                <w:rFonts w:hint="eastAsia" w:ascii="宋体" w:hAnsi="宋体" w:eastAsia="宋体" w:cs="宋体"/>
                <w:sz w:val="24"/>
                <w:szCs w:val="24"/>
              </w:rPr>
            </w:pPr>
          </w:p>
          <w:p>
            <w:pPr>
              <w:spacing w:line="500" w:lineRule="exact"/>
              <w:rPr>
                <w:rFonts w:hint="eastAsia" w:ascii="宋体" w:hAnsi="宋体" w:eastAsia="宋体" w:cs="宋体"/>
                <w:sz w:val="24"/>
                <w:szCs w:val="24"/>
              </w:rPr>
            </w:pPr>
          </w:p>
          <w:p>
            <w:pPr>
              <w:spacing w:line="500" w:lineRule="exact"/>
              <w:rPr>
                <w:rFonts w:hint="eastAsia" w:ascii="宋体" w:hAnsi="宋体" w:eastAsia="宋体" w:cs="宋体"/>
                <w:sz w:val="24"/>
                <w:szCs w:val="24"/>
              </w:rPr>
            </w:pPr>
            <w:r>
              <w:rPr>
                <w:rFonts w:hint="eastAsia" w:ascii="宋体" w:hAnsi="宋体" w:eastAsia="宋体" w:cs="宋体"/>
                <w:sz w:val="24"/>
                <w:szCs w:val="24"/>
              </w:rPr>
              <w:t>负责人（签字）：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exact"/>
          <w:jc w:val="center"/>
        </w:trPr>
        <w:tc>
          <w:tcPr>
            <w:tcW w:w="2163" w:type="dxa"/>
            <w:gridSpan w:val="2"/>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宋体" w:hAnsi="宋体" w:eastAsia="宋体" w:cs="宋体"/>
                <w:sz w:val="24"/>
                <w:szCs w:val="24"/>
              </w:rPr>
            </w:pPr>
            <w:r>
              <w:rPr>
                <w:rFonts w:hint="eastAsia" w:ascii="宋体" w:hAnsi="宋体" w:eastAsia="宋体" w:cs="宋体"/>
                <w:sz w:val="24"/>
                <w:szCs w:val="24"/>
              </w:rPr>
              <w:t>校档案室</w:t>
            </w:r>
          </w:p>
          <w:p>
            <w:pPr>
              <w:spacing w:line="500" w:lineRule="exact"/>
              <w:rPr>
                <w:rFonts w:hint="eastAsia" w:ascii="宋体" w:hAnsi="宋体" w:eastAsia="宋体" w:cs="宋体"/>
                <w:sz w:val="24"/>
                <w:szCs w:val="24"/>
              </w:rPr>
            </w:pPr>
            <w:r>
              <w:rPr>
                <w:rFonts w:hint="eastAsia" w:ascii="宋体" w:hAnsi="宋体" w:eastAsia="宋体" w:cs="宋体"/>
                <w:sz w:val="24"/>
                <w:szCs w:val="24"/>
              </w:rPr>
              <w:t>意见</w:t>
            </w:r>
          </w:p>
        </w:tc>
        <w:tc>
          <w:tcPr>
            <w:tcW w:w="7501" w:type="dxa"/>
            <w:gridSpan w:val="4"/>
            <w:tcBorders>
              <w:top w:val="single" w:color="auto" w:sz="4" w:space="0"/>
              <w:left w:val="single" w:color="auto" w:sz="4" w:space="0"/>
              <w:bottom w:val="single" w:color="auto" w:sz="4" w:space="0"/>
              <w:right w:val="single" w:color="auto" w:sz="4" w:space="0"/>
            </w:tcBorders>
          </w:tcPr>
          <w:p>
            <w:pPr>
              <w:spacing w:line="500" w:lineRule="exact"/>
              <w:rPr>
                <w:rFonts w:hint="eastAsia" w:ascii="宋体" w:hAnsi="宋体" w:eastAsia="宋体" w:cs="宋体"/>
                <w:sz w:val="24"/>
                <w:szCs w:val="24"/>
              </w:rPr>
            </w:pPr>
            <w:r>
              <w:rPr>
                <w:rFonts w:hint="eastAsia" w:ascii="宋体" w:hAnsi="宋体" w:eastAsia="宋体" w:cs="宋体"/>
                <w:sz w:val="24"/>
                <w:szCs w:val="24"/>
              </w:rPr>
              <w:t>大型仪器设备存档资料：</w:t>
            </w:r>
          </w:p>
          <w:p>
            <w:pPr>
              <w:spacing w:line="500" w:lineRule="exact"/>
              <w:rPr>
                <w:rFonts w:hint="eastAsia" w:ascii="宋体" w:hAnsi="宋体" w:eastAsia="宋体" w:cs="宋体"/>
                <w:sz w:val="24"/>
                <w:szCs w:val="24"/>
              </w:rPr>
            </w:pPr>
            <w:r>
              <w:rPr>
                <w:rFonts w:hint="eastAsia" w:ascii="宋体" w:hAnsi="宋体" w:eastAsia="宋体" w:cs="宋体"/>
                <w:sz w:val="24"/>
                <w:szCs w:val="24"/>
              </w:rPr>
              <w:t xml:space="preserve"> </w:t>
            </w:r>
          </w:p>
          <w:p>
            <w:pPr>
              <w:spacing w:line="500" w:lineRule="exact"/>
              <w:rPr>
                <w:rFonts w:hint="eastAsia" w:ascii="宋体" w:hAnsi="宋体" w:eastAsia="宋体" w:cs="宋体"/>
                <w:sz w:val="24"/>
                <w:szCs w:val="24"/>
              </w:rPr>
            </w:pPr>
            <w:r>
              <w:rPr>
                <w:rFonts w:hint="eastAsia" w:ascii="宋体" w:hAnsi="宋体" w:eastAsia="宋体" w:cs="宋体"/>
                <w:sz w:val="24"/>
                <w:szCs w:val="24"/>
              </w:rPr>
              <w:t>负责人（签字）：                        年    月    日</w:t>
            </w:r>
          </w:p>
        </w:tc>
      </w:tr>
    </w:tbl>
    <w:p>
      <w:pPr>
        <w:spacing w:line="500" w:lineRule="exact"/>
        <w:rPr>
          <w:rFonts w:hint="eastAsia" w:ascii="宋体" w:hAnsi="宋体" w:eastAsia="宋体" w:cs="宋体"/>
          <w:sz w:val="24"/>
          <w:szCs w:val="24"/>
          <w:lang w:val="en-US" w:eastAsia="zh-CN"/>
        </w:rPr>
        <w:sectPr>
          <w:headerReference r:id="rId5" w:type="default"/>
          <w:footerReference r:id="rId6" w:type="default"/>
          <w:pgSz w:w="11910" w:h="16840"/>
          <w:pgMar w:top="1440" w:right="1588" w:bottom="1440" w:left="1644" w:header="1134" w:footer="883" w:gutter="0"/>
          <w:pgBorders>
            <w:top w:val="none" w:sz="0" w:space="0"/>
            <w:left w:val="none" w:sz="0" w:space="0"/>
            <w:bottom w:val="double" w:color="auto" w:sz="4" w:space="1"/>
            <w:right w:val="none" w:sz="0" w:space="0"/>
          </w:pgBorders>
          <w:pgNumType w:fmt="decimal"/>
          <w:cols w:space="720" w:num="1"/>
          <w:docGrid w:linePitch="326" w:charSpace="0"/>
        </w:sectPr>
      </w:pPr>
      <w:r>
        <w:rPr>
          <w:rFonts w:hint="eastAsia" w:ascii="宋体" w:hAnsi="宋体" w:eastAsia="宋体" w:cs="宋体"/>
          <w:sz w:val="24"/>
          <w:szCs w:val="24"/>
        </w:rPr>
        <w:t>注：本表填写完毕，请使用部门在实际到货后一周内送交国资处资产管理科</w:t>
      </w:r>
    </w:p>
    <w:p>
      <w:pPr>
        <w:spacing w:line="500" w:lineRule="exact"/>
        <w:rPr>
          <w:rFonts w:hint="eastAsia" w:ascii="宋体" w:hAnsi="宋体" w:eastAsia="宋体" w:cs="宋体"/>
          <w:sz w:val="28"/>
          <w:szCs w:val="28"/>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ind w:firstLine="360"/>
      <w:rPr>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napToGrid w:val="0"/>
      <w:rPr>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3E9E280"/>
    <w:multiLevelType w:val="singleLevel"/>
    <w:tmpl w:val="53E9E28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dit="readOnly" w:formatting="1"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ZmNzU3MGU4MmJkNGUxZjZlNDZiNWI3NmM2OWNlYWMifQ=="/>
  </w:docVars>
  <w:rsids>
    <w:rsidRoot w:val="00BA53B5"/>
    <w:rsid w:val="00020405"/>
    <w:rsid w:val="00081D3C"/>
    <w:rsid w:val="000A70E9"/>
    <w:rsid w:val="000C427C"/>
    <w:rsid w:val="000D33FA"/>
    <w:rsid w:val="000D6A59"/>
    <w:rsid w:val="000D7EF0"/>
    <w:rsid w:val="000E67DE"/>
    <w:rsid w:val="001113BD"/>
    <w:rsid w:val="001434B3"/>
    <w:rsid w:val="001F3CE2"/>
    <w:rsid w:val="001F79C4"/>
    <w:rsid w:val="00221EAD"/>
    <w:rsid w:val="00262592"/>
    <w:rsid w:val="002B094B"/>
    <w:rsid w:val="002B7193"/>
    <w:rsid w:val="002C17E8"/>
    <w:rsid w:val="002E779B"/>
    <w:rsid w:val="00301AE4"/>
    <w:rsid w:val="003A6C2C"/>
    <w:rsid w:val="003A733C"/>
    <w:rsid w:val="00406AE5"/>
    <w:rsid w:val="00407130"/>
    <w:rsid w:val="00410323"/>
    <w:rsid w:val="00457C06"/>
    <w:rsid w:val="0046044D"/>
    <w:rsid w:val="00483361"/>
    <w:rsid w:val="004C337E"/>
    <w:rsid w:val="004C3EAE"/>
    <w:rsid w:val="004D7387"/>
    <w:rsid w:val="004F1801"/>
    <w:rsid w:val="005008A3"/>
    <w:rsid w:val="005909EA"/>
    <w:rsid w:val="005D2584"/>
    <w:rsid w:val="005E055D"/>
    <w:rsid w:val="00602CA4"/>
    <w:rsid w:val="00620078"/>
    <w:rsid w:val="00635315"/>
    <w:rsid w:val="006D2282"/>
    <w:rsid w:val="006E0A63"/>
    <w:rsid w:val="007135B9"/>
    <w:rsid w:val="0071433A"/>
    <w:rsid w:val="00717528"/>
    <w:rsid w:val="007331D2"/>
    <w:rsid w:val="00734513"/>
    <w:rsid w:val="00754041"/>
    <w:rsid w:val="00776115"/>
    <w:rsid w:val="007944AD"/>
    <w:rsid w:val="007B1DE0"/>
    <w:rsid w:val="007B240D"/>
    <w:rsid w:val="00812E38"/>
    <w:rsid w:val="00816C42"/>
    <w:rsid w:val="00856218"/>
    <w:rsid w:val="008A1AC2"/>
    <w:rsid w:val="008B4D2C"/>
    <w:rsid w:val="008D1B5E"/>
    <w:rsid w:val="00954131"/>
    <w:rsid w:val="009C7D42"/>
    <w:rsid w:val="009E281B"/>
    <w:rsid w:val="00A32FE2"/>
    <w:rsid w:val="00A7216B"/>
    <w:rsid w:val="00A91B2D"/>
    <w:rsid w:val="00AE6353"/>
    <w:rsid w:val="00AF5CE4"/>
    <w:rsid w:val="00B420A5"/>
    <w:rsid w:val="00B6148C"/>
    <w:rsid w:val="00B663C5"/>
    <w:rsid w:val="00B84AF5"/>
    <w:rsid w:val="00BA53B5"/>
    <w:rsid w:val="00C1096E"/>
    <w:rsid w:val="00C25A88"/>
    <w:rsid w:val="00C318D2"/>
    <w:rsid w:val="00C7732C"/>
    <w:rsid w:val="00C80615"/>
    <w:rsid w:val="00CA4F9A"/>
    <w:rsid w:val="00CA532B"/>
    <w:rsid w:val="00CB2591"/>
    <w:rsid w:val="00CC4C1B"/>
    <w:rsid w:val="00D01511"/>
    <w:rsid w:val="00D43331"/>
    <w:rsid w:val="00D611E2"/>
    <w:rsid w:val="00DB6EBA"/>
    <w:rsid w:val="00DD0691"/>
    <w:rsid w:val="00DE0C1F"/>
    <w:rsid w:val="00E5583A"/>
    <w:rsid w:val="00E87198"/>
    <w:rsid w:val="00EA2842"/>
    <w:rsid w:val="00EA4107"/>
    <w:rsid w:val="00EB55A7"/>
    <w:rsid w:val="00EC2728"/>
    <w:rsid w:val="00EF3EF7"/>
    <w:rsid w:val="00F90BA7"/>
    <w:rsid w:val="00FB0CD7"/>
    <w:rsid w:val="05353DA0"/>
    <w:rsid w:val="05B45383"/>
    <w:rsid w:val="06CD6485"/>
    <w:rsid w:val="08F33D56"/>
    <w:rsid w:val="09824A5E"/>
    <w:rsid w:val="0CCA1272"/>
    <w:rsid w:val="0E3177FA"/>
    <w:rsid w:val="142474B9"/>
    <w:rsid w:val="1C623275"/>
    <w:rsid w:val="1CEB14BC"/>
    <w:rsid w:val="1EE461C3"/>
    <w:rsid w:val="22FF7A6F"/>
    <w:rsid w:val="2313019B"/>
    <w:rsid w:val="23F21382"/>
    <w:rsid w:val="262651E2"/>
    <w:rsid w:val="26FB67A0"/>
    <w:rsid w:val="2D60110A"/>
    <w:rsid w:val="2F307202"/>
    <w:rsid w:val="305741E3"/>
    <w:rsid w:val="35940C4D"/>
    <w:rsid w:val="37F8488E"/>
    <w:rsid w:val="3CAB7EC8"/>
    <w:rsid w:val="409A0980"/>
    <w:rsid w:val="41A43864"/>
    <w:rsid w:val="454669E0"/>
    <w:rsid w:val="4B1B446B"/>
    <w:rsid w:val="51702E43"/>
    <w:rsid w:val="55C45E2B"/>
    <w:rsid w:val="578A6C00"/>
    <w:rsid w:val="59B24D7A"/>
    <w:rsid w:val="5A6C6A91"/>
    <w:rsid w:val="61A92379"/>
    <w:rsid w:val="6C733CAF"/>
    <w:rsid w:val="6CF50469"/>
    <w:rsid w:val="6FBB48DF"/>
    <w:rsid w:val="755C79D6"/>
    <w:rsid w:val="75F75951"/>
    <w:rsid w:val="7AF83CFD"/>
    <w:rsid w:val="7C1C3A1B"/>
    <w:rsid w:val="7C1E3C37"/>
    <w:rsid w:val="7CB04CA9"/>
    <w:rsid w:val="7CF009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ody Text"/>
    <w:autoRedefine/>
    <w:semiHidden/>
    <w:qFormat/>
    <w:uiPriority w:val="0"/>
    <w:pPr>
      <w:kinsoku w:val="0"/>
      <w:autoSpaceDE w:val="0"/>
      <w:autoSpaceDN w:val="0"/>
      <w:adjustRightInd w:val="0"/>
      <w:snapToGrid w:val="0"/>
      <w:spacing w:line="240" w:lineRule="auto"/>
      <w:jc w:val="left"/>
      <w:textAlignment w:val="baseline"/>
    </w:pPr>
    <w:rPr>
      <w:rFonts w:ascii="宋体" w:hAnsi="宋体" w:eastAsia="宋体" w:cs="宋体"/>
      <w:snapToGrid w:val="0"/>
      <w:color w:val="000000"/>
      <w:kern w:val="0"/>
      <w:sz w:val="24"/>
      <w:szCs w:val="24"/>
      <w:lang w:val="en-US" w:eastAsia="en-US" w:bidi="ar-SA"/>
    </w:rPr>
  </w:style>
  <w:style w:type="paragraph" w:styleId="3">
    <w:name w:val="Balloon Text"/>
    <w:basedOn w:val="1"/>
    <w:link w:val="10"/>
    <w:autoRedefine/>
    <w:semiHidden/>
    <w:unhideWhenUsed/>
    <w:qFormat/>
    <w:uiPriority w:val="99"/>
    <w:rPr>
      <w:sz w:val="18"/>
      <w:szCs w:val="18"/>
    </w:rPr>
  </w:style>
  <w:style w:type="paragraph" w:styleId="4">
    <w:name w:val="footer"/>
    <w:basedOn w:val="1"/>
    <w:link w:val="9"/>
    <w:autoRedefine/>
    <w:unhideWhenUsed/>
    <w:qFormat/>
    <w:uiPriority w:val="99"/>
    <w:pPr>
      <w:tabs>
        <w:tab w:val="center" w:pos="4153"/>
        <w:tab w:val="right" w:pos="8306"/>
      </w:tabs>
      <w:snapToGrid w:val="0"/>
      <w:jc w:val="left"/>
    </w:pPr>
    <w:rPr>
      <w:sz w:val="18"/>
      <w:szCs w:val="18"/>
    </w:rPr>
  </w:style>
  <w:style w:type="paragraph" w:styleId="5">
    <w:name w:val="header"/>
    <w:basedOn w:val="1"/>
    <w:link w:val="11"/>
    <w:autoRedefine/>
    <w:unhideWhenUsed/>
    <w:qFormat/>
    <w:uiPriority w:val="99"/>
    <w:pPr>
      <w:pBdr>
        <w:bottom w:val="single" w:color="auto" w:sz="6" w:space="1"/>
      </w:pBdr>
      <w:tabs>
        <w:tab w:val="center" w:pos="4153"/>
        <w:tab w:val="right" w:pos="8306"/>
      </w:tabs>
      <w:snapToGrid w:val="0"/>
      <w:jc w:val="center"/>
    </w:pPr>
    <w:rPr>
      <w:sz w:val="18"/>
      <w:szCs w:val="18"/>
    </w:rPr>
  </w:style>
  <w:style w:type="character" w:styleId="8">
    <w:name w:val="Strong"/>
    <w:autoRedefine/>
    <w:qFormat/>
    <w:uiPriority w:val="0"/>
    <w:rPr>
      <w:b/>
      <w:bCs/>
      <w:color w:val="000000"/>
      <w:sz w:val="21"/>
      <w:szCs w:val="18"/>
    </w:rPr>
  </w:style>
  <w:style w:type="character" w:customStyle="1" w:styleId="9">
    <w:name w:val="页脚 字符"/>
    <w:basedOn w:val="7"/>
    <w:link w:val="4"/>
    <w:autoRedefine/>
    <w:qFormat/>
    <w:uiPriority w:val="99"/>
    <w:rPr>
      <w:sz w:val="18"/>
      <w:szCs w:val="18"/>
    </w:rPr>
  </w:style>
  <w:style w:type="character" w:customStyle="1" w:styleId="10">
    <w:name w:val="批注框文本 字符"/>
    <w:basedOn w:val="7"/>
    <w:link w:val="3"/>
    <w:autoRedefine/>
    <w:semiHidden/>
    <w:qFormat/>
    <w:uiPriority w:val="99"/>
    <w:rPr>
      <w:sz w:val="18"/>
      <w:szCs w:val="18"/>
    </w:rPr>
  </w:style>
  <w:style w:type="character" w:customStyle="1" w:styleId="11">
    <w:name w:val="页眉 字符"/>
    <w:basedOn w:val="7"/>
    <w:link w:val="5"/>
    <w:autoRedefine/>
    <w:qFormat/>
    <w:uiPriority w:val="99"/>
    <w:rPr>
      <w:sz w:val="18"/>
      <w:szCs w:val="18"/>
    </w:rPr>
  </w:style>
  <w:style w:type="paragraph" w:customStyle="1" w:styleId="12">
    <w:name w:val="Table Text"/>
    <w:autoRedefine/>
    <w:semiHidden/>
    <w:qFormat/>
    <w:uiPriority w:val="0"/>
    <w:pPr>
      <w:kinsoku w:val="0"/>
      <w:autoSpaceDE w:val="0"/>
      <w:autoSpaceDN w:val="0"/>
      <w:adjustRightInd w:val="0"/>
      <w:snapToGrid w:val="0"/>
      <w:spacing w:line="240" w:lineRule="auto"/>
      <w:jc w:val="left"/>
      <w:textAlignment w:val="baseline"/>
    </w:pPr>
    <w:rPr>
      <w:rFonts w:ascii="宋体" w:hAnsi="宋体" w:eastAsia="宋体" w:cs="宋体"/>
      <w:snapToGrid w:val="0"/>
      <w:color w:val="000000"/>
      <w:kern w:val="0"/>
      <w:sz w:val="24"/>
      <w:szCs w:val="24"/>
      <w:lang w:val="en-US" w:eastAsia="en-US" w:bidi="ar-SA"/>
    </w:rPr>
  </w:style>
  <w:style w:type="table" w:customStyle="1" w:styleId="13">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32</Pages>
  <Words>9236</Words>
  <Characters>9781</Characters>
  <Lines>204</Lines>
  <Paragraphs>57</Paragraphs>
  <TotalTime>11</TotalTime>
  <ScaleCrop>false</ScaleCrop>
  <LinksUpToDate>false</LinksUpToDate>
  <CharactersWithSpaces>10098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2024-05-09T07:57:00Z</dcterms:created>
  <dc:creator>xb21cn</dc:creator>
  <cp:lastModifiedBy>WPS_1488328421</cp:lastModifiedBy>
  <cp:lastPrinted>2024-05-11T00:57:00Z</cp:lastPrinted>
  <dcterms:modified xsi:type="dcterms:W3CDTF">2024-05-22T08:30:33Z</dcterms:modified>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A91DA3A45B944986AA5422715E1A8538_12</vt:lpwstr>
  </property>
</Properties>
</file>