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FABAD1">
      <w:pPr>
        <w:rPr>
          <w:color w:val="auto"/>
          <w:sz w:val="24"/>
          <w:highlight w:val="none"/>
        </w:rPr>
      </w:pPr>
    </w:p>
    <w:p w14:paraId="61D4E178">
      <w:pPr>
        <w:pStyle w:val="4"/>
        <w:ind w:left="0" w:leftChars="0" w:firstLine="0" w:firstLineChars="0"/>
        <w:jc w:val="both"/>
        <w:rPr>
          <w:b/>
          <w:bCs/>
          <w:color w:val="auto"/>
          <w:spacing w:val="-20"/>
          <w:kern w:val="44"/>
          <w:sz w:val="48"/>
          <w:szCs w:val="48"/>
          <w:highlight w:val="none"/>
        </w:rPr>
      </w:pPr>
    </w:p>
    <w:p w14:paraId="5DA420A2">
      <w:pPr>
        <w:pStyle w:val="4"/>
        <w:ind w:left="0" w:leftChars="0" w:firstLine="0" w:firstLineChars="0"/>
        <w:jc w:val="both"/>
        <w:rPr>
          <w:b/>
          <w:bCs/>
          <w:color w:val="auto"/>
          <w:spacing w:val="-20"/>
          <w:kern w:val="44"/>
          <w:sz w:val="48"/>
          <w:szCs w:val="48"/>
          <w:highlight w:val="none"/>
        </w:rPr>
      </w:pPr>
    </w:p>
    <w:p w14:paraId="0CA2C1D2">
      <w:pPr>
        <w:pStyle w:val="4"/>
        <w:ind w:left="0" w:leftChars="0" w:firstLine="0" w:firstLineChars="0"/>
        <w:jc w:val="both"/>
        <w:rPr>
          <w:b/>
          <w:bCs/>
          <w:color w:val="auto"/>
          <w:spacing w:val="-20"/>
          <w:kern w:val="44"/>
          <w:sz w:val="48"/>
          <w:szCs w:val="48"/>
          <w:highlight w:val="none"/>
        </w:rPr>
      </w:pPr>
    </w:p>
    <w:p w14:paraId="0CEBDB49">
      <w:pPr>
        <w:pStyle w:val="4"/>
        <w:ind w:firstLine="884"/>
        <w:jc w:val="center"/>
        <w:rPr>
          <w:rFonts w:hint="eastAsia" w:ascii="宋体" w:hAnsi="宋体" w:cs="宋体"/>
          <w:b/>
          <w:bCs/>
          <w:color w:val="auto"/>
          <w:spacing w:val="-20"/>
          <w:kern w:val="44"/>
          <w:sz w:val="48"/>
          <w:szCs w:val="48"/>
          <w:highlight w:val="none"/>
        </w:rPr>
      </w:pPr>
    </w:p>
    <w:p w14:paraId="07AC71F4">
      <w:pPr>
        <w:pStyle w:val="4"/>
        <w:ind w:firstLine="0" w:firstLineChars="0"/>
        <w:jc w:val="center"/>
        <w:rPr>
          <w:rFonts w:hint="eastAsia" w:ascii="宋体" w:hAnsi="宋体" w:cs="宋体"/>
          <w:b/>
          <w:bCs/>
          <w:color w:val="auto"/>
          <w:spacing w:val="-20"/>
          <w:kern w:val="44"/>
          <w:sz w:val="48"/>
          <w:szCs w:val="48"/>
          <w:highlight w:val="none"/>
        </w:rPr>
      </w:pPr>
      <w:r>
        <w:rPr>
          <w:rFonts w:hint="eastAsia" w:ascii="宋体" w:hAnsi="宋体" w:cs="宋体"/>
          <w:b/>
          <w:bCs/>
          <w:color w:val="auto"/>
          <w:spacing w:val="-20"/>
          <w:kern w:val="44"/>
          <w:sz w:val="48"/>
          <w:szCs w:val="48"/>
          <w:highlight w:val="none"/>
        </w:rPr>
        <w:t>政府采购货物买卖合同</w:t>
      </w:r>
    </w:p>
    <w:p w14:paraId="63EDB422">
      <w:pPr>
        <w:rPr>
          <w:rFonts w:hint="eastAsia" w:ascii="宋体" w:hAnsi="宋体" w:eastAsia="宋体" w:cs="宋体"/>
          <w:b/>
          <w:bCs/>
          <w:color w:val="auto"/>
          <w:spacing w:val="-20"/>
          <w:kern w:val="44"/>
          <w:sz w:val="40"/>
          <w:szCs w:val="40"/>
          <w:highlight w:val="none"/>
        </w:rPr>
      </w:pPr>
    </w:p>
    <w:p w14:paraId="3892834E">
      <w:pPr>
        <w:rPr>
          <w:rFonts w:hint="eastAsia" w:ascii="宋体" w:hAnsi="宋体" w:eastAsia="宋体" w:cs="宋体"/>
          <w:b/>
          <w:bCs/>
          <w:color w:val="auto"/>
          <w:spacing w:val="-20"/>
          <w:kern w:val="44"/>
          <w:sz w:val="40"/>
          <w:szCs w:val="40"/>
          <w:highlight w:val="none"/>
        </w:rPr>
      </w:pPr>
    </w:p>
    <w:p w14:paraId="060BF2F1">
      <w:pPr>
        <w:pStyle w:val="9"/>
        <w:ind w:firstLine="210"/>
        <w:rPr>
          <w:color w:val="auto"/>
          <w:highlight w:val="none"/>
        </w:rPr>
      </w:pPr>
    </w:p>
    <w:p w14:paraId="377EC81E">
      <w:pPr>
        <w:rPr>
          <w:rFonts w:hint="eastAsia" w:ascii="宋体" w:hAnsi="宋体" w:eastAsia="宋体" w:cs="宋体"/>
          <w:b/>
          <w:bCs/>
          <w:color w:val="auto"/>
          <w:spacing w:val="-20"/>
          <w:kern w:val="44"/>
          <w:sz w:val="40"/>
          <w:szCs w:val="40"/>
          <w:highlight w:val="none"/>
        </w:rPr>
      </w:pPr>
    </w:p>
    <w:p w14:paraId="3951C304">
      <w:pPr>
        <w:spacing w:line="360" w:lineRule="auto"/>
        <w:ind w:left="420" w:leftChars="200"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项目名称：</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u w:val="single"/>
          <w:lang w:eastAsia="zh-CN"/>
        </w:rPr>
        <w:t>河南省科学院智慧创制研究所面向精准合成的无水无氧化学洁净智能实验平台探索项目（一期）</w:t>
      </w:r>
      <w:r>
        <w:rPr>
          <w:rFonts w:hint="eastAsia" w:ascii="宋体" w:hAnsi="宋体" w:eastAsia="宋体" w:cs="宋体"/>
          <w:color w:val="auto"/>
          <w:sz w:val="32"/>
          <w:szCs w:val="32"/>
          <w:highlight w:val="none"/>
          <w:u w:val="single"/>
        </w:rPr>
        <w:t xml:space="preserve"> </w:t>
      </w:r>
    </w:p>
    <w:p w14:paraId="373BC792">
      <w:pPr>
        <w:spacing w:line="360" w:lineRule="auto"/>
        <w:ind w:left="420" w:leftChars="200" w:firstLine="640" w:firstLineChars="200"/>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合同编号：</w:t>
      </w:r>
      <w:r>
        <w:rPr>
          <w:rFonts w:hint="eastAsia" w:ascii="宋体" w:hAnsi="宋体" w:eastAsia="宋体" w:cs="宋体"/>
          <w:color w:val="auto"/>
          <w:sz w:val="32"/>
          <w:szCs w:val="32"/>
          <w:highlight w:val="none"/>
          <w:u w:val="single"/>
        </w:rPr>
        <w:t xml:space="preserve">                             </w:t>
      </w:r>
    </w:p>
    <w:p w14:paraId="394F01FB">
      <w:pPr>
        <w:spacing w:line="360" w:lineRule="auto"/>
        <w:ind w:left="420" w:leftChars="200"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甲    方：</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u w:val="single"/>
          <w:lang w:eastAsia="zh-CN"/>
        </w:rPr>
        <w:t>河南省科学院智慧创制研究所</w:t>
      </w:r>
      <w:r>
        <w:rPr>
          <w:rFonts w:hint="eastAsia" w:ascii="宋体" w:hAnsi="宋体" w:eastAsia="宋体" w:cs="宋体"/>
          <w:color w:val="auto"/>
          <w:sz w:val="32"/>
          <w:szCs w:val="32"/>
          <w:highlight w:val="none"/>
          <w:u w:val="single"/>
        </w:rPr>
        <w:t xml:space="preserve"> </w:t>
      </w:r>
    </w:p>
    <w:p w14:paraId="134BE802">
      <w:pPr>
        <w:spacing w:line="360" w:lineRule="auto"/>
        <w:ind w:left="420" w:leftChars="200" w:firstLine="640" w:firstLineChars="200"/>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乙    方：</w:t>
      </w:r>
      <w:r>
        <w:rPr>
          <w:rFonts w:hint="eastAsia" w:ascii="宋体" w:hAnsi="宋体" w:eastAsia="宋体" w:cs="宋体"/>
          <w:color w:val="auto"/>
          <w:sz w:val="32"/>
          <w:szCs w:val="32"/>
          <w:highlight w:val="none"/>
          <w:u w:val="single"/>
        </w:rPr>
        <w:t xml:space="preserve"> </w:t>
      </w:r>
      <w:r>
        <w:rPr>
          <w:rFonts w:hint="eastAsia" w:ascii="宋体" w:hAnsi="宋体" w:cs="宋体"/>
          <w:color w:val="auto"/>
          <w:sz w:val="32"/>
          <w:szCs w:val="32"/>
          <w:highlight w:val="none"/>
          <w:u w:val="single"/>
          <w:lang w:val="en-US" w:eastAsia="zh-CN"/>
        </w:rPr>
        <w:t>北京艾谱瑞斯科技有限公司</w:t>
      </w:r>
      <w:r>
        <w:rPr>
          <w:rFonts w:hint="eastAsia" w:ascii="宋体" w:hAnsi="宋体" w:eastAsia="宋体" w:cs="宋体"/>
          <w:color w:val="auto"/>
          <w:sz w:val="32"/>
          <w:szCs w:val="32"/>
          <w:highlight w:val="none"/>
          <w:u w:val="single"/>
        </w:rPr>
        <w:t xml:space="preserve">    </w:t>
      </w:r>
    </w:p>
    <w:p w14:paraId="4183B821">
      <w:pPr>
        <w:spacing w:line="360" w:lineRule="auto"/>
        <w:ind w:left="420" w:leftChars="200" w:firstLine="640" w:firstLineChars="200"/>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签 订 地：</w:t>
      </w:r>
      <w:r>
        <w:rPr>
          <w:rFonts w:hint="eastAsia" w:ascii="宋体" w:hAnsi="宋体" w:eastAsia="宋体" w:cs="宋体"/>
          <w:color w:val="auto"/>
          <w:sz w:val="32"/>
          <w:szCs w:val="32"/>
          <w:highlight w:val="none"/>
          <w:u w:val="single"/>
        </w:rPr>
        <w:t xml:space="preserve">                             </w:t>
      </w:r>
    </w:p>
    <w:p w14:paraId="53FBD840">
      <w:pPr>
        <w:spacing w:line="360" w:lineRule="auto"/>
        <w:ind w:left="420" w:leftChars="200"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签订时间：</w:t>
      </w:r>
      <w:r>
        <w:rPr>
          <w:rFonts w:hint="eastAsia" w:ascii="宋体" w:hAnsi="宋体" w:eastAsia="宋体" w:cs="宋体"/>
          <w:color w:val="auto"/>
          <w:sz w:val="32"/>
          <w:szCs w:val="32"/>
          <w:highlight w:val="none"/>
          <w:u w:val="single"/>
        </w:rPr>
        <w:t xml:space="preserve">                             </w:t>
      </w:r>
    </w:p>
    <w:p w14:paraId="5915DE0B">
      <w:pPr>
        <w:rPr>
          <w:rFonts w:hint="eastAsia" w:ascii="宋体" w:hAnsi="宋体" w:eastAsia="宋体" w:cs="宋体"/>
          <w:color w:val="auto"/>
          <w:highlight w:val="none"/>
        </w:rPr>
      </w:pPr>
    </w:p>
    <w:p w14:paraId="77F58AD7">
      <w:pP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p>
    <w:p w14:paraId="76FB2B46">
      <w:pPr>
        <w:pStyle w:val="2"/>
        <w:adjustRightInd w:val="0"/>
        <w:snapToGrid w:val="0"/>
        <w:ind w:firstLine="562"/>
        <w:jc w:val="center"/>
        <w:rPr>
          <w:rFonts w:hint="eastAsia" w:ascii="宋体" w:hAnsi="宋体" w:eastAsia="宋体" w:cs="宋体"/>
          <w:color w:val="auto"/>
          <w:sz w:val="28"/>
          <w:szCs w:val="28"/>
          <w:highlight w:val="none"/>
        </w:rPr>
      </w:pPr>
      <w:bookmarkStart w:id="0" w:name="_Toc181559057"/>
      <w:bookmarkStart w:id="1" w:name="_Toc15275"/>
      <w:bookmarkStart w:id="2" w:name="_Toc22209"/>
      <w:r>
        <w:rPr>
          <w:rFonts w:hint="eastAsia" w:ascii="宋体" w:hAnsi="宋体" w:eastAsia="宋体" w:cs="宋体"/>
          <w:color w:val="auto"/>
          <w:sz w:val="28"/>
          <w:szCs w:val="28"/>
          <w:highlight w:val="none"/>
        </w:rPr>
        <w:t>第一节 政府采购合同协议书</w:t>
      </w:r>
      <w:bookmarkEnd w:id="0"/>
      <w:bookmarkEnd w:id="1"/>
      <w:bookmarkEnd w:id="2"/>
    </w:p>
    <w:p w14:paraId="654FB7D3">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甲方（全称）：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河南省科学院智慧创制研究所</w:t>
      </w:r>
      <w:r>
        <w:rPr>
          <w:rFonts w:hint="eastAsia" w:ascii="宋体" w:hAnsi="宋体" w:eastAsia="宋体" w:cs="宋体"/>
          <w:color w:val="auto"/>
          <w:sz w:val="24"/>
          <w:szCs w:val="24"/>
          <w:highlight w:val="none"/>
          <w:u w:val="single"/>
        </w:rPr>
        <w:t xml:space="preserve"> </w:t>
      </w:r>
    </w:p>
    <w:p w14:paraId="19F17259">
      <w:pPr>
        <w:pStyle w:val="12"/>
        <w:spacing w:line="360" w:lineRule="auto"/>
        <w:ind w:firstLine="0" w:firstLineChars="0"/>
        <w:rPr>
          <w:rFonts w:hint="eastAsia" w:ascii="宋体" w:hAnsi="宋体" w:eastAsia="宋体" w:cs="宋体"/>
          <w:color w:val="auto"/>
          <w:sz w:val="24"/>
          <w:szCs w:val="24"/>
          <w:highlight w:val="none"/>
          <w:u w:val="single"/>
        </w:rPr>
      </w:pPr>
      <w:r>
        <w:rPr>
          <w:rFonts w:hint="eastAsia" w:ascii="宋体" w:hAnsi="宋体" w:eastAsia="宋体" w:cs="宋体"/>
          <w:color w:val="auto"/>
          <w:kern w:val="2"/>
          <w:sz w:val="24"/>
          <w:szCs w:val="24"/>
          <w:highlight w:val="none"/>
        </w:rPr>
        <w:t>乙方（全称）：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北京艾谱瑞斯科技有限公司</w:t>
      </w:r>
      <w:r>
        <w:rPr>
          <w:rFonts w:hint="eastAsia" w:ascii="宋体" w:hAnsi="宋体" w:eastAsia="宋体" w:cs="宋体"/>
          <w:color w:val="auto"/>
          <w:sz w:val="24"/>
          <w:szCs w:val="24"/>
          <w:highlight w:val="none"/>
          <w:u w:val="single"/>
        </w:rPr>
        <w:t xml:space="preserve"> </w:t>
      </w:r>
    </w:p>
    <w:p w14:paraId="7812D593">
      <w:pPr>
        <w:pStyle w:val="12"/>
        <w:spacing w:line="360" w:lineRule="auto"/>
        <w:ind w:firstLine="0" w:firstLineChars="0"/>
        <w:rPr>
          <w:rFonts w:hint="eastAsia" w:ascii="宋体" w:hAnsi="宋体" w:eastAsia="宋体" w:cs="宋体"/>
          <w:color w:val="auto"/>
          <w:sz w:val="24"/>
          <w:szCs w:val="24"/>
          <w:highlight w:val="none"/>
          <w:u w:val="single"/>
        </w:rPr>
      </w:pPr>
    </w:p>
    <w:p w14:paraId="7124BA67">
      <w:pPr>
        <w:pStyle w:val="5"/>
        <w:adjustRightInd w:val="0"/>
        <w:snapToGrid w:val="0"/>
        <w:spacing w:line="360" w:lineRule="auto"/>
        <w:ind w:left="0" w:leftChars="0"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1C97DB9C">
      <w:pPr>
        <w:autoSpaceDE w:val="0"/>
        <w:autoSpaceDN w:val="0"/>
        <w:adjustRightInd w:val="0"/>
        <w:snapToGrid w:val="0"/>
        <w:spacing w:line="360" w:lineRule="auto"/>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1.项目信息</w:t>
      </w:r>
    </w:p>
    <w:p w14:paraId="4D8F87B1">
      <w:pPr>
        <w:pStyle w:val="5"/>
        <w:autoSpaceDE w:val="0"/>
        <w:autoSpaceDN w:val="0"/>
        <w:adjustRightInd w:val="0"/>
        <w:snapToGrid w:val="0"/>
        <w:spacing w:after="0" w:line="360" w:lineRule="auto"/>
        <w:ind w:left="0" w:leftChars="0" w:firstLine="48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（1）采购项目名称：</w:t>
      </w:r>
      <w:r>
        <w:rPr>
          <w:rFonts w:hint="eastAsia" w:ascii="宋体" w:hAnsi="宋体" w:eastAsia="宋体" w:cs="宋体"/>
          <w:color w:val="auto"/>
          <w:sz w:val="24"/>
          <w:highlight w:val="none"/>
          <w:u w:val="single"/>
          <w:lang w:eastAsia="zh-CN"/>
        </w:rPr>
        <w:t>河南省科学院智慧创制研究所面向精准合成的无水无氧化学洁净智能实验平台探索项目（一期）</w:t>
      </w:r>
      <w:r>
        <w:rPr>
          <w:rFonts w:hint="eastAsia" w:ascii="宋体" w:hAnsi="宋体" w:eastAsia="宋体" w:cs="宋体"/>
          <w:color w:val="auto"/>
          <w:sz w:val="24"/>
          <w:highlight w:val="none"/>
          <w:u w:val="single"/>
        </w:rPr>
        <w:t xml:space="preserve"> </w:t>
      </w:r>
    </w:p>
    <w:p w14:paraId="57C8CE64">
      <w:pPr>
        <w:pStyle w:val="5"/>
        <w:tabs>
          <w:tab w:val="left" w:pos="999"/>
        </w:tabs>
        <w:adjustRightInd w:val="0"/>
        <w:snapToGrid w:val="0"/>
        <w:spacing w:after="0" w:line="360" w:lineRule="auto"/>
        <w:ind w:left="0" w:leftChars="0"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采购项目编号：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豫财招标采购-2025-1218</w:t>
      </w:r>
      <w:r>
        <w:rPr>
          <w:rFonts w:hint="eastAsia" w:ascii="宋体" w:hAnsi="宋体" w:eastAsia="宋体" w:cs="宋体"/>
          <w:color w:val="auto"/>
          <w:sz w:val="24"/>
          <w:highlight w:val="none"/>
          <w:u w:val="single"/>
        </w:rPr>
        <w:t xml:space="preserve">   </w:t>
      </w:r>
    </w:p>
    <w:p w14:paraId="16C188DD">
      <w:pPr>
        <w:pStyle w:val="5"/>
        <w:adjustRightInd w:val="0"/>
        <w:snapToGrid w:val="0"/>
        <w:spacing w:after="0" w:line="360" w:lineRule="auto"/>
        <w:ind w:left="0" w:leftChars="0"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（2）采购计划编号：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5DF89D6E">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（3）项目内容：</w:t>
      </w:r>
    </w:p>
    <w:p w14:paraId="22445FB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采购标的及数量（台/套</w:t>
      </w:r>
      <w:r>
        <w:rPr>
          <w:rFonts w:hint="eastAsia" w:ascii="宋体" w:hAnsi="宋体" w:eastAsia="宋体" w:cs="宋体"/>
          <w:color w:val="auto"/>
          <w:sz w:val="24"/>
          <w:szCs w:val="24"/>
          <w:highlight w:val="none"/>
          <w:lang w:val="en"/>
        </w:rPr>
        <w:t>/个/架/组等</w:t>
      </w:r>
      <w:r>
        <w:rPr>
          <w:rFonts w:hint="eastAsia" w:ascii="宋体" w:hAnsi="宋体" w:eastAsia="宋体" w:cs="宋体"/>
          <w:color w:val="auto"/>
          <w:sz w:val="24"/>
          <w:szCs w:val="24"/>
          <w:highlight w:val="none"/>
        </w:rPr>
        <w:t>）、品牌、规格型号、原产地、技术参数等见附件（附件1：货物分项报价一览表  附件2：配置清单  附件3：技术参数  附件4：售后服务  附件5：授权委托书等）。</w:t>
      </w:r>
    </w:p>
    <w:p w14:paraId="597870C3">
      <w:pPr>
        <w:pStyle w:val="12"/>
        <w:snapToGrid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
        </w:rPr>
        <w:t>4</w:t>
      </w:r>
      <w:r>
        <w:rPr>
          <w:rFonts w:hint="eastAsia" w:ascii="宋体" w:hAnsi="宋体" w:eastAsia="宋体" w:cs="宋体"/>
          <w:color w:val="auto"/>
          <w:sz w:val="24"/>
          <w:szCs w:val="24"/>
          <w:highlight w:val="none"/>
        </w:rPr>
        <w:t>）政府采购组织形式：</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政府集中采购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部门集中采购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分散采购</w:t>
      </w:r>
    </w:p>
    <w:p w14:paraId="509274F8">
      <w:pPr>
        <w:pStyle w:val="12"/>
        <w:snapToGrid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
        </w:rPr>
        <w:t>5</w:t>
      </w:r>
      <w:r>
        <w:rPr>
          <w:rFonts w:hint="eastAsia" w:ascii="宋体" w:hAnsi="宋体" w:eastAsia="宋体" w:cs="宋体"/>
          <w:color w:val="auto"/>
          <w:sz w:val="24"/>
          <w:szCs w:val="24"/>
          <w:highlight w:val="none"/>
        </w:rPr>
        <w:t>）政府采购方式：</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公开招标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邀请招标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竞争性谈判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竞争性磋商</w:t>
      </w:r>
    </w:p>
    <w:p w14:paraId="24A3B2C8">
      <w:pPr>
        <w:pStyle w:val="12"/>
        <w:snapToGrid w:val="0"/>
        <w:spacing w:line="360" w:lineRule="auto"/>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询价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单一来源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框架协议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其他：</w:t>
      </w:r>
      <w:r>
        <w:rPr>
          <w:rFonts w:hint="eastAsia" w:ascii="宋体" w:hAnsi="宋体" w:eastAsia="宋体" w:cs="宋体"/>
          <w:color w:val="auto"/>
          <w:sz w:val="24"/>
          <w:szCs w:val="24"/>
          <w:highlight w:val="none"/>
          <w:u w:val="single"/>
        </w:rPr>
        <w:t xml:space="preserve">          </w:t>
      </w:r>
    </w:p>
    <w:p w14:paraId="704DB3D0">
      <w:pPr>
        <w:pStyle w:val="12"/>
        <w:snapToGrid w:val="0"/>
        <w:spacing w:line="360" w:lineRule="auto"/>
        <w:ind w:firstLine="480"/>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
        </w:rPr>
        <w:t>6</w:t>
      </w:r>
      <w:r>
        <w:rPr>
          <w:rFonts w:hint="eastAsia" w:ascii="宋体" w:hAnsi="宋体" w:eastAsia="宋体" w:cs="宋体"/>
          <w:color w:val="auto"/>
          <w:sz w:val="24"/>
          <w:szCs w:val="24"/>
          <w:highlight w:val="none"/>
        </w:rPr>
        <w:t>）</w:t>
      </w:r>
      <w:r>
        <w:rPr>
          <w:rFonts w:hint="eastAsia" w:ascii="宋体" w:hAnsi="宋体" w:eastAsia="宋体" w:cs="宋体"/>
          <w:color w:val="auto"/>
          <w:kern w:val="2"/>
          <w:sz w:val="24"/>
          <w:szCs w:val="24"/>
          <w:highlight w:val="none"/>
        </w:rPr>
        <w:t>乙方企业规模：</w:t>
      </w: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大型企业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中型企业  </w:t>
      </w:r>
      <w:r>
        <w:rPr>
          <w:rFonts w:hint="eastAsia" w:ascii="宋体" w:hAnsi="宋体" w:eastAsia="宋体" w:cs="宋体"/>
          <w:iCs/>
          <w:color w:val="auto"/>
          <w:sz w:val="24"/>
          <w:szCs w:val="24"/>
          <w:highlight w:val="none"/>
        </w:rPr>
        <w:sym w:font="Wingdings" w:char="00FE"/>
      </w:r>
      <w:r>
        <w:rPr>
          <w:rFonts w:hint="eastAsia" w:ascii="宋体" w:hAnsi="宋体" w:eastAsia="宋体" w:cs="宋体"/>
          <w:iCs/>
          <w:color w:val="auto"/>
          <w:sz w:val="24"/>
          <w:szCs w:val="24"/>
          <w:highlight w:val="none"/>
        </w:rPr>
        <w:t xml:space="preserve">小型企业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微型企业</w:t>
      </w:r>
    </w:p>
    <w:p w14:paraId="023B0E7D">
      <w:pPr>
        <w:adjustRightInd w:val="0"/>
        <w:snapToGrid w:val="0"/>
        <w:spacing w:line="360" w:lineRule="auto"/>
        <w:ind w:firstLine="480" w:firstLineChars="200"/>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rPr>
        <w:t xml:space="preserve"> 本合同是否为专门面向中小企业的采购合同（中小企业预留合同）：</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FE"/>
      </w:r>
      <w:r>
        <w:rPr>
          <w:rFonts w:hint="eastAsia" w:ascii="宋体" w:hAnsi="宋体" w:eastAsia="宋体" w:cs="宋体"/>
          <w:iCs/>
          <w:color w:val="auto"/>
          <w:sz w:val="24"/>
          <w:szCs w:val="24"/>
          <w:highlight w:val="none"/>
        </w:rPr>
        <w:t>否</w:t>
      </w:r>
    </w:p>
    <w:p w14:paraId="191A8AD6">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若本项目不专门面向中小企业采购，是否给予小微企业评审优惠：</w:t>
      </w:r>
      <w:r>
        <w:rPr>
          <w:rFonts w:hint="eastAsia" w:ascii="宋体" w:hAnsi="宋体" w:eastAsia="宋体" w:cs="宋体"/>
          <w:iCs/>
          <w:color w:val="auto"/>
          <w:sz w:val="24"/>
          <w:szCs w:val="24"/>
          <w:highlight w:val="none"/>
        </w:rPr>
        <w:sym w:font="Wingdings" w:char="00FE"/>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51D087A7">
      <w:pPr>
        <w:pStyle w:val="12"/>
        <w:numPr>
          <w:ilvl w:val="0"/>
          <w:numId w:val="1"/>
        </w:numPr>
        <w:snapToGrid w:val="0"/>
        <w:spacing w:line="360" w:lineRule="auto"/>
        <w:ind w:firstLine="480"/>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合同授予类型：</w:t>
      </w:r>
      <w:r>
        <w:rPr>
          <w:rFonts w:hint="eastAsia" w:ascii="宋体" w:hAnsi="宋体" w:eastAsia="宋体" w:cs="宋体"/>
          <w:color w:val="auto"/>
          <w:kern w:val="2"/>
          <w:sz w:val="24"/>
          <w:szCs w:val="24"/>
          <w:highlight w:val="none"/>
        </w:rPr>
        <w:sym w:font="Wingdings" w:char="00A8"/>
      </w:r>
      <w:r>
        <w:rPr>
          <w:rFonts w:hint="eastAsia" w:ascii="宋体" w:hAnsi="宋体" w:eastAsia="宋体" w:cs="宋体"/>
          <w:color w:val="auto"/>
          <w:kern w:val="2"/>
          <w:sz w:val="24"/>
          <w:szCs w:val="24"/>
          <w:highlight w:val="none"/>
        </w:rPr>
        <w:t xml:space="preserve">省内      </w:t>
      </w:r>
      <w:r>
        <w:rPr>
          <w:rFonts w:hint="eastAsia" w:ascii="宋体" w:hAnsi="宋体" w:eastAsia="宋体" w:cs="宋体"/>
          <w:color w:val="auto"/>
          <w:kern w:val="2"/>
          <w:sz w:val="24"/>
          <w:szCs w:val="24"/>
          <w:highlight w:val="none"/>
        </w:rPr>
        <w:sym w:font="Wingdings" w:char="00FE"/>
      </w:r>
      <w:r>
        <w:rPr>
          <w:rFonts w:hint="eastAsia" w:ascii="宋体" w:hAnsi="宋体" w:eastAsia="宋体" w:cs="宋体"/>
          <w:color w:val="auto"/>
          <w:kern w:val="2"/>
          <w:sz w:val="24"/>
          <w:szCs w:val="24"/>
          <w:highlight w:val="none"/>
        </w:rPr>
        <w:t>省外</w:t>
      </w:r>
    </w:p>
    <w:p w14:paraId="3160E285">
      <w:pPr>
        <w:autoSpaceDE w:val="0"/>
        <w:autoSpaceDN w:val="0"/>
        <w:adjustRightInd w:val="0"/>
        <w:snapToGrid w:val="0"/>
        <w:spacing w:line="360" w:lineRule="auto"/>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2.合同金额</w:t>
      </w:r>
    </w:p>
    <w:p w14:paraId="5384EF4D">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（1）合同金额大写：</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贰佰肆拾叁万元整</w:t>
      </w:r>
      <w:r>
        <w:rPr>
          <w:rFonts w:hint="eastAsia" w:ascii="宋体" w:hAnsi="宋体" w:eastAsia="宋体" w:cs="宋体"/>
          <w:color w:val="auto"/>
          <w:sz w:val="24"/>
          <w:szCs w:val="24"/>
          <w:highlight w:val="none"/>
          <w:u w:val="single"/>
        </w:rPr>
        <w:t xml:space="preserve"> </w:t>
      </w:r>
    </w:p>
    <w:p w14:paraId="565CF651">
      <w:pPr>
        <w:adjustRightInd w:val="0"/>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小写：</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2430000.00</w:t>
      </w:r>
      <w:r>
        <w:rPr>
          <w:rFonts w:hint="eastAsia" w:ascii="宋体" w:hAnsi="宋体" w:eastAsia="宋体" w:cs="宋体"/>
          <w:color w:val="auto"/>
          <w:sz w:val="24"/>
          <w:szCs w:val="24"/>
          <w:highlight w:val="none"/>
          <w:u w:val="single"/>
        </w:rPr>
        <w:t xml:space="preserve"> </w:t>
      </w:r>
    </w:p>
    <w:p w14:paraId="555750D5">
      <w:pPr>
        <w:pStyle w:val="13"/>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（2）付款方式（按项目实际勾选填写）：</w:t>
      </w:r>
    </w:p>
    <w:p w14:paraId="25FFF7E9">
      <w:pPr>
        <w:adjustRightInd w:val="0"/>
        <w:snapToGrid w:val="0"/>
        <w:spacing w:line="360" w:lineRule="auto"/>
        <w:ind w:firstLine="480" w:firstLineChars="200"/>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全额付款：</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61E07024">
      <w:pPr>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分期付款：</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采购人收到预付款保函、合同备案通过后一个月内，预付10%；全部到货后，支付至30%；初步验收合格后，支付至80%；终验或综合联调合格之日起15日内，按照合同金额的100%向采购人开具发票，采购人收到全额发票30日内支付至100%。</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7E5BCA6C">
      <w:pPr>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（3）其他事项：</w:t>
      </w:r>
      <w:r>
        <w:rPr>
          <w:rFonts w:hint="eastAsia" w:ascii="宋体" w:hAnsi="宋体" w:eastAsia="宋体" w:cs="宋体"/>
          <w:color w:val="auto"/>
          <w:sz w:val="24"/>
          <w:szCs w:val="24"/>
          <w:highlight w:val="none"/>
          <w:u w:val="single"/>
        </w:rPr>
        <w:t>因甲方单位性质，需要按照国家、省级项目资金支付规定执行，乙方应对此清楚知晓，甲方尽量保证按照本协议约定履行义务，如因以上原因导致无法按时支付款项的，乙方承诺不追究甲方违约责任。</w:t>
      </w:r>
    </w:p>
    <w:p w14:paraId="7D07C139">
      <w:pPr>
        <w:autoSpaceDE w:val="0"/>
        <w:autoSpaceDN w:val="0"/>
        <w:adjustRightInd w:val="0"/>
        <w:snapToGrid w:val="0"/>
        <w:spacing w:line="360" w:lineRule="auto"/>
        <w:ind w:firstLine="482" w:firstLineChars="200"/>
        <w:jc w:val="left"/>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3.合同履行</w:t>
      </w:r>
    </w:p>
    <w:p w14:paraId="6A745530">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（1）起始日期：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日，完成日期：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1712C2BF">
      <w:pPr>
        <w:adjustRightInd w:val="0"/>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（2）履约地点</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637451B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（3）履约担保：</w:t>
      </w:r>
      <w:r>
        <w:rPr>
          <w:rFonts w:hint="eastAsia" w:ascii="宋体" w:hAnsi="宋体" w:eastAsia="宋体" w:cs="宋体"/>
          <w:color w:val="auto"/>
          <w:sz w:val="24"/>
          <w:szCs w:val="24"/>
          <w:highlight w:val="none"/>
        </w:rPr>
        <w:t>是否收取履约保证金：</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否</w:t>
      </w:r>
    </w:p>
    <w:p w14:paraId="3BC8B5EA">
      <w:pPr>
        <w:pStyle w:val="12"/>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收取履约保证金形式：</w:t>
      </w:r>
      <w:r>
        <w:rPr>
          <w:rFonts w:hint="eastAsia" w:ascii="宋体" w:hAnsi="宋体" w:eastAsia="宋体" w:cs="宋体"/>
          <w:bCs/>
          <w:color w:val="auto"/>
          <w:sz w:val="24"/>
          <w:szCs w:val="24"/>
          <w:highlight w:val="none"/>
          <w:u w:val="single"/>
        </w:rPr>
        <w:t xml:space="preserve">  银行保函  </w:t>
      </w:r>
    </w:p>
    <w:p w14:paraId="52DB6A1F">
      <w:pPr>
        <w:pStyle w:val="12"/>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收取履约保证金金额或比例：</w:t>
      </w:r>
      <w:r>
        <w:rPr>
          <w:rFonts w:hint="eastAsia" w:ascii="宋体" w:hAnsi="宋体" w:eastAsia="宋体" w:cs="宋体"/>
          <w:bCs/>
          <w:color w:val="auto"/>
          <w:sz w:val="24"/>
          <w:szCs w:val="24"/>
          <w:highlight w:val="none"/>
          <w:u w:val="single"/>
        </w:rPr>
        <w:t xml:space="preserve">  合同金额的</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14:paraId="09A85FF3">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履约担保期限：</w:t>
      </w:r>
      <w:r>
        <w:rPr>
          <w:rFonts w:hint="eastAsia" w:ascii="宋体" w:hAnsi="宋体" w:eastAsia="宋体" w:cs="宋体"/>
          <w:bCs/>
          <w:color w:val="auto"/>
          <w:sz w:val="24"/>
          <w:szCs w:val="24"/>
          <w:highlight w:val="none"/>
          <w:u w:val="single"/>
        </w:rPr>
        <w:t xml:space="preserve"> 自中标（成交）通知书发放之日</w:t>
      </w:r>
      <w:r>
        <w:rPr>
          <w:rFonts w:hint="eastAsia" w:ascii="宋体" w:hAnsi="宋体" w:cs="宋体"/>
          <w:bCs/>
          <w:color w:val="auto"/>
          <w:sz w:val="24"/>
          <w:szCs w:val="24"/>
          <w:highlight w:val="none"/>
          <w:u w:val="single"/>
          <w:lang w:val="en-US" w:eastAsia="zh-CN"/>
        </w:rPr>
        <w:t>2年内</w:t>
      </w:r>
      <w:r>
        <w:rPr>
          <w:rFonts w:hint="eastAsia" w:ascii="宋体" w:hAnsi="宋体" w:eastAsia="宋体" w:cs="宋体"/>
          <w:bCs/>
          <w:color w:val="auto"/>
          <w:sz w:val="24"/>
          <w:szCs w:val="24"/>
          <w:highlight w:val="none"/>
          <w:u w:val="single"/>
        </w:rPr>
        <w:t xml:space="preserve">            </w:t>
      </w:r>
    </w:p>
    <w:p w14:paraId="0E29662A">
      <w:pPr>
        <w:adjustRightInd w:val="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（4）分期履行要求：</w:t>
      </w:r>
      <w:r>
        <w:rPr>
          <w:rFonts w:hint="eastAsia" w:ascii="宋体" w:hAnsi="宋体" w:eastAsia="宋体" w:cs="宋体"/>
          <w:bCs/>
          <w:color w:val="auto"/>
          <w:sz w:val="24"/>
          <w:szCs w:val="24"/>
          <w:highlight w:val="none"/>
          <w:u w:val="single"/>
        </w:rPr>
        <w:t xml:space="preserve">                                               </w:t>
      </w:r>
    </w:p>
    <w:p w14:paraId="7E8DF215">
      <w:pPr>
        <w:pStyle w:val="12"/>
        <w:spacing w:line="360" w:lineRule="auto"/>
        <w:ind w:firstLine="482"/>
        <w:rPr>
          <w:rFonts w:hint="eastAsia" w:ascii="宋体" w:hAnsi="宋体" w:eastAsia="宋体" w:cs="宋体"/>
          <w:color w:val="auto"/>
          <w:sz w:val="24"/>
          <w:szCs w:val="24"/>
          <w:highlight w:val="none"/>
          <w:u w:val="single"/>
        </w:rPr>
      </w:pPr>
      <w:r>
        <w:rPr>
          <w:rFonts w:hint="eastAsia" w:ascii="宋体" w:hAnsi="宋体" w:eastAsia="宋体" w:cs="宋体"/>
          <w:b/>
          <w:color w:val="auto"/>
          <w:kern w:val="2"/>
          <w:sz w:val="24"/>
          <w:szCs w:val="24"/>
          <w:highlight w:val="none"/>
        </w:rPr>
        <w:t>（5）风险处置措施和替代方案：</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p>
    <w:p w14:paraId="789A9C63">
      <w:pPr>
        <w:autoSpaceDE w:val="0"/>
        <w:autoSpaceDN w:val="0"/>
        <w:adjustRightInd w:val="0"/>
        <w:snapToGrid w:val="0"/>
        <w:spacing w:line="360" w:lineRule="auto"/>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4.合同验收</w:t>
      </w:r>
    </w:p>
    <w:p w14:paraId="5325A08C">
      <w:pPr>
        <w:autoSpaceDE w:val="0"/>
        <w:autoSpaceDN w:val="0"/>
        <w:adjustRightInd w:val="0"/>
        <w:snapToGrid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（1）验收组织方式：自行组织</w:t>
      </w:r>
    </w:p>
    <w:p w14:paraId="3B61BC7B">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验收主体：</w:t>
      </w:r>
      <w:r>
        <w:rPr>
          <w:rFonts w:hint="eastAsia" w:ascii="宋体" w:hAnsi="宋体" w:eastAsia="宋体" w:cs="宋体"/>
          <w:bCs/>
          <w:color w:val="auto"/>
          <w:sz w:val="24"/>
          <w:szCs w:val="24"/>
          <w:highlight w:val="none"/>
          <w:u w:val="single"/>
        </w:rPr>
        <w:t xml:space="preserve"> 河南省科学院和</w:t>
      </w:r>
      <w:r>
        <w:rPr>
          <w:rFonts w:hint="eastAsia" w:ascii="宋体" w:hAnsi="宋体" w:eastAsia="宋体" w:cs="宋体"/>
          <w:bCs/>
          <w:color w:val="auto"/>
          <w:sz w:val="24"/>
          <w:szCs w:val="24"/>
          <w:highlight w:val="none"/>
          <w:u w:val="single"/>
          <w:lang w:eastAsia="zh-CN"/>
        </w:rPr>
        <w:t>河南省科学院智慧创制研究所</w:t>
      </w:r>
      <w:r>
        <w:rPr>
          <w:rFonts w:hint="eastAsia" w:ascii="宋体" w:hAnsi="宋体" w:eastAsia="宋体" w:cs="宋体"/>
          <w:bCs/>
          <w:color w:val="auto"/>
          <w:sz w:val="24"/>
          <w:szCs w:val="24"/>
          <w:highlight w:val="none"/>
          <w:u w:val="single"/>
        </w:rPr>
        <w:t xml:space="preserve"> </w:t>
      </w:r>
    </w:p>
    <w:p w14:paraId="73110BE7">
      <w:pPr>
        <w:adjustRightInd w:val="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（2）履约验收时间：</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14:paraId="307B3D61">
      <w:pPr>
        <w:adjustRightInd w:val="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（3）履约验收方式</w:t>
      </w:r>
      <w:r>
        <w:rPr>
          <w:rFonts w:hint="eastAsia" w:ascii="宋体" w:hAnsi="宋体" w:eastAsia="宋体" w:cs="宋体"/>
          <w:bCs/>
          <w:color w:val="auto"/>
          <w:sz w:val="24"/>
          <w:szCs w:val="24"/>
          <w:highlight w:val="none"/>
          <w:u w:val="single"/>
        </w:rPr>
        <w:t>和程序</w:t>
      </w:r>
      <w:r>
        <w:rPr>
          <w:rFonts w:hint="eastAsia" w:ascii="宋体" w:hAnsi="宋体" w:eastAsia="宋体" w:cs="宋体"/>
          <w:bCs/>
          <w:color w:val="auto"/>
          <w:sz w:val="24"/>
          <w:szCs w:val="24"/>
          <w:highlight w:val="none"/>
        </w:rPr>
        <w:t>：</w:t>
      </w:r>
    </w:p>
    <w:p w14:paraId="58F10D26">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u w:val="single"/>
        </w:rPr>
        <w:t>技术性验收：接供应商通知后，采购人根据合同、招标文件、投标文件对相关货物数量（规模）和仪器设备安装调试及使用人员情况进行验收、对设备运行是否能够满足采购需求进行现场测试。符合性验收：技术性验收合格后，由财务审计部在技术性验收报告的基础上进行的实地、实物符合性验收。</w:t>
      </w:r>
    </w:p>
    <w:p w14:paraId="1232B171">
      <w:pPr>
        <w:adjustRightInd w:val="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（4）履约验收的内容：</w:t>
      </w:r>
      <w:r>
        <w:rPr>
          <w:rFonts w:hint="eastAsia" w:ascii="宋体" w:hAnsi="宋体" w:eastAsia="宋体" w:cs="宋体"/>
          <w:bCs/>
          <w:color w:val="auto"/>
          <w:sz w:val="24"/>
          <w:szCs w:val="24"/>
          <w:highlight w:val="none"/>
          <w:u w:val="single"/>
        </w:rPr>
        <w:t xml:space="preserve"> 合同、投标文件、采购文件货物数量、技术规格以及商务服务要求。</w:t>
      </w:r>
    </w:p>
    <w:p w14:paraId="61B1C027">
      <w:pPr>
        <w:adjustRightInd w:val="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（5）履约验收标准：</w:t>
      </w:r>
      <w:r>
        <w:rPr>
          <w:rFonts w:hint="eastAsia" w:ascii="宋体" w:hAnsi="宋体" w:eastAsia="宋体" w:cs="宋体"/>
          <w:bCs/>
          <w:color w:val="auto"/>
          <w:sz w:val="24"/>
          <w:szCs w:val="24"/>
          <w:highlight w:val="none"/>
          <w:u w:val="single"/>
        </w:rPr>
        <w:t xml:space="preserve"> 满足国家有关规定，符合合同、投标文件、采购文件货物数量、技术规格以及商务服务要求。 </w:t>
      </w:r>
    </w:p>
    <w:p w14:paraId="0550846C">
      <w:pPr>
        <w:adjustRightInd w:val="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（6）履约验收其他事项：</w:t>
      </w:r>
      <w:r>
        <w:rPr>
          <w:rFonts w:hint="eastAsia" w:ascii="宋体" w:hAnsi="宋体" w:eastAsia="宋体" w:cs="宋体"/>
          <w:bCs/>
          <w:color w:val="auto"/>
          <w:sz w:val="24"/>
          <w:szCs w:val="24"/>
          <w:highlight w:val="none"/>
          <w:u w:val="single"/>
        </w:rPr>
        <w:t>采购人根据国家有关规定、采购文件、中标人的投标文件以及合同约定的内容和验收标准进行验收，采购人可以视项目情况邀请第三方机构或者参加本项目投标的落标人参与验收。验收情况作为支付货款的依据。如有异议，以相关质量技术检验检测机构的检验结果为准，如产生检验检测费用，则该费用由过失方承担。</w:t>
      </w:r>
    </w:p>
    <w:p w14:paraId="7C73E22F">
      <w:pPr>
        <w:autoSpaceDE w:val="0"/>
        <w:autoSpaceDN w:val="0"/>
        <w:adjustRightInd w:val="0"/>
        <w:snapToGrid w:val="0"/>
        <w:spacing w:line="360" w:lineRule="auto"/>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5.组成合同的文件</w:t>
      </w:r>
    </w:p>
    <w:p w14:paraId="14FC2E6B">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本协议书与下列文件一起构成合同文件，如下述文件之间有任何抵触、矛盾或歧义，应按以下顺序解释：</w:t>
      </w:r>
    </w:p>
    <w:p w14:paraId="6553AF33">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（1）政府采购合同协议书及其变更、补充协议</w:t>
      </w:r>
    </w:p>
    <w:p w14:paraId="45B1B51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（2）政府采购合同专用条款</w:t>
      </w:r>
    </w:p>
    <w:p w14:paraId="4466A0D1">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（3）政府采购合同通用条款</w:t>
      </w:r>
    </w:p>
    <w:p w14:paraId="50655FC6">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（4）中标（成交）通知书</w:t>
      </w:r>
    </w:p>
    <w:p w14:paraId="35CECFD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（5）投标（响应）文件</w:t>
      </w:r>
    </w:p>
    <w:p w14:paraId="7D18820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（6）采购文件</w:t>
      </w:r>
    </w:p>
    <w:p w14:paraId="1A0765FE">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（7）有关技术文件，图纸</w:t>
      </w:r>
    </w:p>
    <w:p w14:paraId="201A9442">
      <w:pPr>
        <w:pStyle w:val="12"/>
        <w:spacing w:line="360" w:lineRule="auto"/>
        <w:ind w:firstLine="480"/>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kern w:val="2"/>
          <w:sz w:val="24"/>
          <w:szCs w:val="24"/>
          <w:highlight w:val="none"/>
        </w:rPr>
        <w:t>国家法律、行政法规和规章制度规定或合同约定的作为合同组成部分的其他文件</w:t>
      </w:r>
    </w:p>
    <w:p w14:paraId="4D12812C">
      <w:pPr>
        <w:autoSpaceDE w:val="0"/>
        <w:autoSpaceDN w:val="0"/>
        <w:adjustRightInd w:val="0"/>
        <w:snapToGrid w:val="0"/>
        <w:spacing w:line="360" w:lineRule="auto"/>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6.合同的履行、变更和解除</w:t>
      </w:r>
    </w:p>
    <w:p w14:paraId="7298A139">
      <w:pPr>
        <w:pStyle w:val="14"/>
        <w:spacing w:line="360" w:lineRule="auto"/>
        <w:ind w:firstLine="480" w:firstLineChars="200"/>
        <w:jc w:val="both"/>
        <w:rPr>
          <w:rFonts w:hint="eastAsia" w:ascii="宋体" w:hAnsi="宋体" w:cs="宋体"/>
          <w:color w:val="auto"/>
          <w:kern w:val="2"/>
          <w:highlight w:val="none"/>
        </w:rPr>
      </w:pPr>
      <w:r>
        <w:rPr>
          <w:rFonts w:hint="eastAsia" w:ascii="宋体" w:hAnsi="宋体" w:cs="宋体"/>
          <w:color w:val="auto"/>
          <w:kern w:val="2"/>
          <w:highlight w:val="none"/>
        </w:rPr>
        <w:t>（1）合同签订后并经甲方备案通过即具法律效力，甲乙双方均须认真履行，不得随意解除合同，如甲方备案未能通过的，双方应就本协议另行约定处理方案。</w:t>
      </w:r>
    </w:p>
    <w:p w14:paraId="54D1FF07">
      <w:pPr>
        <w:pStyle w:val="14"/>
        <w:spacing w:line="360" w:lineRule="auto"/>
        <w:ind w:firstLine="480" w:firstLineChars="200"/>
        <w:jc w:val="both"/>
        <w:rPr>
          <w:rFonts w:hint="eastAsia" w:ascii="宋体" w:hAnsi="宋体" w:cs="宋体"/>
          <w:color w:val="auto"/>
          <w:kern w:val="2"/>
          <w:highlight w:val="none"/>
        </w:rPr>
      </w:pPr>
      <w:r>
        <w:rPr>
          <w:rFonts w:hint="eastAsia" w:ascii="宋体" w:hAnsi="宋体" w:cs="宋体"/>
          <w:color w:val="auto"/>
          <w:kern w:val="2"/>
          <w:highlight w:val="none"/>
        </w:rPr>
        <w:t>（2）甲乙双方不得擅自变更合同。如因项目实际情况确需变更，须经双方书面认可方可变更并备案通过后生效。</w:t>
      </w:r>
    </w:p>
    <w:p w14:paraId="50DE30AD">
      <w:pPr>
        <w:autoSpaceDE w:val="0"/>
        <w:autoSpaceDN w:val="0"/>
        <w:adjustRightInd w:val="0"/>
        <w:snapToGrid w:val="0"/>
        <w:spacing w:line="360" w:lineRule="auto"/>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7.违约责任</w:t>
      </w:r>
    </w:p>
    <w:p w14:paraId="189AB098">
      <w:pPr>
        <w:tabs>
          <w:tab w:val="left" w:pos="63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（1）除如因战争、严重火灾、水灾、台风、地震和其他甲乙双方认可的不可抗力事件外，甲乙双方不得随意解除合同，否则按违约处理。</w:t>
      </w:r>
    </w:p>
    <w:p w14:paraId="62D3C7AF">
      <w:pPr>
        <w:tabs>
          <w:tab w:val="left" w:pos="63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提供的货物（设备）不符合合同约定的质量标准或存在产品质量缺陷，甲方有权要求乙方及时修理、重作、更换，乙方应承担因此而发生的一切费用，同时甲方有权拒收并追究乙方责任。因乙方更换而造成逾期交货，则按逾期交货处理。</w:t>
      </w:r>
    </w:p>
    <w:p w14:paraId="4D088425">
      <w:pPr>
        <w:tabs>
          <w:tab w:val="left" w:pos="63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应保证货物（设备）由原厂生产的全新产品，无侵权行为，表面无划痕、无任何缺陷隐患，在中国境内可依常规安全合法使用，乙方应保证进货渠道的合法性。一经发现存在上述问题，甲方有权要求按照货物（设备）原值退货退款，乙方需承担由此产生的一切费用和损失。</w:t>
      </w:r>
    </w:p>
    <w:p w14:paraId="7C3E1C17">
      <w:pPr>
        <w:tabs>
          <w:tab w:val="left" w:pos="63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（4）乙方应按照本合同规定的时间、地点交货和提供相关服务。在履行合同过程中，如遇不可抗力，应及时以书面形式将迟延的事实、可能迟延的期限和理由通知甲方。</w:t>
      </w:r>
    </w:p>
    <w:p w14:paraId="68ED92BF">
      <w:pPr>
        <w:tabs>
          <w:tab w:val="left" w:pos="63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（5）无正当理由逾期交付货物（供货、安装调试完毕），</w:t>
      </w:r>
      <w:r>
        <w:rPr>
          <w:rFonts w:hint="eastAsia" w:ascii="宋体" w:hAnsi="宋体" w:eastAsia="宋体" w:cs="宋体"/>
          <w:color w:val="auto"/>
          <w:sz w:val="24"/>
          <w:szCs w:val="24"/>
          <w:highlight w:val="none"/>
          <w:lang w:val="en-US" w:eastAsia="zh-CN"/>
        </w:rPr>
        <w:t>每延迟一日历天，乙方需向甲方支付合同总额1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的违约金</w:t>
      </w:r>
      <w:r>
        <w:rPr>
          <w:rFonts w:hint="eastAsia" w:ascii="宋体" w:hAnsi="宋体" w:eastAsia="宋体" w:cs="宋体"/>
          <w:color w:val="auto"/>
          <w:sz w:val="24"/>
          <w:szCs w:val="24"/>
          <w:highlight w:val="none"/>
        </w:rPr>
        <w:t>，乙方需在3日内将违约金支付给甲方。</w:t>
      </w:r>
    </w:p>
    <w:p w14:paraId="3C324DAF">
      <w:pPr>
        <w:tabs>
          <w:tab w:val="left" w:pos="63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（6）如乙方逾期交付货物（供货、安装调试完毕）达70天</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甲方有权单方解除合同，甲方解除合同通知自到达乙方时生效。乙方向甲方偿付合同总额5%的违约金，乙方需在3日内将违约金支付给甲方，并退还甲方已支付的预付款。</w:t>
      </w:r>
    </w:p>
    <w:p w14:paraId="68B04D89">
      <w:pPr>
        <w:tabs>
          <w:tab w:val="left" w:pos="63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验收过程中，甲乙双方因质量问题发生争议，由甲方所在地或上一级质量技术鉴定单位进行质量鉴定。经鉴定质量合格，鉴定费由甲方承担；鉴定质量不合格，鉴定费用由乙方承担。鉴定质量不合格的，甲方有权拒收、有权单方解除合同并要求乙方赔偿因此造成的一切损失，乙方应在3日内向甲方偿付合同总额5%的违约金，并退还甲方已支付的预付款。在此情况下，乙方给甲方造成的实际损失高于违约金的，对高出违约金的部分乙方应予以赔偿。</w:t>
      </w:r>
    </w:p>
    <w:p w14:paraId="354C3741">
      <w:pPr>
        <w:tabs>
          <w:tab w:val="left" w:pos="63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（8）当违约金超过履约保证金时，超过部分甲方有权从合同总价款中扣除，用于补偿违约金不足的部分。</w:t>
      </w:r>
    </w:p>
    <w:p w14:paraId="3B379072">
      <w:pPr>
        <w:autoSpaceDE w:val="0"/>
        <w:autoSpaceDN w:val="0"/>
        <w:adjustRightInd w:val="0"/>
        <w:snapToGrid w:val="0"/>
        <w:spacing w:line="360" w:lineRule="auto"/>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8.合同争议的解决</w:t>
      </w:r>
    </w:p>
    <w:p w14:paraId="2F108DB4">
      <w:pPr>
        <w:tabs>
          <w:tab w:val="left" w:pos="63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种方式解决：</w:t>
      </w:r>
    </w:p>
    <w:p w14:paraId="0C8E5063">
      <w:pPr>
        <w:tabs>
          <w:tab w:val="left" w:pos="63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将争议提交</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仲裁委员会依申请仲裁时其现行有效的仲裁规则裁决；</w:t>
      </w:r>
    </w:p>
    <w:p w14:paraId="4364A897">
      <w:pPr>
        <w:tabs>
          <w:tab w:val="left" w:pos="63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向</w:t>
      </w:r>
      <w:r>
        <w:rPr>
          <w:rFonts w:hint="eastAsia" w:ascii="宋体" w:hAnsi="宋体" w:eastAsia="宋体" w:cs="宋体"/>
          <w:color w:val="auto"/>
          <w:sz w:val="24"/>
          <w:szCs w:val="24"/>
          <w:highlight w:val="none"/>
          <w:u w:val="single"/>
          <w:lang w:val="en-US" w:eastAsia="zh-CN"/>
        </w:rPr>
        <w:t>甲方所在地有管辖权的</w:t>
      </w:r>
      <w:r>
        <w:rPr>
          <w:rFonts w:hint="eastAsia" w:ascii="宋体" w:hAnsi="宋体" w:eastAsia="宋体" w:cs="宋体"/>
          <w:color w:val="auto"/>
          <w:sz w:val="24"/>
          <w:szCs w:val="24"/>
          <w:highlight w:val="none"/>
        </w:rPr>
        <w:t>人民法院起诉。</w:t>
      </w:r>
    </w:p>
    <w:p w14:paraId="79A104AC">
      <w:pPr>
        <w:autoSpaceDE w:val="0"/>
        <w:autoSpaceDN w:val="0"/>
        <w:adjustRightInd w:val="0"/>
        <w:snapToGrid w:val="0"/>
        <w:spacing w:line="360" w:lineRule="auto"/>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9.合同生效</w:t>
      </w:r>
    </w:p>
    <w:p w14:paraId="4A8D96D6">
      <w:pPr>
        <w:tabs>
          <w:tab w:val="left" w:pos="630"/>
        </w:tabs>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本合同自双方当事人签字加盖单位印章并经甲方备案通过后生效（如授权代表代为签字，应将《授权委托书》作为附件）。</w:t>
      </w:r>
    </w:p>
    <w:p w14:paraId="647D1A76">
      <w:pPr>
        <w:autoSpaceDE w:val="0"/>
        <w:autoSpaceDN w:val="0"/>
        <w:adjustRightInd w:val="0"/>
        <w:snapToGrid w:val="0"/>
        <w:spacing w:line="360" w:lineRule="auto"/>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10.合同份数</w:t>
      </w:r>
    </w:p>
    <w:p w14:paraId="636BBC68">
      <w:pPr>
        <w:pStyle w:val="12"/>
        <w:spacing w:line="360" w:lineRule="auto"/>
        <w:ind w:firstLine="48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本合同一式捌份，甲方执陆份，乙方执贰份，均具有同等法律效力。</w:t>
      </w:r>
    </w:p>
    <w:p w14:paraId="4FBAA6B1">
      <w:pPr>
        <w:pStyle w:val="12"/>
        <w:spacing w:line="360" w:lineRule="auto"/>
        <w:ind w:firstLine="480"/>
        <w:rPr>
          <w:rFonts w:hint="eastAsia" w:ascii="宋体" w:hAnsi="宋体" w:eastAsia="宋体" w:cs="宋体"/>
          <w:color w:val="auto"/>
          <w:kern w:val="2"/>
          <w:sz w:val="24"/>
          <w:szCs w:val="24"/>
          <w:highlight w:val="none"/>
        </w:rPr>
      </w:pPr>
    </w:p>
    <w:p w14:paraId="5BFB4A95">
      <w:pPr>
        <w:pStyle w:val="12"/>
        <w:spacing w:line="360" w:lineRule="auto"/>
        <w:ind w:firstLine="480"/>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以下无正文</w:t>
      </w:r>
      <w:r>
        <w:rPr>
          <w:rFonts w:hint="eastAsia" w:ascii="宋体" w:hAnsi="宋体" w:eastAsia="宋体" w:cs="宋体"/>
          <w:color w:val="auto"/>
          <w:kern w:val="2"/>
          <w:sz w:val="24"/>
          <w:szCs w:val="24"/>
          <w:highlight w:val="none"/>
          <w:lang w:eastAsia="zh-CN"/>
        </w:rPr>
        <w:t>）</w:t>
      </w:r>
    </w:p>
    <w:p w14:paraId="31304DF0">
      <w:pPr>
        <w:pStyle w:val="12"/>
        <w:spacing w:line="360" w:lineRule="auto"/>
        <w:ind w:firstLine="480"/>
        <w:rPr>
          <w:rFonts w:hint="eastAsia" w:ascii="宋体" w:hAnsi="宋体" w:eastAsia="宋体" w:cs="宋体"/>
          <w:color w:val="auto"/>
          <w:kern w:val="2"/>
          <w:sz w:val="24"/>
          <w:szCs w:val="24"/>
          <w:highlight w:val="none"/>
        </w:rPr>
      </w:pPr>
    </w:p>
    <w:p w14:paraId="64FA1D81">
      <w:pPr>
        <w:pStyle w:val="12"/>
        <w:spacing w:line="360" w:lineRule="auto"/>
        <w:ind w:firstLine="480"/>
        <w:rPr>
          <w:rFonts w:hint="eastAsia" w:ascii="宋体" w:hAnsi="宋体" w:eastAsia="宋体" w:cs="宋体"/>
          <w:color w:val="auto"/>
          <w:kern w:val="2"/>
          <w:sz w:val="24"/>
          <w:szCs w:val="24"/>
          <w:highlight w:val="none"/>
        </w:rPr>
      </w:pPr>
    </w:p>
    <w:p w14:paraId="7A8EB9ED">
      <w:pPr>
        <w:pStyle w:val="12"/>
        <w:spacing w:line="360" w:lineRule="auto"/>
        <w:ind w:firstLine="480"/>
        <w:rPr>
          <w:rFonts w:hint="eastAsia" w:ascii="宋体" w:hAnsi="宋体" w:eastAsia="宋体" w:cs="宋体"/>
          <w:color w:val="auto"/>
          <w:sz w:val="24"/>
          <w:szCs w:val="24"/>
          <w:highlight w:val="none"/>
        </w:rPr>
      </w:pPr>
    </w:p>
    <w:p w14:paraId="0F13BC38">
      <w:pPr>
        <w:pStyle w:val="12"/>
        <w:spacing w:line="360" w:lineRule="auto"/>
        <w:ind w:left="420" w:leftChars="200" w:firstLine="0" w:firstLineChars="0"/>
        <w:rPr>
          <w:rFonts w:hint="eastAsia" w:ascii="宋体" w:hAnsi="宋体" w:eastAsia="宋体" w:cs="宋体"/>
          <w:color w:val="auto"/>
          <w:sz w:val="24"/>
          <w:szCs w:val="24"/>
          <w:highlight w:val="none"/>
          <w:u w:val="single"/>
          <w:lang w:eastAsia="zh-CN"/>
        </w:rPr>
        <w:sectPr>
          <w:footerReference r:id="rId3" w:type="default"/>
          <w:pgSz w:w="11906" w:h="16838"/>
          <w:pgMar w:top="1440" w:right="1440" w:bottom="1440" w:left="1440" w:header="1020" w:footer="992" w:gutter="0"/>
          <w:pgNumType w:fmt="decimal" w:start="1"/>
          <w:cols w:space="720" w:num="1"/>
          <w:docGrid w:type="lines" w:linePitch="312" w:charSpace="0"/>
        </w:sectPr>
      </w:pPr>
      <w:r>
        <w:rPr>
          <w:rFonts w:hint="eastAsia" w:ascii="宋体" w:hAnsi="宋体" w:eastAsia="宋体" w:cs="宋体"/>
          <w:color w:val="auto"/>
          <w:sz w:val="24"/>
          <w:szCs w:val="24"/>
          <w:highlight w:val="none"/>
          <w:u w:val="single"/>
          <w:lang w:eastAsia="zh-CN"/>
        </w:rPr>
        <w:drawing>
          <wp:inline distT="0" distB="0" distL="114300" distR="114300">
            <wp:extent cx="5619750" cy="7848600"/>
            <wp:effectExtent l="0" t="0" r="0" b="0"/>
            <wp:docPr id="3" name="图片 3" descr="26a84f2dc2cba683d8464d8a72248b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6a84f2dc2cba683d8464d8a72248b99"/>
                    <pic:cNvPicPr>
                      <a:picLocks noChangeAspect="1"/>
                    </pic:cNvPicPr>
                  </pic:nvPicPr>
                  <pic:blipFill>
                    <a:blip r:embed="rId6"/>
                    <a:stretch>
                      <a:fillRect/>
                    </a:stretch>
                  </pic:blipFill>
                  <pic:spPr>
                    <a:xfrm>
                      <a:off x="0" y="0"/>
                      <a:ext cx="5619750" cy="7848600"/>
                    </a:xfrm>
                    <a:prstGeom prst="rect">
                      <a:avLst/>
                    </a:prstGeom>
                  </pic:spPr>
                </pic:pic>
              </a:graphicData>
            </a:graphic>
          </wp:inline>
        </w:drawing>
      </w:r>
      <w:bookmarkStart w:id="10" w:name="_GoBack"/>
      <w:bookmarkEnd w:id="10"/>
    </w:p>
    <w:p w14:paraId="26E1DE32">
      <w:pPr>
        <w:pStyle w:val="2"/>
        <w:adjustRightInd w:val="0"/>
        <w:snapToGrid w:val="0"/>
        <w:spacing w:before="156" w:beforeLines="50"/>
        <w:ind w:firstLine="562"/>
        <w:jc w:val="center"/>
        <w:rPr>
          <w:rFonts w:hint="eastAsia" w:ascii="宋体" w:hAnsi="宋体" w:eastAsia="宋体" w:cs="宋体"/>
          <w:color w:val="auto"/>
          <w:sz w:val="28"/>
          <w:szCs w:val="36"/>
          <w:highlight w:val="none"/>
        </w:rPr>
      </w:pPr>
      <w:bookmarkStart w:id="3" w:name="_Toc181559058"/>
      <w:bookmarkStart w:id="4" w:name="_Toc27365"/>
      <w:bookmarkStart w:id="5" w:name="_Toc27624"/>
      <w:r>
        <w:rPr>
          <w:rFonts w:hint="eastAsia" w:ascii="宋体" w:hAnsi="宋体" w:eastAsia="宋体" w:cs="宋体"/>
          <w:color w:val="auto"/>
          <w:sz w:val="28"/>
          <w:szCs w:val="36"/>
          <w:highlight w:val="none"/>
        </w:rPr>
        <w:t>第二节 政府采购合同通用条款</w:t>
      </w:r>
      <w:bookmarkEnd w:id="3"/>
      <w:bookmarkEnd w:id="4"/>
      <w:bookmarkEnd w:id="5"/>
    </w:p>
    <w:p w14:paraId="2E61FA09">
      <w:pPr>
        <w:tabs>
          <w:tab w:val="left" w:pos="8820"/>
          <w:tab w:val="left" w:pos="9345"/>
          <w:tab w:val="left" w:pos="9765"/>
        </w:tabs>
        <w:adjustRightInd w:val="0"/>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 xml:space="preserve">1. </w:t>
      </w:r>
      <w:r>
        <w:rPr>
          <w:rFonts w:hint="eastAsia" w:ascii="宋体" w:hAnsi="宋体" w:eastAsia="宋体" w:cs="宋体"/>
          <w:b/>
          <w:bCs/>
          <w:color w:val="auto"/>
          <w:sz w:val="24"/>
          <w:szCs w:val="24"/>
          <w:highlight w:val="none"/>
        </w:rPr>
        <w:t>定义</w:t>
      </w:r>
    </w:p>
    <w:p w14:paraId="71674E5E">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1.1合同当事人</w:t>
      </w:r>
    </w:p>
    <w:p w14:paraId="605DE441">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（1）采购人（以下称甲方）是指使用财政性资金，通过政府采购方式向供应商购买货物及其相关服务的国家机关、事业单位、团体组织。</w:t>
      </w:r>
    </w:p>
    <w:p w14:paraId="1A0CD01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（2）供应商（以下称乙方）是指参加政府采购活动并且中标（成交），向采购人提供合同约定的货物及其相关服务的法人、非法人组织或者自然人。</w:t>
      </w:r>
    </w:p>
    <w:p w14:paraId="2E59BD91">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auto"/>
          <w:sz w:val="24"/>
          <w:szCs w:val="24"/>
          <w:highlight w:val="none"/>
        </w:rPr>
        <w:t>依法参与合同缔结或履行，享有权利、承担义务的合同当事人</w:t>
      </w:r>
      <w:r>
        <w:rPr>
          <w:rFonts w:hint="eastAsia" w:ascii="宋体" w:hAnsi="宋体" w:eastAsia="宋体" w:cs="宋体"/>
          <w:color w:val="auto"/>
          <w:sz w:val="24"/>
          <w:szCs w:val="24"/>
          <w:highlight w:val="none"/>
        </w:rPr>
        <w:t>。</w:t>
      </w:r>
    </w:p>
    <w:p w14:paraId="69B5783A">
      <w:pPr>
        <w:tabs>
          <w:tab w:val="left" w:pos="570"/>
          <w:tab w:val="left" w:pos="9240"/>
          <w:tab w:val="left" w:pos="9555"/>
        </w:tabs>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3400E51E">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auto"/>
          <w:sz w:val="24"/>
          <w:szCs w:val="24"/>
          <w:highlight w:val="none"/>
        </w:rPr>
        <w:t>合同当事人意思表示达成一致的任何协议，包括签署的</w:t>
      </w:r>
      <w:r>
        <w:rPr>
          <w:rFonts w:hint="eastAsia" w:ascii="宋体" w:hAnsi="宋体" w:eastAsia="宋体" w:cs="宋体"/>
          <w:color w:val="auto"/>
          <w:sz w:val="24"/>
          <w:szCs w:val="24"/>
          <w:highlight w:val="none"/>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6E0A4307">
      <w:pPr>
        <w:tabs>
          <w:tab w:val="left" w:pos="570"/>
          <w:tab w:val="left" w:pos="9240"/>
          <w:tab w:val="left" w:pos="9555"/>
        </w:tabs>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（2）“合同价款”系指根据本合同规定乙方在全面履行合同义务后甲方应支付给乙方的价款。</w:t>
      </w:r>
    </w:p>
    <w:p w14:paraId="3514F779">
      <w:pPr>
        <w:tabs>
          <w:tab w:val="left" w:pos="570"/>
          <w:tab w:val="left" w:pos="9240"/>
          <w:tab w:val="left" w:pos="9555"/>
        </w:tabs>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（3）“货物”系指乙方根据本合同规定须向甲方提供的各种形态和种类的物品，包括原材料、设备、产品（包括软件）及相关的其备品备件、工具、手册及</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技术资料和材料等。</w:t>
      </w:r>
    </w:p>
    <w:p w14:paraId="5510BEAB">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（4）“相关服务”系指根据合同规定，乙方应提供的与货物有关的技术、管理和</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服务，包括但不限于：管理和质量保证、运输、保险、检验、现场准备、安装、集成、调试、培训、维修、废弃处置、技术支持等以及合同中规定乙方应承担的</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义务。</w:t>
      </w:r>
    </w:p>
    <w:p w14:paraId="52FBB435">
      <w:pPr>
        <w:numPr>
          <w:ilvl w:val="0"/>
          <w:numId w:val="2"/>
        </w:numPr>
        <w:autoSpaceDE w:val="0"/>
        <w:autoSpaceDN w:val="0"/>
        <w:adjustRightInd w:val="0"/>
        <w:snapToGrid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合同标的及金额</w:t>
      </w:r>
    </w:p>
    <w:p w14:paraId="5B487414">
      <w:pPr>
        <w:adjustRightInd w:val="0"/>
        <w:snapToGrid w:val="0"/>
        <w:spacing w:line="360" w:lineRule="auto"/>
        <w:ind w:firstLine="480" w:firstLineChars="200"/>
        <w:rPr>
          <w:rFonts w:hint="eastAsia" w:ascii="宋体" w:hAnsi="宋体" w:eastAsia="宋体" w:cs="宋体"/>
          <w:b/>
          <w:bCs/>
          <w:i/>
          <w:iCs/>
          <w:color w:val="auto"/>
          <w:sz w:val="24"/>
          <w:szCs w:val="24"/>
          <w:highlight w:val="none"/>
        </w:rPr>
      </w:pPr>
      <w:r>
        <w:rPr>
          <w:rFonts w:hint="eastAsia" w:ascii="宋体" w:hAnsi="宋体" w:eastAsia="宋体" w:cs="宋体"/>
          <w:color w:val="auto"/>
          <w:sz w:val="24"/>
          <w:szCs w:val="24"/>
          <w:highlight w:val="none"/>
        </w:rPr>
        <w:t>2.1 合同标的及金额应与中标（成交）结果一致。乙方为履行本合同而发生的所有费用均应包含在合同价款中，甲方不再另行支付</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任何费用。</w:t>
      </w:r>
    </w:p>
    <w:p w14:paraId="44BB888B">
      <w:pPr>
        <w:adjustRightInd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 履行合同的时间、地点和方式</w:t>
      </w:r>
    </w:p>
    <w:p w14:paraId="2844AAB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乙方应当在约定的时间、地点，按照约定方式履行合同。</w:t>
      </w:r>
    </w:p>
    <w:p w14:paraId="09160EA6">
      <w:pPr>
        <w:adjustRightInd w:val="0"/>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 甲方的权利和义务</w:t>
      </w:r>
    </w:p>
    <w:p w14:paraId="104A820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71EB35DA">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甲方有权要求乙方按时提交各阶段有关安排计划，并有权定期核对乙方提供货物数量、规格、质量等内容。甲方有权督促乙方工作并要求乙方更换不符合要求的货物。</w:t>
      </w:r>
    </w:p>
    <w:p w14:paraId="5B9AAFAA">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 甲方有权要求乙方对缺陷部分予以修复，并按合同约定享有货物保修及其他合同约定的权利。</w:t>
      </w:r>
    </w:p>
    <w:p w14:paraId="67438AA4">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 甲方应当按照合同约定及时对交付的货物进行验收，未在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约定的期限内对乙方履约提出任何异议或者向乙方作出任何说明的，视为验收通过。</w:t>
      </w:r>
    </w:p>
    <w:p w14:paraId="64B04521">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 甲方应当根据合同约定及时向乙方支付合同价款，不得以内部人员变更、履行内部付款流程等为由，拒绝或迟延支付。</w:t>
      </w:r>
    </w:p>
    <w:p w14:paraId="260B6043">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 国家法律法规规定及</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约定应由甲方承担的其他义务和责任。</w:t>
      </w:r>
    </w:p>
    <w:p w14:paraId="286AA1C1">
      <w:pPr>
        <w:adjustRightInd w:val="0"/>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 乙方的权利和义务</w:t>
      </w:r>
    </w:p>
    <w:p w14:paraId="1AC18836">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签署合同后，乙方应确定项目负责人（或项目联系人），负责与本合同有关的事务。</w:t>
      </w:r>
    </w:p>
    <w:p w14:paraId="4513659B">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2680B40B">
      <w:pPr>
        <w:pStyle w:val="4"/>
        <w:spacing w:line="360" w:lineRule="auto"/>
        <w:ind w:firstLine="480"/>
        <w:jc w:val="both"/>
        <w:rPr>
          <w:rFonts w:hint="eastAsia" w:ascii="宋体" w:hAnsi="宋体" w:cs="宋体"/>
          <w:color w:val="auto"/>
          <w:sz w:val="24"/>
          <w:highlight w:val="none"/>
        </w:rPr>
      </w:pPr>
      <w:r>
        <w:rPr>
          <w:rFonts w:hint="eastAsia" w:ascii="宋体" w:hAnsi="宋体" w:cs="宋体"/>
          <w:color w:val="auto"/>
          <w:sz w:val="24"/>
          <w:highlight w:val="none"/>
        </w:rPr>
        <w:t>5.3乙方有权根据合同约定向甲方收取合同价款。</w:t>
      </w:r>
    </w:p>
    <w:p w14:paraId="0F83BD6A">
      <w:pPr>
        <w:pStyle w:val="4"/>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5.4国家法律法规规定及</w:t>
      </w:r>
      <w:r>
        <w:rPr>
          <w:rFonts w:hint="eastAsia" w:ascii="宋体" w:hAnsi="宋体" w:cs="宋体"/>
          <w:b/>
          <w:bCs/>
          <w:color w:val="auto"/>
          <w:sz w:val="24"/>
          <w:highlight w:val="none"/>
        </w:rPr>
        <w:t>【政府采购合同专用条款】</w:t>
      </w:r>
      <w:r>
        <w:rPr>
          <w:rFonts w:hint="eastAsia" w:ascii="宋体" w:hAnsi="宋体" w:cs="宋体"/>
          <w:color w:val="auto"/>
          <w:sz w:val="24"/>
          <w:highlight w:val="none"/>
        </w:rPr>
        <w:t>约定应由乙方承担的其他义务和责任。</w:t>
      </w:r>
    </w:p>
    <w:p w14:paraId="3E6512AA">
      <w:pPr>
        <w:numPr>
          <w:ilvl w:val="0"/>
          <w:numId w:val="3"/>
        </w:numPr>
        <w:autoSpaceDE w:val="0"/>
        <w:autoSpaceDN w:val="0"/>
        <w:adjustRightInd w:val="0"/>
        <w:snapToGrid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合同履行</w:t>
      </w:r>
    </w:p>
    <w:p w14:paraId="7323AC9F">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 甲乙双方应当按照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约定顺序履行合同义务；如果没有先后顺序的，应当同时履行。</w:t>
      </w:r>
    </w:p>
    <w:p w14:paraId="63AAC14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 甲乙双方按照合同约定顺序履行合同义务时，应当先履行一方未履行的，后履行一方有权拒绝其履行请求。先履行一方履行不符合约定的，后履行一方有权拒绝其相应的履行请求。</w:t>
      </w:r>
    </w:p>
    <w:p w14:paraId="3CF45344">
      <w:pPr>
        <w:adjustRightInd w:val="0"/>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 货物包装、运输、保险和交付要求</w:t>
      </w:r>
    </w:p>
    <w:p w14:paraId="424759A5">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本合同</w:t>
      </w:r>
      <w:r>
        <w:rPr>
          <w:rFonts w:hint="eastAsia" w:ascii="宋体" w:hAnsi="宋体" w:eastAsia="宋体" w:cs="宋体"/>
          <w:bCs/>
          <w:color w:val="auto"/>
          <w:sz w:val="24"/>
          <w:szCs w:val="24"/>
          <w:highlight w:val="none"/>
        </w:rPr>
        <w:t>涉及商品包装、快递包装的，</w:t>
      </w:r>
      <w:r>
        <w:rPr>
          <w:rFonts w:hint="eastAsia" w:ascii="宋体" w:hAnsi="宋体" w:eastAsia="宋体" w:cs="宋体"/>
          <w:color w:val="auto"/>
          <w:sz w:val="24"/>
          <w:szCs w:val="24"/>
          <w:highlight w:val="none"/>
        </w:rPr>
        <w:t>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另有约定外，</w:t>
      </w:r>
      <w:r>
        <w:rPr>
          <w:rFonts w:hint="eastAsia" w:ascii="宋体" w:hAnsi="宋体" w:eastAsia="宋体" w:cs="宋体"/>
          <w:color w:val="auto"/>
          <w:sz w:val="24"/>
          <w:szCs w:val="24"/>
          <w:highlight w:val="none"/>
        </w:rPr>
        <w:t>包装应适应远距离运输、防潮、防震、防锈和防野蛮装卸等要求，确保货物安全无损地运抵</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约定的</w:t>
      </w:r>
      <w:r>
        <w:rPr>
          <w:rFonts w:hint="eastAsia" w:ascii="宋体" w:hAnsi="宋体" w:eastAsia="宋体" w:cs="宋体"/>
          <w:color w:val="auto"/>
          <w:sz w:val="24"/>
          <w:szCs w:val="24"/>
          <w:highlight w:val="none"/>
        </w:rPr>
        <w:t>指定现场。</w:t>
      </w:r>
    </w:p>
    <w:p w14:paraId="5B2417A6">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 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另有约定外，</w:t>
      </w:r>
      <w:r>
        <w:rPr>
          <w:rFonts w:hint="eastAsia" w:ascii="宋体" w:hAnsi="宋体" w:eastAsia="宋体" w:cs="宋体"/>
          <w:color w:val="auto"/>
          <w:sz w:val="24"/>
          <w:szCs w:val="24"/>
          <w:highlight w:val="none"/>
        </w:rPr>
        <w:t>乙方负责办理将货物运抵本合同规定的交货地点，并装卸、交付至甲方的一切运输事项，相关费用应包含在合同价款中。</w:t>
      </w:r>
    </w:p>
    <w:p w14:paraId="650E116B">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 货物保险要求按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规定执行</w:t>
      </w:r>
      <w:r>
        <w:rPr>
          <w:rFonts w:hint="eastAsia" w:ascii="宋体" w:hAnsi="宋体" w:eastAsia="宋体" w:cs="宋体"/>
          <w:color w:val="auto"/>
          <w:sz w:val="24"/>
          <w:szCs w:val="24"/>
          <w:highlight w:val="none"/>
        </w:rPr>
        <w:t>。</w:t>
      </w:r>
    </w:p>
    <w:p w14:paraId="24B325B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0381FC0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 乙方在运输到达之前应提前通知甲方，并提示货物运输装卸的注意事项，甲方配合乙方做好货物的接收工作。</w:t>
      </w:r>
    </w:p>
    <w:p w14:paraId="0381A5DC">
      <w:pPr>
        <w:pStyle w:val="12"/>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7.6 如因包装、运输问题导致货物损毁、丢失或者品质下降，甲方有权要求降价、换货、拒收部分或整批货物，由此产生的费用和损失，均由乙方承担。</w:t>
      </w:r>
    </w:p>
    <w:p w14:paraId="4048A14C">
      <w:pPr>
        <w:adjustRightInd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 质量标准和保证</w:t>
      </w:r>
    </w:p>
    <w:p w14:paraId="6E2E4B5C">
      <w:pPr>
        <w:pStyle w:val="7"/>
        <w:adjustRightInd w:val="0"/>
        <w:snapToGrid w:val="0"/>
        <w:spacing w:line="360" w:lineRule="auto"/>
        <w:ind w:firstLine="480"/>
        <w:rPr>
          <w:rFonts w:hint="eastAsia" w:hAnsi="宋体" w:eastAsia="宋体" w:cs="宋体"/>
          <w:b/>
          <w:color w:val="auto"/>
          <w:sz w:val="24"/>
          <w:szCs w:val="24"/>
          <w:highlight w:val="none"/>
        </w:rPr>
      </w:pPr>
      <w:r>
        <w:rPr>
          <w:rFonts w:hint="eastAsia" w:hAnsi="宋体" w:eastAsia="宋体" w:cs="宋体"/>
          <w:color w:val="auto"/>
          <w:sz w:val="24"/>
          <w:szCs w:val="24"/>
          <w:highlight w:val="none"/>
        </w:rPr>
        <w:t>8.1 质量标准</w:t>
      </w:r>
    </w:p>
    <w:p w14:paraId="5546E23B">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0CD66EAE">
      <w:pPr>
        <w:pStyle w:val="7"/>
        <w:adjustRightInd w:val="0"/>
        <w:snapToGrid w:val="0"/>
        <w:spacing w:line="360" w:lineRule="auto"/>
        <w:ind w:firstLine="480"/>
        <w:rPr>
          <w:rFonts w:hint="eastAsia" w:hAnsi="宋体" w:eastAsia="宋体" w:cs="宋体"/>
          <w:color w:val="auto"/>
          <w:sz w:val="24"/>
          <w:szCs w:val="24"/>
          <w:highlight w:val="none"/>
        </w:rPr>
      </w:pPr>
      <w:r>
        <w:rPr>
          <w:rFonts w:hint="eastAsia" w:hAnsi="宋体" w:eastAsia="宋体" w:cs="宋体"/>
          <w:color w:val="auto"/>
          <w:sz w:val="24"/>
          <w:szCs w:val="24"/>
          <w:highlight w:val="none"/>
        </w:rPr>
        <w:t>（2）采用中华人民共和国法定计量单位。</w:t>
      </w:r>
    </w:p>
    <w:p w14:paraId="08CAFFD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（3）乙方所提供的货物应符合国家有关安全、环保、卫生的规定。</w:t>
      </w:r>
    </w:p>
    <w:p w14:paraId="7FBF0345">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（4）乙方应向甲方提交所提供货物的技术文件，包括相应的中文技术文件，如：产品目录、图纸、操作手册、使用说明、维护手册或服务指南等。上述文件应包装好随货物一同发运。</w:t>
      </w:r>
    </w:p>
    <w:p w14:paraId="4E1994DD">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 保证</w:t>
      </w:r>
    </w:p>
    <w:p w14:paraId="3AB1AA9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规定或乙方书面承诺（两者以较长的为准）的质量保证期内，本保证保持有效。</w:t>
      </w:r>
    </w:p>
    <w:p w14:paraId="4B688AA3">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5D2ED67B">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237AF8CD">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（4）在质量保证期内，如果货物的质量或规格与合同不符，或证实货物是有缺陷的，包括潜在的缺陷或使用不符合要求的材料等，甲方可以追究乙方的违约责任。</w:t>
      </w:r>
    </w:p>
    <w:p w14:paraId="7C9DC223">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（5）乙方在约定的时间内未能弥补缺陷，甲方可采取必要的补救措施，但其风险和费用将由乙方承担，甲方根据合同约定对乙方行使的其他权利不受影响。</w:t>
      </w:r>
    </w:p>
    <w:p w14:paraId="5DAB32B1">
      <w:pPr>
        <w:adjustRightInd w:val="0"/>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 权利瑕疵担保</w:t>
      </w:r>
    </w:p>
    <w:p w14:paraId="0617D010">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 乙方保证对其出售的货物享有合法的权利。</w:t>
      </w:r>
    </w:p>
    <w:p w14:paraId="34AC11CB">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乙方保证在交付的货物上不存在抵押权等担保物权。</w:t>
      </w:r>
    </w:p>
    <w:p w14:paraId="3005A86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 如甲方使用上述货物构成对第三人侵权的，则由乙方承担全部责任。</w:t>
      </w:r>
    </w:p>
    <w:p w14:paraId="34BB0F7D">
      <w:pPr>
        <w:adjustRightInd w:val="0"/>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10. 知识产权保护</w:t>
      </w:r>
    </w:p>
    <w:p w14:paraId="54455F5F">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 乙方对其所销售的货物应当享有知识产权或经权利人合法授权，保证没有侵犯任何第三人的知识产权等权利。</w:t>
      </w:r>
      <w:bookmarkStart w:id="6" w:name="_Hlk163047038"/>
      <w:r>
        <w:rPr>
          <w:rFonts w:hint="eastAsia" w:ascii="宋体" w:hAnsi="宋体" w:eastAsia="宋体" w:cs="宋体"/>
          <w:color w:val="auto"/>
          <w:sz w:val="24"/>
          <w:szCs w:val="24"/>
          <w:highlight w:val="none"/>
        </w:rPr>
        <w:t>因违反前述约定对第三人构成侵权的，应当由乙方向第三人承担法律责任；甲方依法向第三人赔偿后，有权向乙方追偿。甲方有其他损失的，乙方应当赔偿</w:t>
      </w:r>
      <w:bookmarkEnd w:id="6"/>
      <w:r>
        <w:rPr>
          <w:rFonts w:hint="eastAsia" w:ascii="宋体" w:hAnsi="宋体" w:eastAsia="宋体" w:cs="宋体"/>
          <w:color w:val="auto"/>
          <w:sz w:val="24"/>
          <w:szCs w:val="24"/>
          <w:highlight w:val="none"/>
        </w:rPr>
        <w:t>。</w:t>
      </w:r>
    </w:p>
    <w:p w14:paraId="2FC64F5A">
      <w:pPr>
        <w:adjustRightInd w:val="0"/>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 保密义务</w:t>
      </w:r>
    </w:p>
    <w:p w14:paraId="44F5AA46">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中约定。</w:t>
      </w:r>
    </w:p>
    <w:p w14:paraId="23BE1DBB">
      <w:pPr>
        <w:adjustRightInd w:val="0"/>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12. 合同价款支付</w:t>
      </w:r>
    </w:p>
    <w:p w14:paraId="450CBA8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合同价款支付按照国库集中支付制度及财政管理相关规定执行。</w:t>
      </w:r>
    </w:p>
    <w:p w14:paraId="618CD40F">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中约定。</w:t>
      </w:r>
    </w:p>
    <w:p w14:paraId="0E00CC28">
      <w:pPr>
        <w:pStyle w:val="4"/>
        <w:spacing w:line="360" w:lineRule="auto"/>
        <w:ind w:firstLine="482"/>
        <w:jc w:val="left"/>
        <w:rPr>
          <w:rFonts w:hint="eastAsia" w:ascii="宋体" w:hAnsi="宋体" w:cs="宋体"/>
          <w:b/>
          <w:bCs/>
          <w:color w:val="auto"/>
          <w:sz w:val="24"/>
          <w:highlight w:val="none"/>
        </w:rPr>
      </w:pPr>
      <w:r>
        <w:rPr>
          <w:rFonts w:hint="eastAsia" w:ascii="宋体" w:hAnsi="宋体" w:cs="宋体"/>
          <w:b/>
          <w:bCs/>
          <w:color w:val="auto"/>
          <w:sz w:val="24"/>
          <w:highlight w:val="none"/>
        </w:rPr>
        <w:t>13. 履约保证金</w:t>
      </w:r>
    </w:p>
    <w:p w14:paraId="54E3C4C9">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乙方应当以支票、汇票、本票或者金融机构、担保机构出具的保函等非现金形式提交。</w:t>
      </w:r>
    </w:p>
    <w:p w14:paraId="36D93DF5">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如果乙方出现</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约定情形的，履约保证金不予退还；如果乙方未能按合同约定全面履行义务，甲方有权从履约保证金中取得补偿或赔偿，且不影响甲方要求乙方承担合同约定的超过履约保证金的违约责任的权利。</w:t>
      </w:r>
    </w:p>
    <w:p w14:paraId="4E35447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w:t>
      </w:r>
    </w:p>
    <w:p w14:paraId="110984D2">
      <w:pPr>
        <w:adjustRightInd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 xml:space="preserve">14. </w:t>
      </w:r>
      <w:r>
        <w:rPr>
          <w:rFonts w:hint="eastAsia" w:ascii="宋体" w:hAnsi="宋体" w:eastAsia="宋体" w:cs="宋体"/>
          <w:b/>
          <w:color w:val="auto"/>
          <w:sz w:val="24"/>
          <w:szCs w:val="24"/>
          <w:highlight w:val="none"/>
        </w:rPr>
        <w:t>售后服务</w:t>
      </w:r>
    </w:p>
    <w:p w14:paraId="4FFCC292">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除项目不涉及或采购活动中明确约定无须承担外，乙方还应提供下列服务：</w:t>
      </w:r>
    </w:p>
    <w:p w14:paraId="48258856">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3208534B">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2878D313">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（3）在制造商所在地或指定现场就货物的安装、启动、运营、维护、废弃处置等对甲方操作人员进行培训；</w:t>
      </w:r>
    </w:p>
    <w:p w14:paraId="7A9EFB58">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099DF5D0">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乙方提供的售后服务的费用已包含在合同价款中，甲方不再另行支付。</w:t>
      </w:r>
    </w:p>
    <w:p w14:paraId="46CE54D8">
      <w:pPr>
        <w:adjustRightInd w:val="0"/>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15. 不可抗力</w:t>
      </w:r>
    </w:p>
    <w:p w14:paraId="37F4503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 不可抗力是指合同双方不能预见、不能避免且不能克服的客观情况。</w:t>
      </w:r>
    </w:p>
    <w:p w14:paraId="712AE52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 任何一方对由于不可抗力造成的部分或全部不能履行合同不承担违约责任。但迟延履行后发生不可抗力的，不能免除责任。</w:t>
      </w:r>
    </w:p>
    <w:p w14:paraId="76B3B2F8">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5F0464C0">
      <w:pPr>
        <w:adjustRightInd w:val="0"/>
        <w:snapToGrid w:val="0"/>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16. 政府采购政策</w:t>
      </w:r>
    </w:p>
    <w:p w14:paraId="16A76990">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16.1 </w:t>
      </w:r>
      <w:r>
        <w:rPr>
          <w:rFonts w:hint="eastAsia" w:ascii="宋体" w:hAnsi="宋体" w:eastAsia="宋体" w:cs="宋体"/>
          <w:color w:val="auto"/>
          <w:sz w:val="24"/>
          <w:szCs w:val="24"/>
          <w:highlight w:val="none"/>
          <w:lang w:val="en-GB"/>
        </w:rPr>
        <w:t>本合同应当按照规定执行政府采购政策。</w:t>
      </w:r>
    </w:p>
    <w:p w14:paraId="5AB51586">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 本合同依法执行政府采购政策的方式和内容，属于合同履约验收的范围。甲乙双方</w:t>
      </w:r>
      <w:r>
        <w:rPr>
          <w:rFonts w:hint="eastAsia" w:ascii="宋体" w:hAnsi="宋体" w:eastAsia="宋体" w:cs="宋体"/>
          <w:color w:val="auto"/>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355A5808">
      <w:pPr>
        <w:pStyle w:val="4"/>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16.3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50C24D1B">
      <w:pPr>
        <w:adjustRightInd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17. 法律适用</w:t>
      </w:r>
    </w:p>
    <w:p w14:paraId="15E4AFFC">
      <w:pPr>
        <w:pStyle w:val="12"/>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 本合同的订立、生效、解释、履行及与本合同有关的争议解决，均适用法律、行政法规。</w:t>
      </w:r>
    </w:p>
    <w:p w14:paraId="7B7E34B1">
      <w:pPr>
        <w:pStyle w:val="12"/>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本合同条款与法律、行政法规的强制性规定不一致的，双方当事人应按照法律、行政法规的强制性规定修改本合同的相关条款。</w:t>
      </w:r>
    </w:p>
    <w:p w14:paraId="51A3111B">
      <w:pPr>
        <w:adjustRightInd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18. 通知</w:t>
      </w:r>
    </w:p>
    <w:p w14:paraId="36385ADD">
      <w:pPr>
        <w:pStyle w:val="12"/>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 本合同任何一方向对方发出的通知、信件、数据电文等，应当发送至本合同第一部分《政府采购合同协议书》所约定的通讯地址、联系人、联系电话或电子邮箱。</w:t>
      </w:r>
    </w:p>
    <w:p w14:paraId="374B8C84">
      <w:pPr>
        <w:pStyle w:val="12"/>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 一方当事人变更名称、住所、联系人、联系电话或电子邮箱等信息的，应当在变更后3日内及时书面通知对方，对方实际收到变更通知前的送达仍为有效送达。</w:t>
      </w:r>
    </w:p>
    <w:p w14:paraId="0053B082">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18.3本合同一方给另一方的通知均应采用书面形式，传真或快递送到本合同中规定的对方的地址和办理签收手续。</w:t>
      </w:r>
    </w:p>
    <w:p w14:paraId="66209E52">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18.4通知以送达之日或通知书中规定的生效之日起生效，两者中以较迟之日为准。</w:t>
      </w:r>
    </w:p>
    <w:p w14:paraId="3DDE2027">
      <w:pPr>
        <w:numPr>
          <w:ilvl w:val="0"/>
          <w:numId w:val="4"/>
        </w:numPr>
        <w:autoSpaceDE w:val="0"/>
        <w:autoSpaceDN w:val="0"/>
        <w:adjustRightInd w:val="0"/>
        <w:snapToGrid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2D21AE64">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19.1合同未尽事项见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7E181803">
      <w:pPr>
        <w:adjustRightInd w:val="0"/>
        <w:snapToGrid w:val="0"/>
        <w:spacing w:line="360" w:lineRule="auto"/>
        <w:ind w:firstLine="480" w:firstLineChars="200"/>
        <w:rPr>
          <w:rFonts w:hint="eastAsia" w:ascii="宋体" w:hAnsi="宋体" w:eastAsia="宋体" w:cs="宋体"/>
          <w:color w:val="auto"/>
          <w:sz w:val="24"/>
          <w:szCs w:val="24"/>
          <w:highlight w:val="none"/>
          <w:u w:val="single"/>
        </w:rPr>
        <w:sectPr>
          <w:pgSz w:w="11906" w:h="16838"/>
          <w:pgMar w:top="1440" w:right="1440" w:bottom="1440" w:left="1440" w:header="964" w:footer="992" w:gutter="0"/>
          <w:pgNumType w:fmt="decimal"/>
          <w:cols w:space="720" w:num="1"/>
          <w:docGrid w:type="lines" w:linePitch="312" w:charSpace="0"/>
        </w:sectPr>
      </w:pPr>
      <w:r>
        <w:rPr>
          <w:rFonts w:hint="eastAsia" w:ascii="宋体" w:hAnsi="宋体" w:eastAsia="宋体" w:cs="宋体"/>
          <w:bCs/>
          <w:color w:val="auto"/>
          <w:sz w:val="24"/>
          <w:szCs w:val="24"/>
          <w:highlight w:val="none"/>
        </w:rPr>
        <w:t>19.2 合同附件与合同正文具有同等的法律效力。</w:t>
      </w:r>
    </w:p>
    <w:p w14:paraId="06511C0C">
      <w:pPr>
        <w:pStyle w:val="2"/>
        <w:keepNext w:val="0"/>
        <w:keepLines w:val="0"/>
        <w:autoSpaceDE w:val="0"/>
        <w:autoSpaceDN w:val="0"/>
        <w:spacing w:before="156" w:beforeLines="50" w:after="156" w:afterLines="50"/>
        <w:ind w:firstLine="0" w:firstLineChars="0"/>
        <w:jc w:val="center"/>
        <w:rPr>
          <w:rFonts w:hint="eastAsia" w:ascii="宋体" w:hAnsi="宋体" w:eastAsia="宋体" w:cs="宋体"/>
          <w:color w:val="auto"/>
          <w:sz w:val="28"/>
          <w:szCs w:val="36"/>
          <w:highlight w:val="none"/>
        </w:rPr>
      </w:pPr>
      <w:bookmarkStart w:id="7" w:name="_Toc28632"/>
      <w:r>
        <w:rPr>
          <w:rFonts w:hint="eastAsia" w:ascii="宋体" w:hAnsi="宋体" w:eastAsia="宋体" w:cs="宋体"/>
          <w:color w:val="auto"/>
          <w:sz w:val="28"/>
          <w:szCs w:val="36"/>
          <w:highlight w:val="none"/>
        </w:rPr>
        <w:t xml:space="preserve">第三节 </w:t>
      </w:r>
      <w:bookmarkStart w:id="8" w:name="_Toc181559059"/>
      <w:r>
        <w:rPr>
          <w:rFonts w:hint="eastAsia" w:ascii="宋体" w:hAnsi="宋体" w:eastAsia="宋体" w:cs="宋体"/>
          <w:color w:val="auto"/>
          <w:sz w:val="28"/>
          <w:szCs w:val="36"/>
          <w:highlight w:val="none"/>
        </w:rPr>
        <w:t>政府采购合同专用条款</w:t>
      </w:r>
      <w:bookmarkEnd w:id="7"/>
      <w:bookmarkEnd w:id="8"/>
    </w:p>
    <w:tbl>
      <w:tblPr>
        <w:tblStyle w:val="10"/>
        <w:tblW w:w="9244"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895"/>
      </w:tblGrid>
      <w:tr w14:paraId="00C200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0EA4630D">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1F1BCF85">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第4.4款</w:t>
            </w:r>
          </w:p>
        </w:tc>
        <w:tc>
          <w:tcPr>
            <w:tcW w:w="1742" w:type="dxa"/>
            <w:noWrap w:val="0"/>
            <w:vAlign w:val="center"/>
          </w:tcPr>
          <w:p w14:paraId="3CFAE2A7">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履约验收中甲方提出异议或作出说明的期限</w:t>
            </w:r>
          </w:p>
        </w:tc>
        <w:tc>
          <w:tcPr>
            <w:tcW w:w="5895" w:type="dxa"/>
            <w:noWrap w:val="0"/>
            <w:vAlign w:val="center"/>
          </w:tcPr>
          <w:p w14:paraId="2B2ACC77">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如有异议，甲方在货到一个月内向乙方提出，乙方应在接到甲方异议的7天内做出书面答复，否则视为乙方同意甲方提出的异议和处理意见</w:t>
            </w:r>
          </w:p>
        </w:tc>
      </w:tr>
      <w:tr w14:paraId="4DB2D5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570F427A">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937DCE1">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第4.6款</w:t>
            </w:r>
          </w:p>
        </w:tc>
        <w:tc>
          <w:tcPr>
            <w:tcW w:w="1742" w:type="dxa"/>
            <w:noWrap w:val="0"/>
            <w:vAlign w:val="center"/>
          </w:tcPr>
          <w:p w14:paraId="3D0C517B">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约定甲方承担的其他义务和责任</w:t>
            </w:r>
          </w:p>
        </w:tc>
        <w:tc>
          <w:tcPr>
            <w:tcW w:w="5895" w:type="dxa"/>
            <w:noWrap w:val="0"/>
            <w:vAlign w:val="center"/>
          </w:tcPr>
          <w:p w14:paraId="05BAC8EE">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332174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6501277B">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E9E939F">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第5.4款</w:t>
            </w:r>
          </w:p>
        </w:tc>
        <w:tc>
          <w:tcPr>
            <w:tcW w:w="1742" w:type="dxa"/>
            <w:noWrap w:val="0"/>
            <w:vAlign w:val="center"/>
          </w:tcPr>
          <w:p w14:paraId="73EFFBA8">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约定乙方承担的其他义务和责任</w:t>
            </w:r>
          </w:p>
        </w:tc>
        <w:tc>
          <w:tcPr>
            <w:tcW w:w="5895" w:type="dxa"/>
            <w:noWrap w:val="0"/>
            <w:vAlign w:val="center"/>
          </w:tcPr>
          <w:p w14:paraId="03B36B80">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45B714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34D50932">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2344390D">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第6.1款</w:t>
            </w:r>
          </w:p>
        </w:tc>
        <w:tc>
          <w:tcPr>
            <w:tcW w:w="1742" w:type="dxa"/>
            <w:noWrap w:val="0"/>
            <w:vAlign w:val="center"/>
          </w:tcPr>
          <w:p w14:paraId="7A5A6864">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履行合同义务的顺序</w:t>
            </w:r>
          </w:p>
        </w:tc>
        <w:tc>
          <w:tcPr>
            <w:tcW w:w="5895" w:type="dxa"/>
            <w:noWrap w:val="0"/>
            <w:vAlign w:val="center"/>
          </w:tcPr>
          <w:p w14:paraId="45A78A72">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3EFD49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Merge w:val="restart"/>
            <w:noWrap w:val="0"/>
            <w:vAlign w:val="center"/>
          </w:tcPr>
          <w:p w14:paraId="461D0049">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3CBD6C5">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第7.1款</w:t>
            </w:r>
          </w:p>
        </w:tc>
        <w:tc>
          <w:tcPr>
            <w:tcW w:w="1742" w:type="dxa"/>
            <w:noWrap w:val="0"/>
            <w:vAlign w:val="center"/>
          </w:tcPr>
          <w:p w14:paraId="2145548C">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包装特殊要求</w:t>
            </w:r>
          </w:p>
        </w:tc>
        <w:tc>
          <w:tcPr>
            <w:tcW w:w="5895" w:type="dxa"/>
            <w:noWrap w:val="0"/>
            <w:vAlign w:val="center"/>
          </w:tcPr>
          <w:p w14:paraId="0D679CB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6C60E3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Merge w:val="continue"/>
            <w:noWrap w:val="0"/>
            <w:vAlign w:val="center"/>
          </w:tcPr>
          <w:p w14:paraId="02EE28D0">
            <w:pPr>
              <w:adjustRightInd w:val="0"/>
              <w:snapToGrid w:val="0"/>
              <w:spacing w:line="360" w:lineRule="auto"/>
              <w:jc w:val="center"/>
              <w:rPr>
                <w:rFonts w:hint="eastAsia" w:ascii="宋体" w:hAnsi="宋体" w:eastAsia="宋体" w:cs="宋体"/>
                <w:color w:val="auto"/>
                <w:sz w:val="24"/>
                <w:szCs w:val="24"/>
                <w:highlight w:val="none"/>
              </w:rPr>
            </w:pPr>
          </w:p>
        </w:tc>
        <w:tc>
          <w:tcPr>
            <w:tcW w:w="1742" w:type="dxa"/>
            <w:noWrap w:val="0"/>
            <w:vAlign w:val="center"/>
          </w:tcPr>
          <w:p w14:paraId="2D4AEF7B">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指定现场</w:t>
            </w:r>
          </w:p>
        </w:tc>
        <w:tc>
          <w:tcPr>
            <w:tcW w:w="5895" w:type="dxa"/>
            <w:noWrap w:val="0"/>
            <w:vAlign w:val="center"/>
          </w:tcPr>
          <w:p w14:paraId="7D830421">
            <w:pPr>
              <w:spacing w:line="360" w:lineRule="auto"/>
              <w:rPr>
                <w:rFonts w:hint="eastAsia" w:ascii="宋体" w:hAnsi="宋体" w:eastAsia="宋体" w:cs="宋体"/>
                <w:color w:val="auto"/>
                <w:sz w:val="24"/>
                <w:szCs w:val="24"/>
                <w:highlight w:val="none"/>
              </w:rPr>
            </w:pPr>
          </w:p>
        </w:tc>
      </w:tr>
      <w:tr w14:paraId="67D2FC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jc w:val="center"/>
        </w:trPr>
        <w:tc>
          <w:tcPr>
            <w:tcW w:w="1607" w:type="dxa"/>
            <w:noWrap w:val="0"/>
            <w:vAlign w:val="center"/>
          </w:tcPr>
          <w:p w14:paraId="4AC14762">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3A37EEEE">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第7.2款</w:t>
            </w:r>
          </w:p>
        </w:tc>
        <w:tc>
          <w:tcPr>
            <w:tcW w:w="1742" w:type="dxa"/>
            <w:noWrap w:val="0"/>
            <w:vAlign w:val="center"/>
          </w:tcPr>
          <w:p w14:paraId="7FD43835">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运输特殊要求</w:t>
            </w:r>
          </w:p>
        </w:tc>
        <w:tc>
          <w:tcPr>
            <w:tcW w:w="5895" w:type="dxa"/>
            <w:noWrap w:val="0"/>
            <w:vAlign w:val="center"/>
          </w:tcPr>
          <w:p w14:paraId="29F156A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6B9AE1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607" w:type="dxa"/>
            <w:noWrap w:val="0"/>
            <w:vAlign w:val="center"/>
          </w:tcPr>
          <w:p w14:paraId="566019B4">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90B1E9A">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第7.3款</w:t>
            </w:r>
          </w:p>
        </w:tc>
        <w:tc>
          <w:tcPr>
            <w:tcW w:w="1742" w:type="dxa"/>
            <w:noWrap w:val="0"/>
            <w:vAlign w:val="center"/>
          </w:tcPr>
          <w:p w14:paraId="52303246">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保险要求</w:t>
            </w:r>
          </w:p>
        </w:tc>
        <w:tc>
          <w:tcPr>
            <w:tcW w:w="5895" w:type="dxa"/>
            <w:noWrap w:val="0"/>
            <w:vAlign w:val="center"/>
          </w:tcPr>
          <w:p w14:paraId="2668369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560D12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122EBD86">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F53BC85">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第8.2（1）项</w:t>
            </w:r>
          </w:p>
        </w:tc>
        <w:tc>
          <w:tcPr>
            <w:tcW w:w="1742" w:type="dxa"/>
            <w:noWrap w:val="0"/>
            <w:vAlign w:val="center"/>
          </w:tcPr>
          <w:p w14:paraId="6540862E">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质量保证期</w:t>
            </w:r>
          </w:p>
        </w:tc>
        <w:tc>
          <w:tcPr>
            <w:tcW w:w="5895" w:type="dxa"/>
            <w:noWrap w:val="0"/>
            <w:vAlign w:val="center"/>
          </w:tcPr>
          <w:p w14:paraId="7286404F">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验收合格后</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年（以最终验收结果单据签订时间为准）</w:t>
            </w:r>
          </w:p>
        </w:tc>
      </w:tr>
      <w:tr w14:paraId="0A838E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6E4AADDA">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1217BD9">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第8.2（3）项</w:t>
            </w:r>
          </w:p>
        </w:tc>
        <w:tc>
          <w:tcPr>
            <w:tcW w:w="1742" w:type="dxa"/>
            <w:noWrap w:val="0"/>
            <w:vAlign w:val="center"/>
          </w:tcPr>
          <w:p w14:paraId="4DB50467">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货物质量缺陷</w:t>
            </w:r>
          </w:p>
          <w:p w14:paraId="009D5483">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响应时间</w:t>
            </w:r>
          </w:p>
        </w:tc>
        <w:tc>
          <w:tcPr>
            <w:tcW w:w="5895" w:type="dxa"/>
            <w:noWrap w:val="0"/>
            <w:vAlign w:val="center"/>
          </w:tcPr>
          <w:p w14:paraId="3C8974BA">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质保期内出现故障，接到甲方通知后，乙方</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小时内电话响应，</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24</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小时</w:t>
            </w:r>
            <w:r>
              <w:rPr>
                <w:rFonts w:hint="eastAsia" w:ascii="宋体" w:hAnsi="宋体" w:cs="宋体"/>
                <w:color w:val="auto"/>
                <w:sz w:val="24"/>
                <w:szCs w:val="24"/>
                <w:highlight w:val="none"/>
                <w:lang w:val="en-US" w:eastAsia="zh-CN"/>
              </w:rPr>
              <w:t>内</w:t>
            </w:r>
            <w:r>
              <w:rPr>
                <w:rFonts w:hint="eastAsia" w:ascii="宋体" w:hAnsi="宋体" w:eastAsia="宋体" w:cs="宋体"/>
                <w:color w:val="auto"/>
                <w:sz w:val="24"/>
                <w:szCs w:val="24"/>
                <w:highlight w:val="none"/>
              </w:rPr>
              <w:t>抵达现场。</w:t>
            </w:r>
          </w:p>
          <w:p w14:paraId="517DE389">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质保期外，乙方提供该设备终身维修服务，服务响应时间与质保期内保持一致。</w:t>
            </w:r>
          </w:p>
        </w:tc>
      </w:tr>
      <w:tr w14:paraId="035201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0AD933C9">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2A99DC3">
            <w:pPr>
              <w:pStyle w:val="12"/>
              <w:spacing w:line="36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第11.1款</w:t>
            </w:r>
          </w:p>
        </w:tc>
        <w:tc>
          <w:tcPr>
            <w:tcW w:w="1742" w:type="dxa"/>
            <w:noWrap w:val="0"/>
            <w:vAlign w:val="center"/>
          </w:tcPr>
          <w:p w14:paraId="3B779107">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其他应当保密的信息</w:t>
            </w:r>
          </w:p>
        </w:tc>
        <w:tc>
          <w:tcPr>
            <w:tcW w:w="5895" w:type="dxa"/>
            <w:noWrap w:val="0"/>
            <w:vAlign w:val="center"/>
          </w:tcPr>
          <w:p w14:paraId="31E7DC33">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包括但不限于技术情报、技术资料、商业秘密和商业信息等。</w:t>
            </w:r>
          </w:p>
        </w:tc>
      </w:tr>
      <w:tr w14:paraId="1476DB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noWrap w:val="0"/>
            <w:vAlign w:val="center"/>
          </w:tcPr>
          <w:p w14:paraId="7AED91BC">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27637B96">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第12.2款</w:t>
            </w:r>
          </w:p>
        </w:tc>
        <w:tc>
          <w:tcPr>
            <w:tcW w:w="1742" w:type="dxa"/>
            <w:noWrap w:val="0"/>
            <w:vAlign w:val="center"/>
          </w:tcPr>
          <w:p w14:paraId="7DC90C9D">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合同价款支付时间</w:t>
            </w:r>
          </w:p>
        </w:tc>
        <w:tc>
          <w:tcPr>
            <w:tcW w:w="5895" w:type="dxa"/>
            <w:noWrap w:val="0"/>
            <w:vAlign w:val="center"/>
          </w:tcPr>
          <w:p w14:paraId="6FFAAA71">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满足合同约定支付条件之日起30日内。</w:t>
            </w:r>
          </w:p>
        </w:tc>
      </w:tr>
      <w:tr w14:paraId="077D94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noWrap w:val="0"/>
            <w:vAlign w:val="center"/>
          </w:tcPr>
          <w:p w14:paraId="614BFB22">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2293DD58">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第13.2款</w:t>
            </w:r>
          </w:p>
        </w:tc>
        <w:tc>
          <w:tcPr>
            <w:tcW w:w="1742" w:type="dxa"/>
            <w:noWrap w:val="0"/>
            <w:vAlign w:val="center"/>
          </w:tcPr>
          <w:p w14:paraId="38EADD63">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履约保证金不予退还的情形</w:t>
            </w:r>
          </w:p>
        </w:tc>
        <w:tc>
          <w:tcPr>
            <w:tcW w:w="5895" w:type="dxa"/>
            <w:noWrap w:val="0"/>
            <w:vAlign w:val="center"/>
          </w:tcPr>
          <w:p w14:paraId="5D1C2AA2">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1.乙方不履行合同，履约保证金不予退还；</w:t>
            </w:r>
          </w:p>
          <w:p w14:paraId="140A2674">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2.乙方未能按合同约定全面履行业务，甲方有权从履约保证金中取得补偿或赔偿，给甲方造成的损失超过履约保证金数额的，还应当对超过部分予以赔偿。</w:t>
            </w:r>
          </w:p>
        </w:tc>
      </w:tr>
      <w:tr w14:paraId="229B10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52" w:hRule="atLeast"/>
          <w:jc w:val="center"/>
        </w:trPr>
        <w:tc>
          <w:tcPr>
            <w:tcW w:w="1607" w:type="dxa"/>
            <w:noWrap w:val="0"/>
            <w:vAlign w:val="center"/>
          </w:tcPr>
          <w:p w14:paraId="2A649C7D">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4298211">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第13.3款</w:t>
            </w:r>
          </w:p>
        </w:tc>
        <w:tc>
          <w:tcPr>
            <w:tcW w:w="1742" w:type="dxa"/>
            <w:noWrap w:val="0"/>
            <w:vAlign w:val="center"/>
          </w:tcPr>
          <w:p w14:paraId="47C684B3">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履约保证金退还时间</w:t>
            </w:r>
          </w:p>
        </w:tc>
        <w:tc>
          <w:tcPr>
            <w:tcW w:w="5895" w:type="dxa"/>
            <w:noWrap w:val="0"/>
            <w:vAlign w:val="center"/>
          </w:tcPr>
          <w:p w14:paraId="6C2D13EC">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乙方完成其合同义务包括任何保证义务至质保期结束无质量问题之日起7个工作日内，退还乙方履约保证金。</w:t>
            </w:r>
          </w:p>
        </w:tc>
      </w:tr>
      <w:tr w14:paraId="31B2AF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35" w:hRule="atLeast"/>
          <w:jc w:val="center"/>
        </w:trPr>
        <w:tc>
          <w:tcPr>
            <w:tcW w:w="1607" w:type="dxa"/>
            <w:noWrap w:val="0"/>
            <w:vAlign w:val="center"/>
          </w:tcPr>
          <w:p w14:paraId="3DD0059E">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EDA265E">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第14.1（4）项</w:t>
            </w:r>
          </w:p>
        </w:tc>
        <w:tc>
          <w:tcPr>
            <w:tcW w:w="1742" w:type="dxa"/>
            <w:noWrap w:val="0"/>
            <w:vAlign w:val="center"/>
          </w:tcPr>
          <w:p w14:paraId="28014C07">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乙方提供的其他服务</w:t>
            </w:r>
          </w:p>
        </w:tc>
        <w:tc>
          <w:tcPr>
            <w:tcW w:w="5895" w:type="dxa"/>
            <w:noWrap w:val="0"/>
            <w:vAlign w:val="center"/>
          </w:tcPr>
          <w:p w14:paraId="7806574C">
            <w:pPr>
              <w:adjustRightInd w:val="0"/>
              <w:snapToGrid w:val="0"/>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质保期内，乙方应对货物及主要部件、配件维修更换，对货物（人为故意损坏除外）提供全免费保修或免费更换；如出现故障，乙方应在接到通知后</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小时内响应，</w:t>
            </w:r>
            <w:r>
              <w:rPr>
                <w:rFonts w:hint="eastAsia" w:ascii="宋体" w:hAnsi="宋体" w:eastAsia="宋体" w:cs="宋体"/>
                <w:color w:val="auto"/>
                <w:sz w:val="24"/>
                <w:szCs w:val="24"/>
                <w:highlight w:val="none"/>
                <w:u w:val="single"/>
              </w:rPr>
              <w:t xml:space="preserve">   </w:t>
            </w:r>
          </w:p>
          <w:p w14:paraId="2B82F1CB">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24</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小时内抵达现场进行维修，若问题、故障在检修</w:t>
            </w:r>
            <w:r>
              <w:rPr>
                <w:rFonts w:hint="eastAsia" w:ascii="宋体" w:hAnsi="宋体" w:cs="宋体"/>
                <w:color w:val="auto"/>
                <w:sz w:val="24"/>
                <w:szCs w:val="24"/>
                <w:highlight w:val="none"/>
                <w:lang w:val="en-US" w:eastAsia="zh-CN"/>
              </w:rPr>
              <w:t>36</w:t>
            </w:r>
            <w:r>
              <w:rPr>
                <w:rFonts w:hint="eastAsia" w:ascii="宋体" w:hAnsi="宋体" w:eastAsia="宋体" w:cs="宋体"/>
                <w:color w:val="auto"/>
                <w:sz w:val="24"/>
                <w:szCs w:val="24"/>
                <w:highlight w:val="none"/>
              </w:rPr>
              <w:t>小时内仍无法解决，乙方应在</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个工作日内免费提供不低于故障货物规格型号档次的备用货物供甲方使用，直至故障货物修复，期间产生的所有费用均由乙方承担。更换的全新配件在使用期间的质保及售后均按本合同执行。</w:t>
            </w:r>
          </w:p>
          <w:p w14:paraId="6A34DCE0">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质保期外，乙方应提供货物（设备）的终身维修服务，服务响应时间与质保期内保持一致，质保期外只收取甲方零配件成本费，其他免费。</w:t>
            </w:r>
          </w:p>
        </w:tc>
      </w:tr>
      <w:tr w14:paraId="4A3F8A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453E6DE4">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BC90463">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第19.1款</w:t>
            </w:r>
          </w:p>
        </w:tc>
        <w:tc>
          <w:tcPr>
            <w:tcW w:w="1742" w:type="dxa"/>
            <w:noWrap w:val="0"/>
            <w:vAlign w:val="center"/>
          </w:tcPr>
          <w:p w14:paraId="0B97597B">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其他专用条款</w:t>
            </w:r>
          </w:p>
        </w:tc>
        <w:tc>
          <w:tcPr>
            <w:tcW w:w="5895" w:type="dxa"/>
            <w:noWrap w:val="0"/>
            <w:vAlign w:val="center"/>
          </w:tcPr>
          <w:p w14:paraId="7769A819">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项目管理服务：乙方应指定不少于一人全权全程负责本项目的商务服务，以及货物安装、调试、咨询、培训和售后等技术服务工作。（如发生变更应及时书面通知甲方）</w:t>
            </w:r>
          </w:p>
          <w:p w14:paraId="206994EB">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丁安明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13971589398</w:t>
            </w:r>
            <w:r>
              <w:rPr>
                <w:rFonts w:hint="eastAsia" w:ascii="宋体" w:hAnsi="宋体" w:eastAsia="宋体" w:cs="宋体"/>
                <w:color w:val="auto"/>
                <w:sz w:val="24"/>
                <w:szCs w:val="24"/>
                <w:highlight w:val="none"/>
                <w:u w:val="single"/>
              </w:rPr>
              <w:t xml:space="preserve"> </w:t>
            </w:r>
          </w:p>
        </w:tc>
      </w:tr>
    </w:tbl>
    <w:p w14:paraId="40DB534F">
      <w:pPr>
        <w:rPr>
          <w:rFonts w:hint="eastAsia"/>
        </w:rPr>
        <w:sectPr>
          <w:footerReference r:id="rId4" w:type="default"/>
          <w:pgSz w:w="11906" w:h="16838"/>
          <w:pgMar w:top="1440" w:right="1440" w:bottom="1440" w:left="1440" w:header="964" w:footer="992" w:gutter="0"/>
          <w:pgNumType w:fmt="decimal"/>
          <w:cols w:space="720" w:num="1"/>
          <w:docGrid w:type="lines" w:linePitch="312" w:charSpace="0"/>
        </w:sectPr>
      </w:pPr>
    </w:p>
    <w:p w14:paraId="2A8BCBCD">
      <w:pPr>
        <w:rPr>
          <w:rFonts w:hint="eastAsia"/>
          <w:lang w:val="en-US" w:eastAsia="zh-CN"/>
        </w:rPr>
      </w:pPr>
      <w:r>
        <w:rPr>
          <w:rFonts w:hint="eastAsia"/>
          <w:lang w:val="en-US" w:eastAsia="zh-CN"/>
        </w:rPr>
        <w:t>附近1：</w:t>
      </w:r>
    </w:p>
    <w:p w14:paraId="1CC49011">
      <w:pPr>
        <w:rPr>
          <w:rFonts w:hint="default"/>
          <w:lang w:val="en-US" w:eastAsia="zh-CN"/>
        </w:rPr>
      </w:pPr>
      <w:bookmarkStart w:id="9" w:name="_Toc19222"/>
      <w:r>
        <w:rPr>
          <w:rFonts w:hint="default"/>
          <w:lang w:val="en-US" w:eastAsia="zh-CN"/>
        </w:rPr>
        <w:t>2.1开标一览表</w:t>
      </w:r>
      <w:bookmarkEnd w:id="9"/>
    </w:p>
    <w:tbl>
      <w:tblPr>
        <w:tblStyle w:val="10"/>
        <w:tblW w:w="844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8"/>
        <w:gridCol w:w="6381"/>
      </w:tblGrid>
      <w:tr w14:paraId="74AAF25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068" w:type="dxa"/>
            <w:noWrap w:val="0"/>
            <w:vAlign w:val="center"/>
          </w:tcPr>
          <w:p w14:paraId="6FDF5552">
            <w:pPr>
              <w:rPr>
                <w:rFonts w:hint="default"/>
                <w:lang w:val="en-US" w:eastAsia="zh-CN"/>
              </w:rPr>
            </w:pPr>
            <w:r>
              <w:rPr>
                <w:rFonts w:hint="default"/>
                <w:lang w:val="en-US" w:eastAsia="zh-CN"/>
              </w:rPr>
              <w:t>项目名称</w:t>
            </w:r>
          </w:p>
        </w:tc>
        <w:tc>
          <w:tcPr>
            <w:tcW w:w="6381" w:type="dxa"/>
            <w:noWrap w:val="0"/>
            <w:vAlign w:val="center"/>
          </w:tcPr>
          <w:p w14:paraId="5647C448">
            <w:pPr>
              <w:rPr>
                <w:rFonts w:hint="default"/>
                <w:lang w:val="en-US" w:eastAsia="zh-CN"/>
              </w:rPr>
            </w:pPr>
            <w:r>
              <w:rPr>
                <w:rFonts w:hint="default"/>
                <w:lang w:val="en-US" w:eastAsia="zh-CN"/>
              </w:rPr>
              <w:t>河南省科学院智慧创制研究所面向精准合成的无水无氧化学洁净智能实验平台探索项目（一期）</w:t>
            </w:r>
          </w:p>
        </w:tc>
      </w:tr>
      <w:tr w14:paraId="460E2EC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2068" w:type="dxa"/>
            <w:noWrap w:val="0"/>
            <w:vAlign w:val="center"/>
          </w:tcPr>
          <w:p w14:paraId="0787D2E1">
            <w:pPr>
              <w:rPr>
                <w:rFonts w:hint="default"/>
                <w:lang w:val="en-US" w:eastAsia="zh-CN"/>
              </w:rPr>
            </w:pPr>
            <w:r>
              <w:rPr>
                <w:rFonts w:hint="default"/>
                <w:lang w:val="en-US" w:eastAsia="zh-CN"/>
              </w:rPr>
              <w:t>项目编号</w:t>
            </w:r>
          </w:p>
        </w:tc>
        <w:tc>
          <w:tcPr>
            <w:tcW w:w="6381" w:type="dxa"/>
            <w:noWrap w:val="0"/>
            <w:vAlign w:val="center"/>
          </w:tcPr>
          <w:p w14:paraId="57FD3FD0">
            <w:pPr>
              <w:rPr>
                <w:rFonts w:hint="default"/>
                <w:lang w:val="en-US" w:eastAsia="zh-CN"/>
              </w:rPr>
            </w:pPr>
            <w:r>
              <w:rPr>
                <w:rFonts w:hint="default"/>
                <w:lang w:val="en-US" w:eastAsia="zh-CN"/>
              </w:rPr>
              <w:t>豫财招标采购-2025-1218</w:t>
            </w:r>
          </w:p>
        </w:tc>
      </w:tr>
      <w:tr w14:paraId="7E08633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068" w:type="dxa"/>
            <w:noWrap w:val="0"/>
            <w:vAlign w:val="center"/>
          </w:tcPr>
          <w:p w14:paraId="329F53B4">
            <w:pPr>
              <w:rPr>
                <w:rFonts w:hint="default"/>
                <w:lang w:val="en-US" w:eastAsia="zh-CN"/>
              </w:rPr>
            </w:pPr>
            <w:r>
              <w:rPr>
                <w:rFonts w:hint="default"/>
                <w:lang w:val="en-US" w:eastAsia="zh-CN"/>
              </w:rPr>
              <w:t>投标范围</w:t>
            </w:r>
          </w:p>
        </w:tc>
        <w:tc>
          <w:tcPr>
            <w:tcW w:w="6381" w:type="dxa"/>
            <w:noWrap w:val="0"/>
            <w:vAlign w:val="center"/>
          </w:tcPr>
          <w:p w14:paraId="37670F90">
            <w:pPr>
              <w:rPr>
                <w:rFonts w:hint="default"/>
                <w:lang w:val="en-US" w:eastAsia="zh-CN"/>
              </w:rPr>
            </w:pPr>
            <w:r>
              <w:rPr>
                <w:rFonts w:hint="default"/>
                <w:lang w:val="en-US" w:eastAsia="zh-CN"/>
              </w:rPr>
              <w:t xml:space="preserve">响应招标文件规定 </w:t>
            </w:r>
          </w:p>
        </w:tc>
      </w:tr>
      <w:tr w14:paraId="6B2A90F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2068" w:type="dxa"/>
            <w:noWrap w:val="0"/>
            <w:vAlign w:val="center"/>
          </w:tcPr>
          <w:p w14:paraId="409A425A">
            <w:pPr>
              <w:rPr>
                <w:rFonts w:hint="default"/>
                <w:lang w:val="en-US" w:eastAsia="zh-CN"/>
              </w:rPr>
            </w:pPr>
            <w:r>
              <w:rPr>
                <w:rFonts w:hint="default"/>
                <w:lang w:val="en-US" w:eastAsia="zh-CN"/>
              </w:rPr>
              <w:t xml:space="preserve">投标报价 </w:t>
            </w:r>
          </w:p>
        </w:tc>
        <w:tc>
          <w:tcPr>
            <w:tcW w:w="6381" w:type="dxa"/>
            <w:noWrap w:val="0"/>
            <w:vAlign w:val="center"/>
          </w:tcPr>
          <w:p w14:paraId="5A96F7A4">
            <w:pPr>
              <w:rPr>
                <w:rFonts w:hint="default"/>
                <w:lang w:val="en-US" w:eastAsia="zh-CN"/>
              </w:rPr>
            </w:pPr>
            <w:r>
              <w:rPr>
                <w:rFonts w:hint="default"/>
                <w:lang w:val="en-US" w:eastAsia="zh-CN"/>
              </w:rPr>
              <w:t>大写： 贰佰肆拾叁万元整   （人民币）</w:t>
            </w:r>
          </w:p>
          <w:p w14:paraId="73A36EC4">
            <w:pPr>
              <w:rPr>
                <w:rFonts w:hint="default"/>
                <w:lang w:val="en-US" w:eastAsia="zh-CN"/>
              </w:rPr>
            </w:pPr>
            <w:r>
              <w:rPr>
                <w:rFonts w:hint="default"/>
                <w:lang w:val="en-US" w:eastAsia="zh-CN"/>
              </w:rPr>
              <w:t>小写：¥ 2430000.00 元</w:t>
            </w:r>
          </w:p>
        </w:tc>
      </w:tr>
      <w:tr w14:paraId="07A6A90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2068" w:type="dxa"/>
            <w:noWrap w:val="0"/>
            <w:vAlign w:val="center"/>
          </w:tcPr>
          <w:p w14:paraId="35A89E74">
            <w:pPr>
              <w:rPr>
                <w:rFonts w:hint="default"/>
                <w:lang w:val="en-US" w:eastAsia="zh-CN"/>
              </w:rPr>
            </w:pPr>
            <w:r>
              <w:rPr>
                <w:rFonts w:hint="default"/>
                <w:lang w:val="en-US" w:eastAsia="zh-CN"/>
              </w:rPr>
              <w:t>交付时间</w:t>
            </w:r>
          </w:p>
        </w:tc>
        <w:tc>
          <w:tcPr>
            <w:tcW w:w="6381" w:type="dxa"/>
            <w:noWrap w:val="0"/>
            <w:vAlign w:val="center"/>
          </w:tcPr>
          <w:p w14:paraId="24BB2076">
            <w:pPr>
              <w:rPr>
                <w:rFonts w:hint="default"/>
                <w:lang w:val="en-US" w:eastAsia="zh-CN"/>
              </w:rPr>
            </w:pPr>
            <w:r>
              <w:rPr>
                <w:rFonts w:hint="default"/>
                <w:lang w:val="en-US" w:eastAsia="zh-CN"/>
              </w:rPr>
              <w:t>以采购人发出发货通知之日起</w:t>
            </w:r>
            <w:r>
              <w:rPr>
                <w:rFonts w:hint="eastAsia"/>
                <w:lang w:val="en-US" w:eastAsia="zh-CN"/>
              </w:rPr>
              <w:t>15</w:t>
            </w:r>
            <w:r>
              <w:rPr>
                <w:rFonts w:hint="default"/>
                <w:lang w:val="en-US" w:eastAsia="zh-CN"/>
              </w:rPr>
              <w:t>日历天内完成供货安装调试</w:t>
            </w:r>
          </w:p>
        </w:tc>
      </w:tr>
      <w:tr w14:paraId="734A5EC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2068" w:type="dxa"/>
            <w:noWrap w:val="0"/>
            <w:vAlign w:val="center"/>
          </w:tcPr>
          <w:p w14:paraId="5E7E949F">
            <w:pPr>
              <w:rPr>
                <w:rFonts w:hint="default"/>
                <w:lang w:val="en-US" w:eastAsia="zh-CN"/>
              </w:rPr>
            </w:pPr>
            <w:r>
              <w:rPr>
                <w:rFonts w:hint="default"/>
                <w:lang w:val="en-US" w:eastAsia="zh-CN"/>
              </w:rPr>
              <w:t>交货地点</w:t>
            </w:r>
          </w:p>
        </w:tc>
        <w:tc>
          <w:tcPr>
            <w:tcW w:w="6381" w:type="dxa"/>
            <w:noWrap w:val="0"/>
            <w:vAlign w:val="center"/>
          </w:tcPr>
          <w:p w14:paraId="67A33099">
            <w:pPr>
              <w:rPr>
                <w:rFonts w:hint="default"/>
                <w:lang w:val="en-US" w:eastAsia="zh-CN"/>
              </w:rPr>
            </w:pPr>
            <w:r>
              <w:rPr>
                <w:rFonts w:hint="default"/>
                <w:lang w:val="en-US" w:eastAsia="zh-CN"/>
              </w:rPr>
              <w:t>河南省郑州市航空港经济综合实验区工业五街与鹤首北路交叉口西北角</w:t>
            </w:r>
          </w:p>
        </w:tc>
      </w:tr>
      <w:tr w14:paraId="1B80EC3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068" w:type="dxa"/>
            <w:noWrap w:val="0"/>
            <w:vAlign w:val="center"/>
          </w:tcPr>
          <w:p w14:paraId="038C1738">
            <w:pPr>
              <w:rPr>
                <w:rFonts w:hint="default"/>
                <w:lang w:val="en-US" w:eastAsia="zh-CN"/>
              </w:rPr>
            </w:pPr>
            <w:r>
              <w:rPr>
                <w:rFonts w:hint="default"/>
                <w:lang w:val="en-US" w:eastAsia="zh-CN"/>
              </w:rPr>
              <w:t>质量要求</w:t>
            </w:r>
          </w:p>
        </w:tc>
        <w:tc>
          <w:tcPr>
            <w:tcW w:w="6381" w:type="dxa"/>
            <w:noWrap w:val="0"/>
            <w:vAlign w:val="center"/>
          </w:tcPr>
          <w:p w14:paraId="28325CCB">
            <w:pPr>
              <w:rPr>
                <w:rFonts w:hint="default"/>
                <w:lang w:val="en-US" w:eastAsia="zh-CN"/>
              </w:rPr>
            </w:pPr>
            <w:r>
              <w:rPr>
                <w:rFonts w:hint="default"/>
                <w:lang w:val="en-US" w:eastAsia="zh-CN"/>
              </w:rPr>
              <w:t>符合国家现行验收规范和标准，满足采购人的相关要求</w:t>
            </w:r>
          </w:p>
        </w:tc>
      </w:tr>
      <w:tr w14:paraId="00A6A13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068" w:type="dxa"/>
            <w:noWrap w:val="0"/>
            <w:vAlign w:val="center"/>
          </w:tcPr>
          <w:p w14:paraId="5C45B34E">
            <w:pPr>
              <w:rPr>
                <w:rFonts w:hint="default"/>
                <w:lang w:val="en-US" w:eastAsia="zh-CN"/>
              </w:rPr>
            </w:pPr>
            <w:r>
              <w:rPr>
                <w:rFonts w:hint="default"/>
                <w:lang w:val="en-US" w:eastAsia="zh-CN"/>
              </w:rPr>
              <w:t>质保期</w:t>
            </w:r>
          </w:p>
        </w:tc>
        <w:tc>
          <w:tcPr>
            <w:tcW w:w="6381" w:type="dxa"/>
            <w:noWrap w:val="0"/>
            <w:vAlign w:val="center"/>
          </w:tcPr>
          <w:p w14:paraId="47F191B6">
            <w:pPr>
              <w:rPr>
                <w:rFonts w:hint="default"/>
                <w:lang w:val="en-US" w:eastAsia="zh-CN"/>
              </w:rPr>
            </w:pPr>
            <w:r>
              <w:rPr>
                <w:rFonts w:hint="default"/>
                <w:lang w:val="en-US" w:eastAsia="zh-CN"/>
              </w:rPr>
              <w:t>自通过最终验收之日算起</w:t>
            </w:r>
            <w:r>
              <w:rPr>
                <w:rFonts w:hint="eastAsia"/>
                <w:lang w:val="en-US" w:eastAsia="zh-CN"/>
              </w:rPr>
              <w:t>4</w:t>
            </w:r>
            <w:r>
              <w:rPr>
                <w:rFonts w:hint="default"/>
                <w:lang w:val="en-US" w:eastAsia="zh-CN"/>
              </w:rPr>
              <w:t>年</w:t>
            </w:r>
          </w:p>
        </w:tc>
      </w:tr>
      <w:tr w14:paraId="4F74A3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068" w:type="dxa"/>
            <w:noWrap w:val="0"/>
            <w:vAlign w:val="center"/>
          </w:tcPr>
          <w:p w14:paraId="1473B0AF">
            <w:pPr>
              <w:rPr>
                <w:rFonts w:hint="default"/>
                <w:lang w:val="en-US" w:eastAsia="zh-CN"/>
              </w:rPr>
            </w:pPr>
            <w:r>
              <w:rPr>
                <w:rFonts w:hint="default"/>
                <w:lang w:val="en-US" w:eastAsia="zh-CN"/>
              </w:rPr>
              <w:t>投标有效期</w:t>
            </w:r>
          </w:p>
        </w:tc>
        <w:tc>
          <w:tcPr>
            <w:tcW w:w="6381" w:type="dxa"/>
            <w:noWrap w:val="0"/>
            <w:vAlign w:val="center"/>
          </w:tcPr>
          <w:p w14:paraId="40784E5D">
            <w:pPr>
              <w:rPr>
                <w:rFonts w:hint="default"/>
                <w:lang w:val="en-US" w:eastAsia="zh-CN"/>
              </w:rPr>
            </w:pPr>
            <w:r>
              <w:rPr>
                <w:rFonts w:hint="default"/>
                <w:lang w:val="en-US" w:eastAsia="zh-CN"/>
              </w:rPr>
              <w:t>递交投标文件截止时间起90日历天</w:t>
            </w:r>
          </w:p>
        </w:tc>
      </w:tr>
      <w:tr w14:paraId="7E9ECA9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2068" w:type="dxa"/>
            <w:noWrap w:val="0"/>
            <w:vAlign w:val="center"/>
          </w:tcPr>
          <w:p w14:paraId="0E6EB128">
            <w:pPr>
              <w:rPr>
                <w:rFonts w:hint="default"/>
                <w:lang w:val="en-US" w:eastAsia="zh-CN"/>
              </w:rPr>
            </w:pPr>
            <w:r>
              <w:rPr>
                <w:rFonts w:hint="default"/>
                <w:lang w:val="en-US" w:eastAsia="zh-CN"/>
              </w:rPr>
              <w:t>付款方式</w:t>
            </w:r>
          </w:p>
        </w:tc>
        <w:tc>
          <w:tcPr>
            <w:tcW w:w="6381" w:type="dxa"/>
            <w:noWrap w:val="0"/>
            <w:vAlign w:val="center"/>
          </w:tcPr>
          <w:p w14:paraId="1BBBCAFD">
            <w:pPr>
              <w:rPr>
                <w:rFonts w:hint="default"/>
                <w:lang w:val="en-US" w:eastAsia="zh-CN"/>
              </w:rPr>
            </w:pPr>
            <w:r>
              <w:rPr>
                <w:rFonts w:hint="default"/>
                <w:lang w:val="en-US" w:eastAsia="zh-CN"/>
              </w:rPr>
              <w:t>合同签订后15日内</w:t>
            </w:r>
            <w:r>
              <w:rPr>
                <w:rFonts w:hint="eastAsia"/>
                <w:lang w:val="en-US" w:eastAsia="zh-CN"/>
              </w:rPr>
              <w:t>，</w:t>
            </w:r>
            <w:r>
              <w:rPr>
                <w:rFonts w:hint="default"/>
                <w:lang w:val="en-US" w:eastAsia="zh-CN"/>
              </w:rPr>
              <w:t>由中标人提供本合同金额</w:t>
            </w:r>
            <w:r>
              <w:rPr>
                <w:rFonts w:hint="eastAsia"/>
                <w:lang w:val="en-US" w:eastAsia="zh-CN"/>
              </w:rPr>
              <w:t>1</w:t>
            </w:r>
            <w:r>
              <w:rPr>
                <w:rFonts w:hint="default"/>
                <w:lang w:val="en-US" w:eastAsia="zh-CN"/>
              </w:rPr>
              <w:t>0%的预付款保函（银行保函形式、有效期至采购人收货后），采购人收到预付款保函、合同备案通过后一个月内，支付合同总额</w:t>
            </w:r>
            <w:r>
              <w:rPr>
                <w:rFonts w:hint="eastAsia"/>
                <w:lang w:val="en-US" w:eastAsia="zh-CN"/>
              </w:rPr>
              <w:t>1</w:t>
            </w:r>
            <w:r>
              <w:rPr>
                <w:rFonts w:hint="default"/>
                <w:lang w:val="en-US" w:eastAsia="zh-CN"/>
              </w:rPr>
              <w:t>0%作为预付款给中标人，同时中标人向采购人开具预付款收据；</w:t>
            </w:r>
          </w:p>
          <w:p w14:paraId="7528D3D4">
            <w:pPr>
              <w:rPr>
                <w:rFonts w:hint="default"/>
                <w:lang w:val="en-US" w:eastAsia="zh-CN"/>
              </w:rPr>
            </w:pPr>
            <w:r>
              <w:rPr>
                <w:rFonts w:hint="default"/>
                <w:lang w:val="en-US" w:eastAsia="zh-CN"/>
              </w:rPr>
              <w:t>全部到货后，采购人支付至合同金额的</w:t>
            </w:r>
            <w:r>
              <w:rPr>
                <w:rFonts w:hint="eastAsia"/>
                <w:lang w:val="en-US" w:eastAsia="zh-CN"/>
              </w:rPr>
              <w:t>3</w:t>
            </w:r>
            <w:r>
              <w:rPr>
                <w:rFonts w:hint="default"/>
                <w:lang w:val="en-US" w:eastAsia="zh-CN"/>
              </w:rPr>
              <w:t>0%；</w:t>
            </w:r>
          </w:p>
          <w:p w14:paraId="24BD8891">
            <w:pPr>
              <w:rPr>
                <w:rFonts w:hint="default"/>
                <w:lang w:val="en-US" w:eastAsia="zh-CN"/>
              </w:rPr>
            </w:pPr>
            <w:r>
              <w:rPr>
                <w:rFonts w:hint="eastAsia"/>
                <w:lang w:val="en-US" w:eastAsia="zh-CN"/>
              </w:rPr>
              <w:t>初步</w:t>
            </w:r>
            <w:r>
              <w:rPr>
                <w:rFonts w:hint="default"/>
                <w:lang w:val="en-US" w:eastAsia="zh-CN"/>
              </w:rPr>
              <w:t>验收合格后，采购人支付至合同金额的</w:t>
            </w:r>
            <w:r>
              <w:rPr>
                <w:rFonts w:hint="eastAsia"/>
                <w:lang w:val="en-US" w:eastAsia="zh-CN"/>
              </w:rPr>
              <w:t>8</w:t>
            </w:r>
            <w:r>
              <w:rPr>
                <w:rFonts w:hint="default"/>
                <w:lang w:val="en-US" w:eastAsia="zh-CN"/>
              </w:rPr>
              <w:t>0%；</w:t>
            </w:r>
          </w:p>
          <w:p w14:paraId="3B8352B7">
            <w:pPr>
              <w:rPr>
                <w:rFonts w:hint="default"/>
                <w:lang w:val="en-US" w:eastAsia="zh-CN"/>
              </w:rPr>
            </w:pPr>
            <w:r>
              <w:rPr>
                <w:rFonts w:hint="default"/>
                <w:lang w:val="en-US" w:eastAsia="zh-CN"/>
              </w:rPr>
              <w:t>终验或综合联调合格之日起15日内，按照合同金额的100%向采购人开具发票，采购人收到全额发票30日内支付至合同总额的100%给中标人并退还中标人预付款保函，在中标人完成其合同义务包括任何保证义务至质保期结束无质量问题，退还中标人履约保证金（银行保函）；</w:t>
            </w:r>
          </w:p>
          <w:p w14:paraId="6DA73A4B">
            <w:pPr>
              <w:rPr>
                <w:rFonts w:hint="default"/>
                <w:lang w:val="en-US" w:eastAsia="zh-CN"/>
              </w:rPr>
            </w:pPr>
            <w:r>
              <w:rPr>
                <w:rFonts w:hint="default"/>
                <w:lang w:val="en-US" w:eastAsia="zh-CN"/>
              </w:rPr>
              <w:t>如中标人未开具预付款保函，视为放弃预付款。</w:t>
            </w:r>
          </w:p>
          <w:p w14:paraId="4B9E4114">
            <w:pPr>
              <w:rPr>
                <w:rFonts w:hint="default"/>
                <w:lang w:val="en-US" w:eastAsia="zh-CN"/>
              </w:rPr>
            </w:pPr>
            <w:r>
              <w:rPr>
                <w:rFonts w:hint="default"/>
                <w:lang w:val="en-US" w:eastAsia="zh-CN"/>
              </w:rPr>
              <w:t>注：因采购人单位性质，需要按照国家、省级项目资金支付规定执行，中标人应对此清楚知晓，采购人尽量保证按照本协议约定履行义务，如因以上原因导致无法按时支付款项的，中标人承诺不追究采购人违约责任。</w:t>
            </w:r>
          </w:p>
        </w:tc>
      </w:tr>
      <w:tr w14:paraId="3CEE8EB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2068" w:type="dxa"/>
            <w:noWrap w:val="0"/>
            <w:vAlign w:val="center"/>
          </w:tcPr>
          <w:p w14:paraId="0C784038">
            <w:pPr>
              <w:rPr>
                <w:rFonts w:hint="default"/>
                <w:lang w:val="en-US" w:eastAsia="zh-CN"/>
              </w:rPr>
            </w:pPr>
            <w:r>
              <w:rPr>
                <w:rFonts w:hint="default"/>
                <w:lang w:val="en-US" w:eastAsia="zh-CN"/>
              </w:rPr>
              <w:t>项目负责人</w:t>
            </w:r>
          </w:p>
        </w:tc>
        <w:tc>
          <w:tcPr>
            <w:tcW w:w="6381" w:type="dxa"/>
            <w:noWrap w:val="0"/>
            <w:vAlign w:val="center"/>
          </w:tcPr>
          <w:p w14:paraId="14EC8637">
            <w:pPr>
              <w:rPr>
                <w:rFonts w:hint="default"/>
                <w:lang w:val="en-US" w:eastAsia="zh-CN"/>
              </w:rPr>
            </w:pPr>
            <w:r>
              <w:rPr>
                <w:rFonts w:hint="default"/>
                <w:lang w:val="en-US" w:eastAsia="zh-CN"/>
              </w:rPr>
              <w:t>姓名：</w:t>
            </w:r>
            <w:r>
              <w:rPr>
                <w:rFonts w:hint="default"/>
                <w:lang w:val="en-US" w:eastAsia="zh-CN"/>
              </w:rPr>
              <w:tab/>
            </w:r>
            <w:r>
              <w:rPr>
                <w:rFonts w:hint="default"/>
                <w:lang w:val="en-US" w:eastAsia="zh-CN"/>
              </w:rPr>
              <w:t xml:space="preserve">    丁安明    </w:t>
            </w:r>
          </w:p>
        </w:tc>
      </w:tr>
      <w:tr w14:paraId="5498498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068" w:type="dxa"/>
            <w:noWrap w:val="0"/>
            <w:vAlign w:val="center"/>
          </w:tcPr>
          <w:p w14:paraId="1F5EA83F">
            <w:pPr>
              <w:rPr>
                <w:rFonts w:hint="default"/>
                <w:lang w:val="en-US" w:eastAsia="zh-CN"/>
              </w:rPr>
            </w:pPr>
            <w:r>
              <w:rPr>
                <w:rFonts w:hint="default"/>
                <w:lang w:val="en-US" w:eastAsia="zh-CN"/>
              </w:rPr>
              <w:t>承诺及优惠条件</w:t>
            </w:r>
          </w:p>
        </w:tc>
        <w:tc>
          <w:tcPr>
            <w:tcW w:w="6381" w:type="dxa"/>
            <w:noWrap w:val="0"/>
            <w:vAlign w:val="center"/>
          </w:tcPr>
          <w:p w14:paraId="62EBC466">
            <w:pPr>
              <w:rPr>
                <w:rFonts w:hint="default"/>
                <w:lang w:val="en-US" w:eastAsia="zh-CN"/>
              </w:rPr>
            </w:pPr>
            <w:r>
              <w:rPr>
                <w:rFonts w:hint="default"/>
                <w:lang w:val="en-US" w:eastAsia="zh-CN"/>
              </w:rPr>
              <w:t>赠送手套1双、活性炭1份、密封圈1套</w:t>
            </w:r>
          </w:p>
        </w:tc>
      </w:tr>
    </w:tbl>
    <w:p w14:paraId="707CE267">
      <w:pPr>
        <w:rPr>
          <w:rFonts w:hint="default"/>
          <w:lang w:val="en-US" w:eastAsia="zh-CN"/>
        </w:rPr>
      </w:pPr>
    </w:p>
    <w:p w14:paraId="44361421">
      <w:pPr>
        <w:rPr>
          <w:rFonts w:hint="default"/>
          <w:lang w:val="en-US" w:eastAsia="zh-CN"/>
        </w:rPr>
      </w:pPr>
    </w:p>
    <w:p w14:paraId="52291FF0">
      <w:pPr>
        <w:rPr>
          <w:rFonts w:hint="eastAsia"/>
          <w:lang w:val="en-US" w:eastAsia="zh-CN"/>
        </w:rPr>
      </w:pPr>
      <w:r>
        <w:rPr>
          <w:rFonts w:hint="eastAsia"/>
          <w:lang w:val="en-US" w:eastAsia="zh-CN"/>
        </w:rPr>
        <w:t>附件2</w:t>
      </w:r>
    </w:p>
    <w:p w14:paraId="5878F48B">
      <w:pPr>
        <w:rPr>
          <w:rFonts w:hint="default"/>
          <w:lang w:val="en-US" w:eastAsia="zh-CN"/>
        </w:rPr>
      </w:pPr>
      <w:r>
        <w:rPr>
          <w:rFonts w:hint="eastAsia"/>
          <w:lang w:val="en-US" w:eastAsia="zh-CN"/>
        </w:rPr>
        <w:t>配置表：</w:t>
      </w:r>
    </w:p>
    <w:tbl>
      <w:tblPr>
        <w:tblStyle w:val="15"/>
        <w:tblW w:w="6931" w:type="pct"/>
        <w:jc w:val="center"/>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2"/>
        <w:gridCol w:w="3"/>
        <w:gridCol w:w="1340"/>
        <w:gridCol w:w="7"/>
        <w:gridCol w:w="2278"/>
        <w:gridCol w:w="14"/>
        <w:gridCol w:w="5812"/>
        <w:gridCol w:w="32"/>
        <w:gridCol w:w="1111"/>
        <w:gridCol w:w="36"/>
      </w:tblGrid>
      <w:tr w14:paraId="510F7AC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jc w:val="center"/>
        </w:trPr>
        <w:tc>
          <w:tcPr>
            <w:tcW w:w="5000" w:type="pct"/>
            <w:gridSpan w:val="10"/>
            <w:tcBorders>
              <w:tl2br w:val="nil"/>
              <w:tr2bl w:val="nil"/>
            </w:tcBorders>
            <w:vAlign w:val="center"/>
          </w:tcPr>
          <w:p w14:paraId="2599C081">
            <w:pPr>
              <w:spacing w:line="360" w:lineRule="auto"/>
              <w:jc w:val="center"/>
              <w:rPr>
                <w:rFonts w:hint="eastAsia" w:ascii="宋体" w:hAnsi="宋体" w:eastAsia="宋体" w:cs="宋体"/>
                <w:b/>
                <w:bCs/>
                <w:sz w:val="24"/>
                <w:szCs w:val="24"/>
                <w:lang w:val="en-US"/>
              </w:rPr>
            </w:pPr>
            <w:r>
              <w:rPr>
                <w:rFonts w:hint="eastAsia" w:ascii="宋体" w:hAnsi="宋体" w:eastAsia="宋体" w:cs="宋体"/>
                <w:b/>
                <w:bCs/>
                <w:sz w:val="24"/>
                <w:szCs w:val="24"/>
                <w:lang w:val="en-US" w:eastAsia="zh-CN"/>
              </w:rPr>
              <w:t>化学洁净智能实验舱配置清单</w:t>
            </w:r>
          </w:p>
        </w:tc>
      </w:tr>
      <w:tr w14:paraId="4A73639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jc w:val="center"/>
        </w:trPr>
        <w:tc>
          <w:tcPr>
            <w:tcW w:w="401" w:type="pct"/>
            <w:gridSpan w:val="2"/>
            <w:tcBorders>
              <w:tl2br w:val="nil"/>
              <w:tr2bl w:val="nil"/>
            </w:tcBorders>
            <w:textDirection w:val="tbRlV"/>
            <w:vAlign w:val="center"/>
          </w:tcPr>
          <w:p w14:paraId="4F24FF99">
            <w:pPr>
              <w:spacing w:line="360"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序号</w:t>
            </w:r>
          </w:p>
        </w:tc>
        <w:tc>
          <w:tcPr>
            <w:tcW w:w="1574" w:type="pct"/>
            <w:gridSpan w:val="4"/>
            <w:tcBorders>
              <w:tl2br w:val="nil"/>
              <w:tr2bl w:val="nil"/>
            </w:tcBorders>
            <w:vAlign w:val="center"/>
          </w:tcPr>
          <w:p w14:paraId="76FA5523">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名称</w:t>
            </w:r>
          </w:p>
        </w:tc>
        <w:tc>
          <w:tcPr>
            <w:tcW w:w="2528" w:type="pct"/>
            <w:gridSpan w:val="2"/>
            <w:tcBorders>
              <w:tl2br w:val="nil"/>
              <w:tr2bl w:val="nil"/>
            </w:tcBorders>
            <w:vAlign w:val="center"/>
          </w:tcPr>
          <w:p w14:paraId="5544076C">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规格参数</w:t>
            </w:r>
          </w:p>
        </w:tc>
        <w:tc>
          <w:tcPr>
            <w:tcW w:w="495" w:type="pct"/>
            <w:gridSpan w:val="2"/>
            <w:tcBorders>
              <w:tl2br w:val="nil"/>
              <w:tr2bl w:val="nil"/>
            </w:tcBorders>
            <w:vAlign w:val="center"/>
          </w:tcPr>
          <w:p w14:paraId="1B2ACC14">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数量</w:t>
            </w:r>
          </w:p>
        </w:tc>
      </w:tr>
      <w:tr w14:paraId="27ED5F9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jc w:val="center"/>
        </w:trPr>
        <w:tc>
          <w:tcPr>
            <w:tcW w:w="401" w:type="pct"/>
            <w:gridSpan w:val="2"/>
            <w:vMerge w:val="restart"/>
            <w:tcBorders>
              <w:tl2br w:val="nil"/>
              <w:tr2bl w:val="nil"/>
            </w:tcBorders>
            <w:vAlign w:val="center"/>
          </w:tcPr>
          <w:p w14:paraId="2F95803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581" w:type="pct"/>
            <w:gridSpan w:val="2"/>
            <w:vMerge w:val="restart"/>
            <w:tcBorders>
              <w:tl2br w:val="nil"/>
              <w:tr2bl w:val="nil"/>
            </w:tcBorders>
            <w:vAlign w:val="center"/>
          </w:tcPr>
          <w:p w14:paraId="548D244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密封箱体</w:t>
            </w:r>
          </w:p>
        </w:tc>
        <w:tc>
          <w:tcPr>
            <w:tcW w:w="992" w:type="pct"/>
            <w:gridSpan w:val="2"/>
            <w:tcBorders>
              <w:tl2br w:val="nil"/>
              <w:tr2bl w:val="nil"/>
            </w:tcBorders>
            <w:vAlign w:val="center"/>
          </w:tcPr>
          <w:p w14:paraId="3BFF0EE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底板</w:t>
            </w:r>
          </w:p>
        </w:tc>
        <w:tc>
          <w:tcPr>
            <w:tcW w:w="2528" w:type="pct"/>
            <w:gridSpan w:val="2"/>
            <w:tcBorders>
              <w:tl2br w:val="nil"/>
              <w:tr2bl w:val="nil"/>
            </w:tcBorders>
            <w:vAlign w:val="center"/>
          </w:tcPr>
          <w:p w14:paraId="12FCB539">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mm厚碳钢</w:t>
            </w:r>
            <w:r>
              <w:rPr>
                <w:rFonts w:hint="eastAsia" w:ascii="宋体" w:hAnsi="宋体" w:eastAsia="宋体" w:cs="宋体"/>
                <w:sz w:val="24"/>
                <w:szCs w:val="24"/>
                <w:lang w:val="en-US" w:eastAsia="zh-CN"/>
              </w:rPr>
              <w:t>板+</w:t>
            </w:r>
            <w:r>
              <w:rPr>
                <w:rFonts w:hint="eastAsia" w:ascii="宋体" w:hAnsi="宋体" w:eastAsia="宋体" w:cs="宋体"/>
                <w:sz w:val="24"/>
                <w:szCs w:val="24"/>
              </w:rPr>
              <w:t>3mm厚不锈钢304板，</w:t>
            </w:r>
            <w:r>
              <w:rPr>
                <w:rFonts w:hint="eastAsia" w:ascii="宋体" w:hAnsi="宋体" w:eastAsia="宋体" w:cs="宋体"/>
                <w:sz w:val="24"/>
                <w:szCs w:val="24"/>
                <w:lang w:val="en-US" w:eastAsia="zh-CN"/>
              </w:rPr>
              <w:t>现场拼焊</w:t>
            </w:r>
          </w:p>
        </w:tc>
        <w:tc>
          <w:tcPr>
            <w:tcW w:w="495" w:type="pct"/>
            <w:gridSpan w:val="2"/>
            <w:tcBorders>
              <w:tl2br w:val="nil"/>
              <w:tr2bl w:val="nil"/>
            </w:tcBorders>
            <w:vAlign w:val="center"/>
          </w:tcPr>
          <w:p w14:paraId="04972C5D">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r>
      <w:tr w14:paraId="087EEC5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401" w:type="pct"/>
            <w:gridSpan w:val="2"/>
            <w:vMerge w:val="continue"/>
            <w:tcBorders>
              <w:tl2br w:val="nil"/>
              <w:tr2bl w:val="nil"/>
            </w:tcBorders>
            <w:vAlign w:val="center"/>
          </w:tcPr>
          <w:p w14:paraId="125F2AD3">
            <w:pPr>
              <w:spacing w:line="360" w:lineRule="auto"/>
              <w:jc w:val="center"/>
              <w:rPr>
                <w:rFonts w:hint="eastAsia" w:ascii="宋体" w:hAnsi="宋体" w:eastAsia="宋体" w:cs="宋体"/>
                <w:sz w:val="24"/>
                <w:szCs w:val="24"/>
              </w:rPr>
            </w:pPr>
          </w:p>
        </w:tc>
        <w:tc>
          <w:tcPr>
            <w:tcW w:w="581" w:type="pct"/>
            <w:gridSpan w:val="2"/>
            <w:vMerge w:val="continue"/>
            <w:tcBorders>
              <w:tl2br w:val="nil"/>
              <w:tr2bl w:val="nil"/>
            </w:tcBorders>
            <w:vAlign w:val="center"/>
          </w:tcPr>
          <w:p w14:paraId="368DDF3B">
            <w:pPr>
              <w:spacing w:line="360" w:lineRule="auto"/>
              <w:jc w:val="center"/>
              <w:rPr>
                <w:rFonts w:hint="eastAsia" w:ascii="宋体" w:hAnsi="宋体" w:eastAsia="宋体" w:cs="宋体"/>
                <w:sz w:val="24"/>
                <w:szCs w:val="24"/>
              </w:rPr>
            </w:pPr>
          </w:p>
        </w:tc>
        <w:tc>
          <w:tcPr>
            <w:tcW w:w="992" w:type="pct"/>
            <w:gridSpan w:val="2"/>
            <w:tcBorders>
              <w:tl2br w:val="nil"/>
              <w:tr2bl w:val="nil"/>
            </w:tcBorders>
            <w:vAlign w:val="center"/>
          </w:tcPr>
          <w:p w14:paraId="0D7FAE0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壳体主体</w:t>
            </w:r>
          </w:p>
        </w:tc>
        <w:tc>
          <w:tcPr>
            <w:tcW w:w="2528" w:type="pct"/>
            <w:gridSpan w:val="2"/>
            <w:tcBorders>
              <w:tl2br w:val="nil"/>
              <w:tr2bl w:val="nil"/>
            </w:tcBorders>
            <w:vAlign w:val="center"/>
          </w:tcPr>
          <w:p w14:paraId="1C807429">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mm厚 304 材质，内表面拉丝，工厂模块化预制，</w:t>
            </w:r>
            <w:r>
              <w:rPr>
                <w:rFonts w:hint="eastAsia" w:ascii="宋体" w:hAnsi="宋体" w:eastAsia="宋体" w:cs="宋体"/>
                <w:sz w:val="24"/>
                <w:szCs w:val="24"/>
                <w:lang w:val="en-US" w:eastAsia="zh-CN"/>
              </w:rPr>
              <w:t>现场拼焊、舱体内总使用空间99m3</w:t>
            </w:r>
          </w:p>
        </w:tc>
        <w:tc>
          <w:tcPr>
            <w:tcW w:w="495" w:type="pct"/>
            <w:gridSpan w:val="2"/>
            <w:tcBorders>
              <w:tl2br w:val="nil"/>
              <w:tr2bl w:val="nil"/>
            </w:tcBorders>
            <w:vAlign w:val="center"/>
          </w:tcPr>
          <w:p w14:paraId="0A8DEEA7">
            <w:pPr>
              <w:spacing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r>
      <w:tr w14:paraId="7908FBE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jc w:val="center"/>
        </w:trPr>
        <w:tc>
          <w:tcPr>
            <w:tcW w:w="401" w:type="pct"/>
            <w:gridSpan w:val="2"/>
            <w:vMerge w:val="continue"/>
            <w:tcBorders>
              <w:tl2br w:val="nil"/>
              <w:tr2bl w:val="nil"/>
            </w:tcBorders>
            <w:vAlign w:val="center"/>
          </w:tcPr>
          <w:p w14:paraId="06F0914F">
            <w:pPr>
              <w:spacing w:line="360" w:lineRule="auto"/>
              <w:jc w:val="center"/>
              <w:rPr>
                <w:rFonts w:hint="eastAsia" w:ascii="宋体" w:hAnsi="宋体" w:eastAsia="宋体" w:cs="宋体"/>
                <w:sz w:val="24"/>
                <w:szCs w:val="24"/>
              </w:rPr>
            </w:pPr>
          </w:p>
        </w:tc>
        <w:tc>
          <w:tcPr>
            <w:tcW w:w="581" w:type="pct"/>
            <w:gridSpan w:val="2"/>
            <w:vMerge w:val="continue"/>
            <w:tcBorders>
              <w:tl2br w:val="nil"/>
              <w:tr2bl w:val="nil"/>
            </w:tcBorders>
            <w:vAlign w:val="center"/>
          </w:tcPr>
          <w:p w14:paraId="10B9FDF3">
            <w:pPr>
              <w:spacing w:line="360" w:lineRule="auto"/>
              <w:jc w:val="center"/>
              <w:rPr>
                <w:rFonts w:hint="eastAsia" w:ascii="宋体" w:hAnsi="宋体" w:eastAsia="宋体" w:cs="宋体"/>
                <w:sz w:val="24"/>
                <w:szCs w:val="24"/>
              </w:rPr>
            </w:pPr>
          </w:p>
        </w:tc>
        <w:tc>
          <w:tcPr>
            <w:tcW w:w="992" w:type="pct"/>
            <w:gridSpan w:val="2"/>
            <w:tcBorders>
              <w:tl2br w:val="nil"/>
              <w:tr2bl w:val="nil"/>
            </w:tcBorders>
            <w:vAlign w:val="center"/>
          </w:tcPr>
          <w:p w14:paraId="072C4CE5">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观察窗</w:t>
            </w:r>
          </w:p>
        </w:tc>
        <w:tc>
          <w:tcPr>
            <w:tcW w:w="2528" w:type="pct"/>
            <w:gridSpan w:val="2"/>
            <w:tcBorders>
              <w:tl2br w:val="nil"/>
              <w:tr2bl w:val="nil"/>
            </w:tcBorders>
            <w:vAlign w:val="center"/>
          </w:tcPr>
          <w:p w14:paraId="0616B7BD">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法兰视窗，钢化玻璃</w:t>
            </w:r>
            <w:r>
              <w:rPr>
                <w:rFonts w:hint="eastAsia" w:ascii="宋体" w:hAnsi="宋体" w:eastAsia="宋体" w:cs="宋体"/>
                <w:sz w:val="24"/>
                <w:szCs w:val="24"/>
                <w:lang w:val="en-US" w:eastAsia="zh-CN"/>
              </w:rPr>
              <w:t>,其中5个视窗压钳快拆</w:t>
            </w:r>
          </w:p>
        </w:tc>
        <w:tc>
          <w:tcPr>
            <w:tcW w:w="495" w:type="pct"/>
            <w:gridSpan w:val="2"/>
            <w:tcBorders>
              <w:tl2br w:val="nil"/>
              <w:tr2bl w:val="nil"/>
            </w:tcBorders>
            <w:vAlign w:val="center"/>
          </w:tcPr>
          <w:p w14:paraId="1FA96E2E">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29</w:t>
            </w:r>
          </w:p>
        </w:tc>
      </w:tr>
      <w:tr w14:paraId="7A40AD7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jc w:val="center"/>
        </w:trPr>
        <w:tc>
          <w:tcPr>
            <w:tcW w:w="401" w:type="pct"/>
            <w:gridSpan w:val="2"/>
            <w:vMerge w:val="continue"/>
            <w:tcBorders>
              <w:tl2br w:val="nil"/>
              <w:tr2bl w:val="nil"/>
            </w:tcBorders>
            <w:vAlign w:val="center"/>
          </w:tcPr>
          <w:p w14:paraId="47F131DC">
            <w:pPr>
              <w:spacing w:line="360" w:lineRule="auto"/>
              <w:jc w:val="center"/>
              <w:rPr>
                <w:rFonts w:hint="eastAsia" w:ascii="宋体" w:hAnsi="宋体" w:eastAsia="宋体" w:cs="宋体"/>
                <w:sz w:val="24"/>
                <w:szCs w:val="24"/>
              </w:rPr>
            </w:pPr>
          </w:p>
        </w:tc>
        <w:tc>
          <w:tcPr>
            <w:tcW w:w="581" w:type="pct"/>
            <w:gridSpan w:val="2"/>
            <w:vMerge w:val="continue"/>
            <w:tcBorders>
              <w:tl2br w:val="nil"/>
              <w:tr2bl w:val="nil"/>
            </w:tcBorders>
            <w:vAlign w:val="center"/>
          </w:tcPr>
          <w:p w14:paraId="72FFFBE9">
            <w:pPr>
              <w:spacing w:line="360" w:lineRule="auto"/>
              <w:jc w:val="center"/>
              <w:rPr>
                <w:rFonts w:hint="eastAsia" w:ascii="宋体" w:hAnsi="宋体" w:eastAsia="宋体" w:cs="宋体"/>
                <w:sz w:val="24"/>
                <w:szCs w:val="24"/>
              </w:rPr>
            </w:pPr>
          </w:p>
        </w:tc>
        <w:tc>
          <w:tcPr>
            <w:tcW w:w="992" w:type="pct"/>
            <w:gridSpan w:val="2"/>
            <w:tcBorders>
              <w:tl2br w:val="nil"/>
              <w:tr2bl w:val="nil"/>
            </w:tcBorders>
            <w:vAlign w:val="center"/>
          </w:tcPr>
          <w:p w14:paraId="785ABBFB">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照明视窗</w:t>
            </w:r>
          </w:p>
        </w:tc>
        <w:tc>
          <w:tcPr>
            <w:tcW w:w="2528" w:type="pct"/>
            <w:gridSpan w:val="2"/>
            <w:tcBorders>
              <w:tl2br w:val="nil"/>
              <w:tr2bl w:val="nil"/>
            </w:tcBorders>
            <w:vAlign w:val="center"/>
          </w:tcPr>
          <w:p w14:paraId="56CABCFA">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顶部法兰视窗配灯壳</w:t>
            </w:r>
          </w:p>
        </w:tc>
        <w:tc>
          <w:tcPr>
            <w:tcW w:w="495" w:type="pct"/>
            <w:gridSpan w:val="2"/>
            <w:tcBorders>
              <w:tl2br w:val="nil"/>
              <w:tr2bl w:val="nil"/>
            </w:tcBorders>
            <w:vAlign w:val="center"/>
          </w:tcPr>
          <w:p w14:paraId="1FB9E30B">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w:t>
            </w:r>
          </w:p>
        </w:tc>
      </w:tr>
      <w:tr w14:paraId="4C5E75E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jc w:val="center"/>
        </w:trPr>
        <w:tc>
          <w:tcPr>
            <w:tcW w:w="401" w:type="pct"/>
            <w:gridSpan w:val="2"/>
            <w:vMerge w:val="continue"/>
            <w:tcBorders>
              <w:tl2br w:val="nil"/>
              <w:tr2bl w:val="nil"/>
            </w:tcBorders>
            <w:vAlign w:val="center"/>
          </w:tcPr>
          <w:p w14:paraId="13DE6BC8">
            <w:pPr>
              <w:spacing w:line="360" w:lineRule="auto"/>
              <w:jc w:val="center"/>
              <w:rPr>
                <w:rFonts w:hint="eastAsia" w:ascii="宋体" w:hAnsi="宋体" w:eastAsia="宋体" w:cs="宋体"/>
                <w:sz w:val="24"/>
                <w:szCs w:val="24"/>
              </w:rPr>
            </w:pPr>
          </w:p>
        </w:tc>
        <w:tc>
          <w:tcPr>
            <w:tcW w:w="581" w:type="pct"/>
            <w:gridSpan w:val="2"/>
            <w:vMerge w:val="continue"/>
            <w:tcBorders>
              <w:tl2br w:val="nil"/>
              <w:tr2bl w:val="nil"/>
            </w:tcBorders>
            <w:vAlign w:val="center"/>
          </w:tcPr>
          <w:p w14:paraId="7E1C57E6">
            <w:pPr>
              <w:spacing w:line="360" w:lineRule="auto"/>
              <w:jc w:val="center"/>
              <w:rPr>
                <w:rFonts w:hint="eastAsia" w:ascii="宋体" w:hAnsi="宋体" w:eastAsia="宋体" w:cs="宋体"/>
                <w:sz w:val="24"/>
                <w:szCs w:val="24"/>
              </w:rPr>
            </w:pPr>
          </w:p>
        </w:tc>
        <w:tc>
          <w:tcPr>
            <w:tcW w:w="992" w:type="pct"/>
            <w:gridSpan w:val="2"/>
            <w:tcBorders>
              <w:tl2br w:val="nil"/>
              <w:tr2bl w:val="nil"/>
            </w:tcBorders>
            <w:vAlign w:val="center"/>
          </w:tcPr>
          <w:p w14:paraId="7B8EB6F0">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手套口</w:t>
            </w:r>
          </w:p>
        </w:tc>
        <w:tc>
          <w:tcPr>
            <w:tcW w:w="2528" w:type="pct"/>
            <w:gridSpan w:val="2"/>
            <w:tcBorders>
              <w:tl2br w:val="nil"/>
              <w:tr2bl w:val="nil"/>
            </w:tcBorders>
            <w:vAlign w:val="center"/>
          </w:tcPr>
          <w:p w14:paraId="044A1825">
            <w:pPr>
              <w:spacing w:line="360" w:lineRule="auto"/>
              <w:jc w:val="center"/>
              <w:rPr>
                <w:rFonts w:hint="eastAsia" w:ascii="宋体" w:hAnsi="宋体" w:eastAsia="宋体" w:cs="宋体"/>
                <w:sz w:val="24"/>
                <w:szCs w:val="24"/>
                <w:lang w:val="en-US" w:eastAsia="zh-CN"/>
              </w:rPr>
            </w:pPr>
          </w:p>
        </w:tc>
        <w:tc>
          <w:tcPr>
            <w:tcW w:w="495" w:type="pct"/>
            <w:gridSpan w:val="2"/>
            <w:tcBorders>
              <w:tl2br w:val="nil"/>
              <w:tr2bl w:val="nil"/>
            </w:tcBorders>
            <w:vAlign w:val="center"/>
          </w:tcPr>
          <w:p w14:paraId="0520BD05">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w:t>
            </w:r>
          </w:p>
        </w:tc>
      </w:tr>
      <w:tr w14:paraId="7B81B23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jc w:val="center"/>
        </w:trPr>
        <w:tc>
          <w:tcPr>
            <w:tcW w:w="401" w:type="pct"/>
            <w:gridSpan w:val="2"/>
            <w:vMerge w:val="continue"/>
            <w:tcBorders>
              <w:tl2br w:val="nil"/>
              <w:tr2bl w:val="nil"/>
            </w:tcBorders>
            <w:vAlign w:val="center"/>
          </w:tcPr>
          <w:p w14:paraId="731CF1B4">
            <w:pPr>
              <w:spacing w:line="360" w:lineRule="auto"/>
              <w:jc w:val="center"/>
              <w:rPr>
                <w:rFonts w:hint="eastAsia" w:ascii="宋体" w:hAnsi="宋体" w:eastAsia="宋体" w:cs="宋体"/>
                <w:sz w:val="24"/>
                <w:szCs w:val="24"/>
              </w:rPr>
            </w:pPr>
          </w:p>
        </w:tc>
        <w:tc>
          <w:tcPr>
            <w:tcW w:w="581" w:type="pct"/>
            <w:gridSpan w:val="2"/>
            <w:vMerge w:val="continue"/>
            <w:tcBorders>
              <w:tl2br w:val="nil"/>
              <w:tr2bl w:val="nil"/>
            </w:tcBorders>
            <w:vAlign w:val="center"/>
          </w:tcPr>
          <w:p w14:paraId="6EB4F5B1">
            <w:pPr>
              <w:spacing w:line="360" w:lineRule="auto"/>
              <w:jc w:val="center"/>
              <w:rPr>
                <w:rFonts w:hint="eastAsia" w:ascii="宋体" w:hAnsi="宋体" w:eastAsia="宋体" w:cs="宋体"/>
                <w:sz w:val="24"/>
                <w:szCs w:val="24"/>
              </w:rPr>
            </w:pPr>
          </w:p>
        </w:tc>
        <w:tc>
          <w:tcPr>
            <w:tcW w:w="992" w:type="pct"/>
            <w:gridSpan w:val="2"/>
            <w:tcBorders>
              <w:tl2br w:val="nil"/>
              <w:tr2bl w:val="nil"/>
            </w:tcBorders>
            <w:vAlign w:val="center"/>
          </w:tcPr>
          <w:p w14:paraId="20856293">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手套</w:t>
            </w:r>
          </w:p>
        </w:tc>
        <w:tc>
          <w:tcPr>
            <w:tcW w:w="2528" w:type="pct"/>
            <w:gridSpan w:val="2"/>
            <w:tcBorders>
              <w:tl2br w:val="nil"/>
              <w:tr2bl w:val="nil"/>
            </w:tcBorders>
            <w:vAlign w:val="center"/>
          </w:tcPr>
          <w:p w14:paraId="31F05DC1">
            <w:pPr>
              <w:spacing w:line="360" w:lineRule="auto"/>
              <w:jc w:val="center"/>
              <w:rPr>
                <w:rFonts w:hint="eastAsia" w:ascii="宋体" w:hAnsi="宋体" w:eastAsia="宋体" w:cs="宋体"/>
                <w:sz w:val="24"/>
                <w:szCs w:val="24"/>
                <w:lang w:val="en-US" w:eastAsia="zh-CN"/>
              </w:rPr>
            </w:pPr>
          </w:p>
        </w:tc>
        <w:tc>
          <w:tcPr>
            <w:tcW w:w="495" w:type="pct"/>
            <w:gridSpan w:val="2"/>
            <w:tcBorders>
              <w:tl2br w:val="nil"/>
              <w:tr2bl w:val="nil"/>
            </w:tcBorders>
            <w:vAlign w:val="center"/>
          </w:tcPr>
          <w:p w14:paraId="5443A182">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25支</w:t>
            </w:r>
          </w:p>
        </w:tc>
      </w:tr>
      <w:tr w14:paraId="1598098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01" w:type="pct"/>
            <w:gridSpan w:val="2"/>
            <w:vMerge w:val="continue"/>
            <w:tcBorders>
              <w:tl2br w:val="nil"/>
              <w:tr2bl w:val="nil"/>
            </w:tcBorders>
            <w:vAlign w:val="center"/>
          </w:tcPr>
          <w:p w14:paraId="377091BE">
            <w:pPr>
              <w:spacing w:line="360" w:lineRule="auto"/>
              <w:jc w:val="center"/>
              <w:rPr>
                <w:rFonts w:hint="eastAsia" w:ascii="宋体" w:hAnsi="宋体" w:eastAsia="宋体" w:cs="宋体"/>
                <w:sz w:val="24"/>
                <w:szCs w:val="24"/>
              </w:rPr>
            </w:pPr>
          </w:p>
        </w:tc>
        <w:tc>
          <w:tcPr>
            <w:tcW w:w="581" w:type="pct"/>
            <w:gridSpan w:val="2"/>
            <w:vMerge w:val="continue"/>
            <w:tcBorders>
              <w:tl2br w:val="nil"/>
              <w:tr2bl w:val="nil"/>
            </w:tcBorders>
            <w:vAlign w:val="center"/>
          </w:tcPr>
          <w:p w14:paraId="1CC90B23">
            <w:pPr>
              <w:spacing w:line="360" w:lineRule="auto"/>
              <w:jc w:val="center"/>
              <w:rPr>
                <w:rFonts w:hint="eastAsia" w:ascii="宋体" w:hAnsi="宋体" w:eastAsia="宋体" w:cs="宋体"/>
                <w:sz w:val="24"/>
                <w:szCs w:val="24"/>
              </w:rPr>
            </w:pPr>
          </w:p>
        </w:tc>
        <w:tc>
          <w:tcPr>
            <w:tcW w:w="992" w:type="pct"/>
            <w:gridSpan w:val="2"/>
            <w:tcBorders>
              <w:tl2br w:val="nil"/>
              <w:tr2bl w:val="nil"/>
            </w:tcBorders>
            <w:vAlign w:val="center"/>
          </w:tcPr>
          <w:p w14:paraId="66CBAFC0">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灯光系统</w:t>
            </w:r>
          </w:p>
        </w:tc>
        <w:tc>
          <w:tcPr>
            <w:tcW w:w="2528" w:type="pct"/>
            <w:gridSpan w:val="2"/>
            <w:tcBorders>
              <w:tl2br w:val="nil"/>
              <w:tr2bl w:val="nil"/>
            </w:tcBorders>
            <w:vAlign w:val="center"/>
          </w:tcPr>
          <w:p w14:paraId="4AACF697">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有</w:t>
            </w:r>
            <w:r>
              <w:rPr>
                <w:rFonts w:hint="eastAsia" w:ascii="宋体" w:hAnsi="宋体" w:eastAsia="宋体" w:cs="宋体"/>
                <w:sz w:val="24"/>
                <w:szCs w:val="24"/>
                <w:lang w:val="en-US"/>
              </w:rPr>
              <w:t>LED</w:t>
            </w:r>
            <w:r>
              <w:rPr>
                <w:rFonts w:hint="eastAsia" w:ascii="宋体" w:hAnsi="宋体" w:eastAsia="宋体" w:cs="宋体"/>
                <w:sz w:val="24"/>
                <w:szCs w:val="24"/>
              </w:rPr>
              <w:t>照明系统，方便照明维护</w:t>
            </w:r>
          </w:p>
        </w:tc>
        <w:tc>
          <w:tcPr>
            <w:tcW w:w="495" w:type="pct"/>
            <w:gridSpan w:val="2"/>
            <w:tcBorders>
              <w:tl2br w:val="nil"/>
              <w:tr2bl w:val="nil"/>
            </w:tcBorders>
            <w:vAlign w:val="center"/>
          </w:tcPr>
          <w:p w14:paraId="470A6E6A">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w:t>
            </w:r>
          </w:p>
        </w:tc>
      </w:tr>
      <w:tr w14:paraId="30EFDE1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jc w:val="center"/>
        </w:trPr>
        <w:tc>
          <w:tcPr>
            <w:tcW w:w="401" w:type="pct"/>
            <w:gridSpan w:val="2"/>
            <w:vMerge w:val="continue"/>
            <w:tcBorders>
              <w:tl2br w:val="nil"/>
              <w:tr2bl w:val="nil"/>
            </w:tcBorders>
            <w:vAlign w:val="center"/>
          </w:tcPr>
          <w:p w14:paraId="08B79016">
            <w:pPr>
              <w:spacing w:line="360" w:lineRule="auto"/>
              <w:jc w:val="center"/>
              <w:rPr>
                <w:rFonts w:hint="eastAsia" w:ascii="宋体" w:hAnsi="宋体" w:eastAsia="宋体" w:cs="宋体"/>
                <w:sz w:val="24"/>
                <w:szCs w:val="24"/>
              </w:rPr>
            </w:pPr>
          </w:p>
        </w:tc>
        <w:tc>
          <w:tcPr>
            <w:tcW w:w="581" w:type="pct"/>
            <w:gridSpan w:val="2"/>
            <w:vMerge w:val="continue"/>
            <w:tcBorders>
              <w:tl2br w:val="nil"/>
              <w:tr2bl w:val="nil"/>
            </w:tcBorders>
            <w:vAlign w:val="center"/>
          </w:tcPr>
          <w:p w14:paraId="7A9DAF04">
            <w:pPr>
              <w:spacing w:line="360" w:lineRule="auto"/>
              <w:jc w:val="center"/>
              <w:rPr>
                <w:rFonts w:hint="eastAsia" w:ascii="宋体" w:hAnsi="宋体" w:eastAsia="宋体" w:cs="宋体"/>
                <w:sz w:val="24"/>
                <w:szCs w:val="24"/>
              </w:rPr>
            </w:pPr>
          </w:p>
        </w:tc>
        <w:tc>
          <w:tcPr>
            <w:tcW w:w="992" w:type="pct"/>
            <w:gridSpan w:val="2"/>
            <w:tcBorders>
              <w:tl2br w:val="nil"/>
              <w:tr2bl w:val="nil"/>
            </w:tcBorders>
            <w:vAlign w:val="center"/>
          </w:tcPr>
          <w:p w14:paraId="234E790E">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电气液密封接口</w:t>
            </w:r>
          </w:p>
        </w:tc>
        <w:tc>
          <w:tcPr>
            <w:tcW w:w="2528" w:type="pct"/>
            <w:gridSpan w:val="2"/>
            <w:tcBorders>
              <w:tl2br w:val="nil"/>
              <w:tr2bl w:val="nil"/>
            </w:tcBorders>
            <w:vAlign w:val="center"/>
          </w:tcPr>
          <w:p w14:paraId="37304216">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MCT密封模块、灌胶过壁转接口</w:t>
            </w:r>
          </w:p>
        </w:tc>
        <w:tc>
          <w:tcPr>
            <w:tcW w:w="495" w:type="pct"/>
            <w:gridSpan w:val="2"/>
            <w:tcBorders>
              <w:tl2br w:val="nil"/>
              <w:tr2bl w:val="nil"/>
            </w:tcBorders>
            <w:vAlign w:val="center"/>
          </w:tcPr>
          <w:p w14:paraId="2BA3F37F">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r>
      <w:tr w14:paraId="3908B9D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jc w:val="center"/>
        </w:trPr>
        <w:tc>
          <w:tcPr>
            <w:tcW w:w="401" w:type="pct"/>
            <w:gridSpan w:val="2"/>
            <w:vMerge w:val="continue"/>
            <w:tcBorders>
              <w:tl2br w:val="nil"/>
              <w:tr2bl w:val="nil"/>
            </w:tcBorders>
            <w:vAlign w:val="center"/>
          </w:tcPr>
          <w:p w14:paraId="166D756B">
            <w:pPr>
              <w:spacing w:line="360" w:lineRule="auto"/>
              <w:jc w:val="center"/>
              <w:rPr>
                <w:rFonts w:hint="eastAsia" w:ascii="宋体" w:hAnsi="宋体" w:eastAsia="宋体" w:cs="宋体"/>
                <w:sz w:val="24"/>
                <w:szCs w:val="24"/>
              </w:rPr>
            </w:pPr>
          </w:p>
        </w:tc>
        <w:tc>
          <w:tcPr>
            <w:tcW w:w="581" w:type="pct"/>
            <w:gridSpan w:val="2"/>
            <w:vMerge w:val="continue"/>
            <w:tcBorders>
              <w:tl2br w:val="nil"/>
              <w:tr2bl w:val="nil"/>
            </w:tcBorders>
            <w:vAlign w:val="center"/>
          </w:tcPr>
          <w:p w14:paraId="5B231011">
            <w:pPr>
              <w:spacing w:line="360" w:lineRule="auto"/>
              <w:jc w:val="center"/>
              <w:rPr>
                <w:rFonts w:hint="eastAsia" w:ascii="宋体" w:hAnsi="宋体" w:eastAsia="宋体" w:cs="宋体"/>
                <w:sz w:val="24"/>
                <w:szCs w:val="24"/>
              </w:rPr>
            </w:pPr>
          </w:p>
        </w:tc>
        <w:tc>
          <w:tcPr>
            <w:tcW w:w="992" w:type="pct"/>
            <w:gridSpan w:val="2"/>
            <w:tcBorders>
              <w:tl2br w:val="nil"/>
              <w:tr2bl w:val="nil"/>
            </w:tcBorders>
            <w:vAlign w:val="center"/>
          </w:tcPr>
          <w:p w14:paraId="2C261201">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隔离门</w:t>
            </w:r>
          </w:p>
        </w:tc>
        <w:tc>
          <w:tcPr>
            <w:tcW w:w="2528" w:type="pct"/>
            <w:gridSpan w:val="2"/>
            <w:tcBorders>
              <w:tl2br w:val="nil"/>
              <w:tr2bl w:val="nil"/>
            </w:tcBorders>
            <w:vAlign w:val="center"/>
          </w:tcPr>
          <w:p w14:paraId="30559362">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通径580*600mm，门气缸自动提拉压紧</w:t>
            </w:r>
          </w:p>
        </w:tc>
        <w:tc>
          <w:tcPr>
            <w:tcW w:w="495" w:type="pct"/>
            <w:gridSpan w:val="2"/>
            <w:tcBorders>
              <w:tl2br w:val="nil"/>
              <w:tr2bl w:val="nil"/>
            </w:tcBorders>
            <w:vAlign w:val="center"/>
          </w:tcPr>
          <w:p w14:paraId="1B37AFED">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r>
      <w:tr w14:paraId="2AF1D47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jc w:val="center"/>
        </w:trPr>
        <w:tc>
          <w:tcPr>
            <w:tcW w:w="401" w:type="pct"/>
            <w:gridSpan w:val="2"/>
            <w:vMerge w:val="continue"/>
            <w:tcBorders>
              <w:tl2br w:val="nil"/>
              <w:tr2bl w:val="nil"/>
            </w:tcBorders>
            <w:vAlign w:val="center"/>
          </w:tcPr>
          <w:p w14:paraId="020A496D">
            <w:pPr>
              <w:spacing w:line="360" w:lineRule="auto"/>
              <w:jc w:val="center"/>
              <w:rPr>
                <w:rFonts w:hint="eastAsia" w:ascii="宋体" w:hAnsi="宋体" w:eastAsia="宋体" w:cs="宋体"/>
                <w:sz w:val="24"/>
                <w:szCs w:val="24"/>
              </w:rPr>
            </w:pPr>
          </w:p>
        </w:tc>
        <w:tc>
          <w:tcPr>
            <w:tcW w:w="581" w:type="pct"/>
            <w:gridSpan w:val="2"/>
            <w:vMerge w:val="continue"/>
            <w:tcBorders>
              <w:tl2br w:val="nil"/>
              <w:tr2bl w:val="nil"/>
            </w:tcBorders>
            <w:vAlign w:val="center"/>
          </w:tcPr>
          <w:p w14:paraId="4A980603">
            <w:pPr>
              <w:spacing w:line="360" w:lineRule="auto"/>
              <w:jc w:val="center"/>
              <w:rPr>
                <w:rFonts w:hint="eastAsia" w:ascii="宋体" w:hAnsi="宋体" w:eastAsia="宋体" w:cs="宋体"/>
                <w:sz w:val="24"/>
                <w:szCs w:val="24"/>
              </w:rPr>
            </w:pPr>
          </w:p>
        </w:tc>
        <w:tc>
          <w:tcPr>
            <w:tcW w:w="992" w:type="pct"/>
            <w:gridSpan w:val="2"/>
            <w:tcBorders>
              <w:tl2br w:val="nil"/>
              <w:tr2bl w:val="nil"/>
            </w:tcBorders>
            <w:vAlign w:val="center"/>
          </w:tcPr>
          <w:p w14:paraId="48764752">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工业设计外罩</w:t>
            </w:r>
          </w:p>
        </w:tc>
        <w:tc>
          <w:tcPr>
            <w:tcW w:w="2528" w:type="pct"/>
            <w:gridSpan w:val="2"/>
            <w:tcBorders>
              <w:tl2br w:val="nil"/>
              <w:tr2bl w:val="nil"/>
            </w:tcBorders>
            <w:vAlign w:val="center"/>
          </w:tcPr>
          <w:p w14:paraId="1B45FD63">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简约、有科技感</w:t>
            </w:r>
          </w:p>
        </w:tc>
        <w:tc>
          <w:tcPr>
            <w:tcW w:w="495" w:type="pct"/>
            <w:gridSpan w:val="2"/>
            <w:tcBorders>
              <w:tl2br w:val="nil"/>
              <w:tr2bl w:val="nil"/>
            </w:tcBorders>
            <w:vAlign w:val="center"/>
          </w:tcPr>
          <w:p w14:paraId="0624E04F">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14:paraId="04B6A41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jc w:val="center"/>
        </w:trPr>
        <w:tc>
          <w:tcPr>
            <w:tcW w:w="401" w:type="pct"/>
            <w:gridSpan w:val="2"/>
            <w:vMerge w:val="restart"/>
            <w:tcBorders>
              <w:tl2br w:val="nil"/>
              <w:tr2bl w:val="nil"/>
            </w:tcBorders>
            <w:vAlign w:val="center"/>
          </w:tcPr>
          <w:p w14:paraId="2D02F9A3">
            <w:pPr>
              <w:spacing w:line="360" w:lineRule="auto"/>
              <w:ind w:firstLine="240" w:firstLineChars="1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581" w:type="pct"/>
            <w:gridSpan w:val="2"/>
            <w:vMerge w:val="restart"/>
            <w:tcBorders>
              <w:tl2br w:val="nil"/>
              <w:tr2bl w:val="nil"/>
            </w:tcBorders>
            <w:vAlign w:val="center"/>
          </w:tcPr>
          <w:p w14:paraId="1CAFCF97">
            <w:pPr>
              <w:spacing w:line="360" w:lineRule="auto"/>
              <w:ind w:firstLine="240" w:firstLineChars="100"/>
              <w:jc w:val="both"/>
              <w:rPr>
                <w:rFonts w:hint="eastAsia" w:ascii="宋体" w:hAnsi="宋体" w:eastAsia="宋体" w:cs="宋体"/>
                <w:sz w:val="24"/>
                <w:szCs w:val="24"/>
                <w:lang w:val="en-US"/>
              </w:rPr>
            </w:pPr>
            <w:r>
              <w:rPr>
                <w:rFonts w:hint="eastAsia" w:ascii="宋体" w:hAnsi="宋体" w:eastAsia="宋体" w:cs="宋体"/>
                <w:sz w:val="24"/>
                <w:szCs w:val="24"/>
              </w:rPr>
              <w:t>过渡</w:t>
            </w:r>
            <w:r>
              <w:rPr>
                <w:rFonts w:hint="eastAsia" w:ascii="宋体" w:hAnsi="宋体" w:eastAsia="宋体" w:cs="宋体"/>
                <w:sz w:val="24"/>
                <w:szCs w:val="24"/>
                <w:lang w:val="en-US" w:eastAsia="zh-CN"/>
              </w:rPr>
              <w:t>舱</w:t>
            </w:r>
          </w:p>
        </w:tc>
        <w:tc>
          <w:tcPr>
            <w:tcW w:w="992" w:type="pct"/>
            <w:gridSpan w:val="2"/>
            <w:tcBorders>
              <w:tl2br w:val="nil"/>
              <w:tr2bl w:val="nil"/>
            </w:tcBorders>
            <w:vAlign w:val="center"/>
          </w:tcPr>
          <w:p w14:paraId="77DC445F">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方舱</w:t>
            </w:r>
          </w:p>
        </w:tc>
        <w:tc>
          <w:tcPr>
            <w:tcW w:w="2528" w:type="pct"/>
            <w:gridSpan w:val="2"/>
            <w:tcBorders>
              <w:tl2br w:val="nil"/>
              <w:tr2bl w:val="nil"/>
            </w:tcBorders>
            <w:vAlign w:val="center"/>
          </w:tcPr>
          <w:p w14:paraId="57C5428A">
            <w:pPr>
              <w:spacing w:line="360" w:lineRule="auto"/>
              <w:jc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 xml:space="preserve"> 500*500*600mm、内外门自动升降,托盘自动推拉</w:t>
            </w:r>
          </w:p>
        </w:tc>
        <w:tc>
          <w:tcPr>
            <w:tcW w:w="495" w:type="pct"/>
            <w:gridSpan w:val="2"/>
            <w:tcBorders>
              <w:tl2br w:val="nil"/>
              <w:tr2bl w:val="nil"/>
            </w:tcBorders>
            <w:vAlign w:val="center"/>
          </w:tcPr>
          <w:p w14:paraId="70B886C3">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r>
      <w:tr w14:paraId="6C66979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jc w:val="center"/>
        </w:trPr>
        <w:tc>
          <w:tcPr>
            <w:tcW w:w="401" w:type="pct"/>
            <w:gridSpan w:val="2"/>
            <w:vMerge w:val="continue"/>
            <w:tcBorders>
              <w:tl2br w:val="nil"/>
              <w:tr2bl w:val="nil"/>
            </w:tcBorders>
            <w:vAlign w:val="center"/>
          </w:tcPr>
          <w:p w14:paraId="3711FFFB">
            <w:pPr>
              <w:spacing w:line="360" w:lineRule="auto"/>
              <w:jc w:val="center"/>
              <w:rPr>
                <w:rFonts w:hint="eastAsia" w:ascii="宋体" w:hAnsi="宋体" w:eastAsia="宋体" w:cs="宋体"/>
                <w:sz w:val="24"/>
                <w:szCs w:val="24"/>
              </w:rPr>
            </w:pPr>
          </w:p>
        </w:tc>
        <w:tc>
          <w:tcPr>
            <w:tcW w:w="581" w:type="pct"/>
            <w:gridSpan w:val="2"/>
            <w:vMerge w:val="continue"/>
            <w:tcBorders>
              <w:tl2br w:val="nil"/>
              <w:tr2bl w:val="nil"/>
            </w:tcBorders>
            <w:vAlign w:val="center"/>
          </w:tcPr>
          <w:p w14:paraId="1239B842">
            <w:pPr>
              <w:spacing w:line="360" w:lineRule="auto"/>
              <w:jc w:val="center"/>
              <w:rPr>
                <w:rFonts w:hint="eastAsia" w:ascii="宋体" w:hAnsi="宋体" w:eastAsia="宋体" w:cs="宋体"/>
                <w:sz w:val="24"/>
                <w:szCs w:val="24"/>
              </w:rPr>
            </w:pPr>
          </w:p>
        </w:tc>
        <w:tc>
          <w:tcPr>
            <w:tcW w:w="992" w:type="pct"/>
            <w:gridSpan w:val="2"/>
            <w:tcBorders>
              <w:tl2br w:val="nil"/>
              <w:tr2bl w:val="nil"/>
            </w:tcBorders>
            <w:vAlign w:val="center"/>
          </w:tcPr>
          <w:p w14:paraId="319EA2F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真空泵</w:t>
            </w:r>
          </w:p>
        </w:tc>
        <w:tc>
          <w:tcPr>
            <w:tcW w:w="2528" w:type="pct"/>
            <w:gridSpan w:val="2"/>
            <w:tcBorders>
              <w:tl2br w:val="nil"/>
              <w:tr2bl w:val="nil"/>
            </w:tcBorders>
            <w:vAlign w:val="center"/>
          </w:tcPr>
          <w:p w14:paraId="50E2E704">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RV-12</w:t>
            </w:r>
          </w:p>
        </w:tc>
        <w:tc>
          <w:tcPr>
            <w:tcW w:w="495" w:type="pct"/>
            <w:gridSpan w:val="2"/>
            <w:tcBorders>
              <w:tl2br w:val="nil"/>
              <w:tr2bl w:val="nil"/>
            </w:tcBorders>
            <w:vAlign w:val="center"/>
          </w:tcPr>
          <w:p w14:paraId="3C37DB10">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r>
      <w:tr w14:paraId="2F75B1A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jc w:val="center"/>
        </w:trPr>
        <w:tc>
          <w:tcPr>
            <w:tcW w:w="401" w:type="pct"/>
            <w:gridSpan w:val="2"/>
            <w:vMerge w:val="restart"/>
            <w:tcBorders>
              <w:tl2br w:val="nil"/>
              <w:tr2bl w:val="nil"/>
            </w:tcBorders>
            <w:vAlign w:val="center"/>
          </w:tcPr>
          <w:p w14:paraId="2947499C">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581" w:type="pct"/>
            <w:gridSpan w:val="2"/>
            <w:vMerge w:val="restart"/>
            <w:tcBorders>
              <w:tl2br w:val="nil"/>
              <w:tr2bl w:val="nil"/>
            </w:tcBorders>
            <w:vAlign w:val="center"/>
          </w:tcPr>
          <w:p w14:paraId="12F8CDD5">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除静电系统</w:t>
            </w:r>
          </w:p>
        </w:tc>
        <w:tc>
          <w:tcPr>
            <w:tcW w:w="992" w:type="pct"/>
            <w:gridSpan w:val="2"/>
            <w:tcBorders>
              <w:tl2br w:val="nil"/>
              <w:tr2bl w:val="nil"/>
            </w:tcBorders>
            <w:vAlign w:val="center"/>
          </w:tcPr>
          <w:p w14:paraId="7E81CAB7">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铜箔网格</w:t>
            </w:r>
          </w:p>
        </w:tc>
        <w:tc>
          <w:tcPr>
            <w:tcW w:w="2528" w:type="pct"/>
            <w:gridSpan w:val="2"/>
            <w:tcBorders>
              <w:tl2br w:val="nil"/>
              <w:tr2bl w:val="nil"/>
            </w:tcBorders>
            <w:vAlign w:val="center"/>
          </w:tcPr>
          <w:p w14:paraId="1652E28D">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舱体底部下铺设铜箔网格、除静电地胶</w:t>
            </w:r>
          </w:p>
        </w:tc>
        <w:tc>
          <w:tcPr>
            <w:tcW w:w="495" w:type="pct"/>
            <w:gridSpan w:val="2"/>
            <w:tcBorders>
              <w:tl2br w:val="nil"/>
              <w:tr2bl w:val="nil"/>
            </w:tcBorders>
            <w:vAlign w:val="center"/>
          </w:tcPr>
          <w:p w14:paraId="3F71345E">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r>
      <w:tr w14:paraId="08B44BB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jc w:val="center"/>
        </w:trPr>
        <w:tc>
          <w:tcPr>
            <w:tcW w:w="401" w:type="pct"/>
            <w:gridSpan w:val="2"/>
            <w:vMerge w:val="continue"/>
            <w:tcBorders>
              <w:tl2br w:val="nil"/>
              <w:tr2bl w:val="nil"/>
            </w:tcBorders>
            <w:vAlign w:val="center"/>
          </w:tcPr>
          <w:p w14:paraId="34F11759">
            <w:pPr>
              <w:spacing w:line="360" w:lineRule="auto"/>
              <w:jc w:val="center"/>
              <w:rPr>
                <w:rFonts w:hint="eastAsia" w:ascii="宋体" w:hAnsi="宋体" w:eastAsia="宋体" w:cs="宋体"/>
                <w:sz w:val="24"/>
                <w:szCs w:val="24"/>
              </w:rPr>
            </w:pPr>
          </w:p>
        </w:tc>
        <w:tc>
          <w:tcPr>
            <w:tcW w:w="581" w:type="pct"/>
            <w:gridSpan w:val="2"/>
            <w:vMerge w:val="continue"/>
            <w:tcBorders>
              <w:tl2br w:val="nil"/>
              <w:tr2bl w:val="nil"/>
            </w:tcBorders>
            <w:vAlign w:val="center"/>
          </w:tcPr>
          <w:p w14:paraId="23740C0D">
            <w:pPr>
              <w:spacing w:line="360" w:lineRule="auto"/>
              <w:jc w:val="center"/>
              <w:rPr>
                <w:rFonts w:hint="eastAsia" w:ascii="宋体" w:hAnsi="宋体" w:eastAsia="宋体" w:cs="宋体"/>
                <w:sz w:val="24"/>
                <w:szCs w:val="24"/>
              </w:rPr>
            </w:pPr>
          </w:p>
        </w:tc>
        <w:tc>
          <w:tcPr>
            <w:tcW w:w="992" w:type="pct"/>
            <w:gridSpan w:val="2"/>
            <w:tcBorders>
              <w:tl2br w:val="nil"/>
              <w:tr2bl w:val="nil"/>
            </w:tcBorders>
            <w:vAlign w:val="center"/>
          </w:tcPr>
          <w:p w14:paraId="571A83E0">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除静电风扇</w:t>
            </w:r>
          </w:p>
        </w:tc>
        <w:tc>
          <w:tcPr>
            <w:tcW w:w="2528" w:type="pct"/>
            <w:gridSpan w:val="2"/>
            <w:tcBorders>
              <w:tl2br w:val="nil"/>
              <w:tr2bl w:val="nil"/>
            </w:tcBorders>
            <w:vAlign w:val="center"/>
          </w:tcPr>
          <w:p w14:paraId="09DA4EF3">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495" w:type="pct"/>
            <w:gridSpan w:val="2"/>
            <w:tcBorders>
              <w:tl2br w:val="nil"/>
              <w:tr2bl w:val="nil"/>
            </w:tcBorders>
            <w:vAlign w:val="center"/>
          </w:tcPr>
          <w:p w14:paraId="0559B1D9">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若干</w:t>
            </w:r>
          </w:p>
        </w:tc>
      </w:tr>
      <w:tr w14:paraId="64E52B9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jc w:val="center"/>
        </w:trPr>
        <w:tc>
          <w:tcPr>
            <w:tcW w:w="401" w:type="pct"/>
            <w:gridSpan w:val="2"/>
            <w:tcBorders>
              <w:tl2br w:val="nil"/>
              <w:tr2bl w:val="nil"/>
            </w:tcBorders>
            <w:vAlign w:val="center"/>
          </w:tcPr>
          <w:p w14:paraId="3A661337">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581" w:type="pct"/>
            <w:gridSpan w:val="2"/>
            <w:tcBorders>
              <w:tl2br w:val="nil"/>
              <w:tr2bl w:val="nil"/>
            </w:tcBorders>
            <w:vAlign w:val="center"/>
          </w:tcPr>
          <w:p w14:paraId="4B40DF6E">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空调系统</w:t>
            </w:r>
          </w:p>
        </w:tc>
        <w:tc>
          <w:tcPr>
            <w:tcW w:w="992" w:type="pct"/>
            <w:gridSpan w:val="2"/>
            <w:tcBorders>
              <w:tl2br w:val="nil"/>
              <w:tr2bl w:val="nil"/>
            </w:tcBorders>
            <w:vAlign w:val="center"/>
          </w:tcPr>
          <w:p w14:paraId="63AD31C2">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顶装工业空调</w:t>
            </w:r>
          </w:p>
        </w:tc>
        <w:tc>
          <w:tcPr>
            <w:tcW w:w="2528" w:type="pct"/>
            <w:gridSpan w:val="2"/>
            <w:tcBorders>
              <w:tl2br w:val="nil"/>
              <w:tr2bl w:val="nil"/>
            </w:tcBorders>
            <w:vAlign w:val="center"/>
          </w:tcPr>
          <w:p w14:paraId="2A9BAF8E">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1P</w:t>
            </w:r>
          </w:p>
        </w:tc>
        <w:tc>
          <w:tcPr>
            <w:tcW w:w="495" w:type="pct"/>
            <w:gridSpan w:val="2"/>
            <w:tcBorders>
              <w:tl2br w:val="nil"/>
              <w:tr2bl w:val="nil"/>
            </w:tcBorders>
            <w:vAlign w:val="center"/>
          </w:tcPr>
          <w:p w14:paraId="62D260D7">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r>
      <w:tr w14:paraId="76EF0DD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jc w:val="center"/>
        </w:trPr>
        <w:tc>
          <w:tcPr>
            <w:tcW w:w="5000" w:type="pct"/>
            <w:gridSpan w:val="10"/>
            <w:tcBorders>
              <w:tl2br w:val="nil"/>
              <w:tr2bl w:val="nil"/>
            </w:tcBorders>
            <w:vAlign w:val="center"/>
          </w:tcPr>
          <w:p w14:paraId="4978042F">
            <w:pPr>
              <w:spacing w:line="360" w:lineRule="auto"/>
              <w:jc w:val="center"/>
              <w:rPr>
                <w:rFonts w:hint="eastAsia" w:ascii="宋体" w:hAnsi="宋体" w:eastAsia="宋体" w:cs="宋体"/>
                <w:b/>
                <w:bCs/>
                <w:sz w:val="24"/>
                <w:szCs w:val="24"/>
                <w:lang w:val="en-US"/>
              </w:rPr>
            </w:pPr>
            <w:r>
              <w:rPr>
                <w:rFonts w:hint="eastAsia" w:ascii="宋体" w:hAnsi="宋体" w:eastAsia="宋体" w:cs="宋体"/>
                <w:b/>
                <w:bCs/>
                <w:sz w:val="24"/>
                <w:szCs w:val="24"/>
                <w:lang w:val="en-US" w:eastAsia="zh-CN"/>
              </w:rPr>
              <w:t>智能环境控制系统配置清单</w:t>
            </w:r>
          </w:p>
        </w:tc>
      </w:tr>
      <w:tr w14:paraId="798BBAB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pct"/>
          <w:trHeight w:val="317" w:hRule="atLeast"/>
          <w:jc w:val="center"/>
        </w:trPr>
        <w:tc>
          <w:tcPr>
            <w:tcW w:w="400" w:type="pct"/>
            <w:vMerge w:val="restart"/>
            <w:tcBorders>
              <w:tl2br w:val="nil"/>
              <w:tr2bl w:val="nil"/>
            </w:tcBorders>
            <w:vAlign w:val="center"/>
          </w:tcPr>
          <w:p w14:paraId="57578EE5">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579" w:type="pct"/>
            <w:gridSpan w:val="2"/>
            <w:vMerge w:val="restart"/>
            <w:tcBorders>
              <w:tl2br w:val="nil"/>
              <w:tr2bl w:val="nil"/>
            </w:tcBorders>
            <w:vAlign w:val="center"/>
          </w:tcPr>
          <w:p w14:paraId="7D98836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置换系统</w:t>
            </w:r>
          </w:p>
        </w:tc>
        <w:tc>
          <w:tcPr>
            <w:tcW w:w="989" w:type="pct"/>
            <w:gridSpan w:val="2"/>
            <w:tcBorders>
              <w:tl2br w:val="nil"/>
              <w:tr2bl w:val="nil"/>
            </w:tcBorders>
            <w:vAlign w:val="center"/>
          </w:tcPr>
          <w:p w14:paraId="6105CD0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充氩模块</w:t>
            </w:r>
          </w:p>
        </w:tc>
        <w:tc>
          <w:tcPr>
            <w:tcW w:w="2519" w:type="pct"/>
            <w:gridSpan w:val="2"/>
            <w:tcBorders>
              <w:tl2br w:val="nil"/>
              <w:tr2bl w:val="nil"/>
            </w:tcBorders>
            <w:vAlign w:val="center"/>
          </w:tcPr>
          <w:p w14:paraId="46D9A99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充氩接口、管路、调压阀、电磁阀</w:t>
            </w:r>
          </w:p>
        </w:tc>
        <w:tc>
          <w:tcPr>
            <w:tcW w:w="493" w:type="pct"/>
            <w:gridSpan w:val="2"/>
            <w:tcBorders>
              <w:tl2br w:val="nil"/>
              <w:tr2bl w:val="nil"/>
            </w:tcBorders>
            <w:vAlign w:val="center"/>
          </w:tcPr>
          <w:p w14:paraId="4A3B2B3D">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r>
      <w:tr w14:paraId="64A2AE3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pct"/>
          <w:trHeight w:val="359" w:hRule="atLeast"/>
          <w:jc w:val="center"/>
        </w:trPr>
        <w:tc>
          <w:tcPr>
            <w:tcW w:w="400" w:type="pct"/>
            <w:vMerge w:val="continue"/>
            <w:tcBorders>
              <w:tl2br w:val="nil"/>
              <w:tr2bl w:val="nil"/>
            </w:tcBorders>
            <w:vAlign w:val="center"/>
          </w:tcPr>
          <w:p w14:paraId="42F802A7">
            <w:pPr>
              <w:spacing w:line="360" w:lineRule="auto"/>
              <w:jc w:val="center"/>
              <w:rPr>
                <w:rFonts w:hint="eastAsia" w:ascii="宋体" w:hAnsi="宋体" w:eastAsia="宋体" w:cs="宋体"/>
                <w:sz w:val="24"/>
                <w:szCs w:val="24"/>
              </w:rPr>
            </w:pPr>
          </w:p>
        </w:tc>
        <w:tc>
          <w:tcPr>
            <w:tcW w:w="579" w:type="pct"/>
            <w:gridSpan w:val="2"/>
            <w:vMerge w:val="continue"/>
            <w:tcBorders>
              <w:tl2br w:val="nil"/>
              <w:tr2bl w:val="nil"/>
            </w:tcBorders>
            <w:vAlign w:val="center"/>
          </w:tcPr>
          <w:p w14:paraId="7168F64C">
            <w:pPr>
              <w:spacing w:line="360" w:lineRule="auto"/>
              <w:jc w:val="center"/>
              <w:rPr>
                <w:rFonts w:hint="eastAsia" w:ascii="宋体" w:hAnsi="宋体" w:eastAsia="宋体" w:cs="宋体"/>
                <w:sz w:val="24"/>
                <w:szCs w:val="24"/>
              </w:rPr>
            </w:pPr>
          </w:p>
        </w:tc>
        <w:tc>
          <w:tcPr>
            <w:tcW w:w="989" w:type="pct"/>
            <w:gridSpan w:val="2"/>
            <w:tcBorders>
              <w:tl2br w:val="nil"/>
              <w:tr2bl w:val="nil"/>
            </w:tcBorders>
            <w:vAlign w:val="center"/>
          </w:tcPr>
          <w:p w14:paraId="7839201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排气模块</w:t>
            </w:r>
          </w:p>
        </w:tc>
        <w:tc>
          <w:tcPr>
            <w:tcW w:w="2519" w:type="pct"/>
            <w:gridSpan w:val="2"/>
            <w:tcBorders>
              <w:tl2br w:val="nil"/>
              <w:tr2bl w:val="nil"/>
            </w:tcBorders>
            <w:vAlign w:val="center"/>
          </w:tcPr>
          <w:p w14:paraId="108D8C3F">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泄压阀门、排气管路</w:t>
            </w:r>
            <w:r>
              <w:rPr>
                <w:rFonts w:hint="eastAsia" w:ascii="宋体" w:hAnsi="宋体" w:eastAsia="宋体" w:cs="宋体"/>
                <w:sz w:val="24"/>
                <w:szCs w:val="24"/>
                <w:lang w:val="en-US" w:eastAsia="zh-CN"/>
              </w:rPr>
              <w:t>等等</w:t>
            </w:r>
          </w:p>
        </w:tc>
        <w:tc>
          <w:tcPr>
            <w:tcW w:w="493" w:type="pct"/>
            <w:gridSpan w:val="2"/>
            <w:tcBorders>
              <w:tl2br w:val="nil"/>
              <w:tr2bl w:val="nil"/>
            </w:tcBorders>
            <w:vAlign w:val="center"/>
          </w:tcPr>
          <w:p w14:paraId="2C66622C">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r>
      <w:tr w14:paraId="16E1791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pct"/>
          <w:trHeight w:val="317" w:hRule="atLeast"/>
          <w:jc w:val="center"/>
        </w:trPr>
        <w:tc>
          <w:tcPr>
            <w:tcW w:w="400" w:type="pct"/>
            <w:vMerge w:val="continue"/>
            <w:tcBorders>
              <w:tl2br w:val="nil"/>
              <w:tr2bl w:val="nil"/>
            </w:tcBorders>
            <w:vAlign w:val="center"/>
          </w:tcPr>
          <w:p w14:paraId="685A0B90">
            <w:pPr>
              <w:spacing w:line="360" w:lineRule="auto"/>
              <w:jc w:val="center"/>
              <w:rPr>
                <w:rFonts w:hint="eastAsia" w:ascii="宋体" w:hAnsi="宋体" w:eastAsia="宋体" w:cs="宋体"/>
                <w:sz w:val="24"/>
                <w:szCs w:val="24"/>
              </w:rPr>
            </w:pPr>
          </w:p>
        </w:tc>
        <w:tc>
          <w:tcPr>
            <w:tcW w:w="579" w:type="pct"/>
            <w:gridSpan w:val="2"/>
            <w:vMerge w:val="continue"/>
            <w:tcBorders>
              <w:tl2br w:val="nil"/>
              <w:tr2bl w:val="nil"/>
            </w:tcBorders>
            <w:vAlign w:val="center"/>
          </w:tcPr>
          <w:p w14:paraId="639EA5B1">
            <w:pPr>
              <w:spacing w:line="360" w:lineRule="auto"/>
              <w:jc w:val="center"/>
              <w:rPr>
                <w:rFonts w:hint="eastAsia" w:ascii="宋体" w:hAnsi="宋体" w:eastAsia="宋体" w:cs="宋体"/>
                <w:sz w:val="24"/>
                <w:szCs w:val="24"/>
              </w:rPr>
            </w:pPr>
          </w:p>
        </w:tc>
        <w:tc>
          <w:tcPr>
            <w:tcW w:w="989" w:type="pct"/>
            <w:gridSpan w:val="2"/>
            <w:tcBorders>
              <w:tl2br w:val="nil"/>
              <w:tr2bl w:val="nil"/>
            </w:tcBorders>
            <w:vAlign w:val="center"/>
          </w:tcPr>
          <w:p w14:paraId="0659E68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搅拌</w:t>
            </w:r>
            <w:r>
              <w:rPr>
                <w:rFonts w:hint="eastAsia" w:ascii="宋体" w:hAnsi="宋体" w:eastAsia="宋体" w:cs="宋体"/>
                <w:sz w:val="24"/>
                <w:szCs w:val="24"/>
                <w:lang w:val="en-US" w:eastAsia="zh-CN"/>
              </w:rPr>
              <w:t>混气</w:t>
            </w:r>
            <w:r>
              <w:rPr>
                <w:rFonts w:hint="eastAsia" w:ascii="宋体" w:hAnsi="宋体" w:eastAsia="宋体" w:cs="宋体"/>
                <w:sz w:val="24"/>
                <w:szCs w:val="24"/>
              </w:rPr>
              <w:t>装置</w:t>
            </w:r>
          </w:p>
        </w:tc>
        <w:tc>
          <w:tcPr>
            <w:tcW w:w="2519" w:type="pct"/>
            <w:gridSpan w:val="2"/>
            <w:tcBorders>
              <w:tl2br w:val="nil"/>
              <w:tr2bl w:val="nil"/>
            </w:tcBorders>
            <w:vAlign w:val="center"/>
          </w:tcPr>
          <w:p w14:paraId="2663204D">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内置</w:t>
            </w:r>
            <w:r>
              <w:rPr>
                <w:rFonts w:hint="eastAsia" w:ascii="宋体" w:hAnsi="宋体" w:eastAsia="宋体" w:cs="宋体"/>
                <w:sz w:val="24"/>
                <w:szCs w:val="24"/>
              </w:rPr>
              <w:t>风扇</w:t>
            </w:r>
          </w:p>
        </w:tc>
        <w:tc>
          <w:tcPr>
            <w:tcW w:w="493" w:type="pct"/>
            <w:gridSpan w:val="2"/>
            <w:tcBorders>
              <w:tl2br w:val="nil"/>
              <w:tr2bl w:val="nil"/>
            </w:tcBorders>
            <w:vAlign w:val="center"/>
          </w:tcPr>
          <w:p w14:paraId="73A53987">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若干</w:t>
            </w:r>
          </w:p>
        </w:tc>
      </w:tr>
      <w:tr w14:paraId="6FA6850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pct"/>
          <w:trHeight w:val="629" w:hRule="atLeast"/>
          <w:jc w:val="center"/>
        </w:trPr>
        <w:tc>
          <w:tcPr>
            <w:tcW w:w="400" w:type="pct"/>
            <w:vMerge w:val="restart"/>
            <w:tcBorders>
              <w:tl2br w:val="nil"/>
              <w:tr2bl w:val="nil"/>
            </w:tcBorders>
            <w:vAlign w:val="center"/>
          </w:tcPr>
          <w:p w14:paraId="4FE33A63">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579" w:type="pct"/>
            <w:gridSpan w:val="2"/>
            <w:vMerge w:val="restart"/>
            <w:tcBorders>
              <w:tl2br w:val="nil"/>
              <w:tr2bl w:val="nil"/>
            </w:tcBorders>
            <w:vAlign w:val="center"/>
          </w:tcPr>
          <w:p w14:paraId="57F7384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循环净</w:t>
            </w:r>
            <w:r>
              <w:rPr>
                <w:rFonts w:hint="eastAsia" w:ascii="宋体" w:hAnsi="宋体" w:eastAsia="宋体" w:cs="宋体"/>
                <w:sz w:val="24"/>
                <w:szCs w:val="24"/>
                <w:lang w:val="en-US" w:eastAsia="zh-CN"/>
              </w:rPr>
              <w:t>化</w:t>
            </w:r>
            <w:r>
              <w:rPr>
                <w:rFonts w:hint="eastAsia" w:ascii="宋体" w:hAnsi="宋体" w:eastAsia="宋体" w:cs="宋体"/>
                <w:sz w:val="24"/>
                <w:szCs w:val="24"/>
              </w:rPr>
              <w:t>系</w:t>
            </w:r>
          </w:p>
          <w:p w14:paraId="70AEF89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统</w:t>
            </w:r>
          </w:p>
        </w:tc>
        <w:tc>
          <w:tcPr>
            <w:tcW w:w="989" w:type="pct"/>
            <w:gridSpan w:val="2"/>
            <w:tcBorders>
              <w:tl2br w:val="nil"/>
              <w:tr2bl w:val="nil"/>
            </w:tcBorders>
            <w:vAlign w:val="center"/>
          </w:tcPr>
          <w:p w14:paraId="65CD783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净化柱</w:t>
            </w:r>
          </w:p>
        </w:tc>
        <w:tc>
          <w:tcPr>
            <w:tcW w:w="2519" w:type="pct"/>
            <w:gridSpan w:val="2"/>
            <w:tcBorders>
              <w:tl2br w:val="nil"/>
              <w:tr2bl w:val="nil"/>
            </w:tcBorders>
            <w:vAlign w:val="center"/>
          </w:tcPr>
          <w:p w14:paraId="20984B31">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6套32kg净化柱、3用3备</w:t>
            </w:r>
          </w:p>
        </w:tc>
        <w:tc>
          <w:tcPr>
            <w:tcW w:w="493" w:type="pct"/>
            <w:gridSpan w:val="2"/>
            <w:tcBorders>
              <w:tl2br w:val="nil"/>
              <w:tr2bl w:val="nil"/>
            </w:tcBorders>
            <w:vAlign w:val="center"/>
          </w:tcPr>
          <w:p w14:paraId="396C84BA">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r>
      <w:tr w14:paraId="58FA6DC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pct"/>
          <w:trHeight w:val="317" w:hRule="atLeast"/>
          <w:jc w:val="center"/>
        </w:trPr>
        <w:tc>
          <w:tcPr>
            <w:tcW w:w="400" w:type="pct"/>
            <w:vMerge w:val="continue"/>
            <w:tcBorders>
              <w:tl2br w:val="nil"/>
              <w:tr2bl w:val="nil"/>
            </w:tcBorders>
            <w:vAlign w:val="center"/>
          </w:tcPr>
          <w:p w14:paraId="0C81C094">
            <w:pPr>
              <w:spacing w:line="360" w:lineRule="auto"/>
              <w:jc w:val="center"/>
              <w:rPr>
                <w:rFonts w:hint="eastAsia" w:ascii="宋体" w:hAnsi="宋体" w:eastAsia="宋体" w:cs="宋体"/>
                <w:sz w:val="24"/>
                <w:szCs w:val="24"/>
              </w:rPr>
            </w:pPr>
          </w:p>
        </w:tc>
        <w:tc>
          <w:tcPr>
            <w:tcW w:w="579" w:type="pct"/>
            <w:gridSpan w:val="2"/>
            <w:vMerge w:val="continue"/>
            <w:tcBorders>
              <w:tl2br w:val="nil"/>
              <w:tr2bl w:val="nil"/>
            </w:tcBorders>
            <w:vAlign w:val="center"/>
          </w:tcPr>
          <w:p w14:paraId="5AC78FB7">
            <w:pPr>
              <w:spacing w:line="360" w:lineRule="auto"/>
              <w:jc w:val="center"/>
              <w:rPr>
                <w:rFonts w:hint="eastAsia" w:ascii="宋体" w:hAnsi="宋体" w:eastAsia="宋体" w:cs="宋体"/>
                <w:sz w:val="24"/>
                <w:szCs w:val="24"/>
              </w:rPr>
            </w:pPr>
          </w:p>
        </w:tc>
        <w:tc>
          <w:tcPr>
            <w:tcW w:w="989" w:type="pct"/>
            <w:gridSpan w:val="2"/>
            <w:tcBorders>
              <w:tl2br w:val="nil"/>
              <w:tr2bl w:val="nil"/>
            </w:tcBorders>
            <w:vAlign w:val="center"/>
          </w:tcPr>
          <w:p w14:paraId="57B5275E">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变频耐压</w:t>
            </w:r>
            <w:r>
              <w:rPr>
                <w:rFonts w:hint="eastAsia" w:ascii="宋体" w:hAnsi="宋体" w:eastAsia="宋体" w:cs="宋体"/>
                <w:sz w:val="24"/>
                <w:szCs w:val="24"/>
              </w:rPr>
              <w:t>风机</w:t>
            </w:r>
          </w:p>
        </w:tc>
        <w:tc>
          <w:tcPr>
            <w:tcW w:w="2519" w:type="pct"/>
            <w:gridSpan w:val="2"/>
            <w:tcBorders>
              <w:tl2br w:val="nil"/>
              <w:tr2bl w:val="nil"/>
            </w:tcBorders>
            <w:vAlign w:val="center"/>
          </w:tcPr>
          <w:p w14:paraId="47D062A7">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 xml:space="preserve">最大风量 </w:t>
            </w:r>
            <w:r>
              <w:rPr>
                <w:rFonts w:hint="eastAsia" w:ascii="宋体" w:hAnsi="宋体" w:eastAsia="宋体" w:cs="宋体"/>
                <w:sz w:val="24"/>
                <w:szCs w:val="24"/>
                <w:lang w:val="en-US" w:eastAsia="zh-CN"/>
              </w:rPr>
              <w:t>250</w:t>
            </w:r>
            <w:r>
              <w:rPr>
                <w:rFonts w:hint="eastAsia" w:ascii="宋体" w:hAnsi="宋体" w:eastAsia="宋体" w:cs="宋体"/>
                <w:sz w:val="24"/>
                <w:szCs w:val="24"/>
              </w:rPr>
              <w:t>m3/</w:t>
            </w:r>
            <w:r>
              <w:rPr>
                <w:rFonts w:hint="eastAsia" w:ascii="宋体" w:hAnsi="宋体" w:eastAsia="宋体" w:cs="宋体"/>
                <w:sz w:val="24"/>
                <w:szCs w:val="24"/>
                <w:lang w:val="en-US" w:eastAsia="zh-CN"/>
              </w:rPr>
              <w:t>h</w:t>
            </w:r>
          </w:p>
        </w:tc>
        <w:tc>
          <w:tcPr>
            <w:tcW w:w="493" w:type="pct"/>
            <w:gridSpan w:val="2"/>
            <w:tcBorders>
              <w:tl2br w:val="nil"/>
              <w:tr2bl w:val="nil"/>
            </w:tcBorders>
            <w:vAlign w:val="center"/>
          </w:tcPr>
          <w:p w14:paraId="7A166692">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r>
      <w:tr w14:paraId="6163491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pct"/>
          <w:trHeight w:val="317" w:hRule="atLeast"/>
          <w:jc w:val="center"/>
        </w:trPr>
        <w:tc>
          <w:tcPr>
            <w:tcW w:w="400" w:type="pct"/>
            <w:vMerge w:val="continue"/>
            <w:tcBorders>
              <w:tl2br w:val="nil"/>
              <w:tr2bl w:val="nil"/>
            </w:tcBorders>
            <w:vAlign w:val="center"/>
          </w:tcPr>
          <w:p w14:paraId="1A26EA9B">
            <w:pPr>
              <w:spacing w:line="360" w:lineRule="auto"/>
              <w:jc w:val="center"/>
              <w:rPr>
                <w:rFonts w:hint="eastAsia" w:ascii="宋体" w:hAnsi="宋体" w:eastAsia="宋体" w:cs="宋体"/>
                <w:sz w:val="24"/>
                <w:szCs w:val="24"/>
              </w:rPr>
            </w:pPr>
          </w:p>
        </w:tc>
        <w:tc>
          <w:tcPr>
            <w:tcW w:w="579" w:type="pct"/>
            <w:gridSpan w:val="2"/>
            <w:vMerge w:val="continue"/>
            <w:tcBorders>
              <w:tl2br w:val="nil"/>
              <w:tr2bl w:val="nil"/>
            </w:tcBorders>
            <w:vAlign w:val="center"/>
          </w:tcPr>
          <w:p w14:paraId="4823E33A">
            <w:pPr>
              <w:spacing w:line="360" w:lineRule="auto"/>
              <w:jc w:val="center"/>
              <w:rPr>
                <w:rFonts w:hint="eastAsia" w:ascii="宋体" w:hAnsi="宋体" w:eastAsia="宋体" w:cs="宋体"/>
                <w:sz w:val="24"/>
                <w:szCs w:val="24"/>
              </w:rPr>
            </w:pPr>
          </w:p>
        </w:tc>
        <w:tc>
          <w:tcPr>
            <w:tcW w:w="989" w:type="pct"/>
            <w:gridSpan w:val="2"/>
            <w:tcBorders>
              <w:tl2br w:val="nil"/>
              <w:tr2bl w:val="nil"/>
            </w:tcBorders>
            <w:vAlign w:val="center"/>
          </w:tcPr>
          <w:p w14:paraId="21D815B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集成阀</w:t>
            </w:r>
          </w:p>
        </w:tc>
        <w:tc>
          <w:tcPr>
            <w:tcW w:w="2519" w:type="pct"/>
            <w:gridSpan w:val="2"/>
            <w:tcBorders>
              <w:tl2br w:val="nil"/>
              <w:tr2bl w:val="nil"/>
            </w:tcBorders>
            <w:vAlign w:val="center"/>
          </w:tcPr>
          <w:p w14:paraId="1CAF2340">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10孔</w:t>
            </w:r>
            <w:r>
              <w:rPr>
                <w:rFonts w:hint="eastAsia" w:ascii="宋体" w:hAnsi="宋体" w:eastAsia="宋体" w:cs="宋体"/>
                <w:sz w:val="24"/>
                <w:szCs w:val="24"/>
              </w:rPr>
              <w:t>集成阀</w:t>
            </w:r>
          </w:p>
        </w:tc>
        <w:tc>
          <w:tcPr>
            <w:tcW w:w="493" w:type="pct"/>
            <w:gridSpan w:val="2"/>
            <w:tcBorders>
              <w:tl2br w:val="nil"/>
              <w:tr2bl w:val="nil"/>
            </w:tcBorders>
            <w:vAlign w:val="center"/>
          </w:tcPr>
          <w:p w14:paraId="696E3BA7">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r>
      <w:tr w14:paraId="302C20E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pct"/>
          <w:trHeight w:val="317" w:hRule="atLeast"/>
          <w:jc w:val="center"/>
        </w:trPr>
        <w:tc>
          <w:tcPr>
            <w:tcW w:w="400" w:type="pct"/>
            <w:vMerge w:val="continue"/>
            <w:tcBorders>
              <w:tl2br w:val="nil"/>
              <w:tr2bl w:val="nil"/>
            </w:tcBorders>
            <w:vAlign w:val="center"/>
          </w:tcPr>
          <w:p w14:paraId="17781B6A">
            <w:pPr>
              <w:spacing w:line="360" w:lineRule="auto"/>
              <w:jc w:val="center"/>
              <w:rPr>
                <w:rFonts w:hint="eastAsia" w:ascii="宋体" w:hAnsi="宋体" w:eastAsia="宋体" w:cs="宋体"/>
                <w:sz w:val="24"/>
                <w:szCs w:val="24"/>
              </w:rPr>
            </w:pPr>
          </w:p>
        </w:tc>
        <w:tc>
          <w:tcPr>
            <w:tcW w:w="579" w:type="pct"/>
            <w:gridSpan w:val="2"/>
            <w:vMerge w:val="continue"/>
            <w:tcBorders>
              <w:tl2br w:val="nil"/>
              <w:tr2bl w:val="nil"/>
            </w:tcBorders>
            <w:vAlign w:val="center"/>
          </w:tcPr>
          <w:p w14:paraId="303C8340">
            <w:pPr>
              <w:spacing w:line="360" w:lineRule="auto"/>
              <w:jc w:val="center"/>
              <w:rPr>
                <w:rFonts w:hint="eastAsia" w:ascii="宋体" w:hAnsi="宋体" w:eastAsia="宋体" w:cs="宋体"/>
                <w:sz w:val="24"/>
                <w:szCs w:val="24"/>
              </w:rPr>
            </w:pPr>
          </w:p>
        </w:tc>
        <w:tc>
          <w:tcPr>
            <w:tcW w:w="989" w:type="pct"/>
            <w:gridSpan w:val="2"/>
            <w:tcBorders>
              <w:tl2br w:val="nil"/>
              <w:tr2bl w:val="nil"/>
            </w:tcBorders>
            <w:vAlign w:val="center"/>
          </w:tcPr>
          <w:p w14:paraId="2288710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DN</w:t>
            </w:r>
            <w:r>
              <w:rPr>
                <w:rFonts w:hint="eastAsia" w:ascii="宋体" w:hAnsi="宋体" w:eastAsia="宋体" w:cs="宋体"/>
                <w:sz w:val="24"/>
                <w:szCs w:val="24"/>
                <w:lang w:val="en-US" w:eastAsia="zh-CN"/>
              </w:rPr>
              <w:t>25\40</w:t>
            </w:r>
            <w:r>
              <w:rPr>
                <w:rFonts w:hint="eastAsia" w:ascii="宋体" w:hAnsi="宋体" w:eastAsia="宋体" w:cs="宋体"/>
                <w:sz w:val="24"/>
                <w:szCs w:val="24"/>
              </w:rPr>
              <w:t xml:space="preserve"> 气动角阀</w:t>
            </w:r>
          </w:p>
        </w:tc>
        <w:tc>
          <w:tcPr>
            <w:tcW w:w="2519" w:type="pct"/>
            <w:gridSpan w:val="2"/>
            <w:tcBorders>
              <w:tl2br w:val="nil"/>
              <w:tr2bl w:val="nil"/>
            </w:tcBorders>
            <w:vAlign w:val="center"/>
          </w:tcPr>
          <w:p w14:paraId="3EBB6D53">
            <w:pPr>
              <w:spacing w:line="360" w:lineRule="auto"/>
              <w:jc w:val="center"/>
              <w:rPr>
                <w:rFonts w:hint="eastAsia" w:ascii="宋体" w:hAnsi="宋体" w:eastAsia="宋体" w:cs="宋体"/>
                <w:sz w:val="24"/>
                <w:szCs w:val="24"/>
                <w:lang w:val="en-US" w:eastAsia="zh-CN"/>
              </w:rPr>
            </w:pPr>
          </w:p>
        </w:tc>
        <w:tc>
          <w:tcPr>
            <w:tcW w:w="493" w:type="pct"/>
            <w:gridSpan w:val="2"/>
            <w:tcBorders>
              <w:tl2br w:val="nil"/>
              <w:tr2bl w:val="nil"/>
            </w:tcBorders>
            <w:vAlign w:val="center"/>
          </w:tcPr>
          <w:p w14:paraId="4CCFAAE5">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w:t>
            </w:r>
          </w:p>
        </w:tc>
      </w:tr>
      <w:tr w14:paraId="27F0956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pct"/>
          <w:trHeight w:val="317" w:hRule="atLeast"/>
          <w:jc w:val="center"/>
        </w:trPr>
        <w:tc>
          <w:tcPr>
            <w:tcW w:w="400" w:type="pct"/>
            <w:vMerge w:val="continue"/>
            <w:tcBorders>
              <w:tl2br w:val="nil"/>
              <w:tr2bl w:val="nil"/>
            </w:tcBorders>
            <w:vAlign w:val="center"/>
          </w:tcPr>
          <w:p w14:paraId="55C6BBEF">
            <w:pPr>
              <w:spacing w:line="360" w:lineRule="auto"/>
              <w:jc w:val="center"/>
              <w:rPr>
                <w:rFonts w:hint="eastAsia" w:ascii="宋体" w:hAnsi="宋体" w:eastAsia="宋体" w:cs="宋体"/>
                <w:sz w:val="24"/>
                <w:szCs w:val="24"/>
              </w:rPr>
            </w:pPr>
          </w:p>
        </w:tc>
        <w:tc>
          <w:tcPr>
            <w:tcW w:w="579" w:type="pct"/>
            <w:gridSpan w:val="2"/>
            <w:vMerge w:val="continue"/>
            <w:tcBorders>
              <w:tl2br w:val="nil"/>
              <w:tr2bl w:val="nil"/>
            </w:tcBorders>
            <w:vAlign w:val="center"/>
          </w:tcPr>
          <w:p w14:paraId="511F938B">
            <w:pPr>
              <w:spacing w:line="360" w:lineRule="auto"/>
              <w:jc w:val="center"/>
              <w:rPr>
                <w:rFonts w:hint="eastAsia" w:ascii="宋体" w:hAnsi="宋体" w:eastAsia="宋体" w:cs="宋体"/>
                <w:sz w:val="24"/>
                <w:szCs w:val="24"/>
              </w:rPr>
            </w:pPr>
          </w:p>
        </w:tc>
        <w:tc>
          <w:tcPr>
            <w:tcW w:w="989" w:type="pct"/>
            <w:gridSpan w:val="2"/>
            <w:tcBorders>
              <w:tl2br w:val="nil"/>
              <w:tr2bl w:val="nil"/>
            </w:tcBorders>
            <w:vAlign w:val="center"/>
          </w:tcPr>
          <w:p w14:paraId="0D101C8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过滤器</w:t>
            </w:r>
          </w:p>
        </w:tc>
        <w:tc>
          <w:tcPr>
            <w:tcW w:w="2519" w:type="pct"/>
            <w:gridSpan w:val="2"/>
            <w:tcBorders>
              <w:tl2br w:val="nil"/>
              <w:tr2bl w:val="nil"/>
            </w:tcBorders>
            <w:vAlign w:val="center"/>
          </w:tcPr>
          <w:p w14:paraId="455E57E6">
            <w:pPr>
              <w:spacing w:line="360" w:lineRule="auto"/>
              <w:jc w:val="center"/>
              <w:rPr>
                <w:rFonts w:hint="eastAsia" w:ascii="宋体" w:hAnsi="宋体" w:eastAsia="宋体" w:cs="宋体"/>
                <w:sz w:val="24"/>
                <w:szCs w:val="24"/>
              </w:rPr>
            </w:pPr>
          </w:p>
        </w:tc>
        <w:tc>
          <w:tcPr>
            <w:tcW w:w="493" w:type="pct"/>
            <w:gridSpan w:val="2"/>
            <w:tcBorders>
              <w:tl2br w:val="nil"/>
              <w:tr2bl w:val="nil"/>
            </w:tcBorders>
            <w:vAlign w:val="center"/>
          </w:tcPr>
          <w:p w14:paraId="42D5443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若干</w:t>
            </w:r>
          </w:p>
        </w:tc>
      </w:tr>
      <w:tr w14:paraId="7056FB4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pct"/>
          <w:trHeight w:val="317" w:hRule="atLeast"/>
          <w:jc w:val="center"/>
        </w:trPr>
        <w:tc>
          <w:tcPr>
            <w:tcW w:w="400" w:type="pct"/>
            <w:vMerge w:val="continue"/>
            <w:tcBorders>
              <w:tl2br w:val="nil"/>
              <w:tr2bl w:val="nil"/>
            </w:tcBorders>
            <w:vAlign w:val="center"/>
          </w:tcPr>
          <w:p w14:paraId="5D128109">
            <w:pPr>
              <w:spacing w:line="360" w:lineRule="auto"/>
              <w:jc w:val="center"/>
              <w:rPr>
                <w:rFonts w:hint="eastAsia" w:ascii="宋体" w:hAnsi="宋体" w:eastAsia="宋体" w:cs="宋体"/>
                <w:sz w:val="24"/>
                <w:szCs w:val="24"/>
              </w:rPr>
            </w:pPr>
          </w:p>
        </w:tc>
        <w:tc>
          <w:tcPr>
            <w:tcW w:w="579" w:type="pct"/>
            <w:gridSpan w:val="2"/>
            <w:vMerge w:val="continue"/>
            <w:tcBorders>
              <w:tl2br w:val="nil"/>
              <w:tr2bl w:val="nil"/>
            </w:tcBorders>
            <w:vAlign w:val="center"/>
          </w:tcPr>
          <w:p w14:paraId="7B7279F6">
            <w:pPr>
              <w:spacing w:line="360" w:lineRule="auto"/>
              <w:jc w:val="center"/>
              <w:rPr>
                <w:rFonts w:hint="eastAsia" w:ascii="宋体" w:hAnsi="宋体" w:eastAsia="宋体" w:cs="宋体"/>
                <w:sz w:val="24"/>
                <w:szCs w:val="24"/>
              </w:rPr>
            </w:pPr>
          </w:p>
        </w:tc>
        <w:tc>
          <w:tcPr>
            <w:tcW w:w="989" w:type="pct"/>
            <w:gridSpan w:val="2"/>
            <w:tcBorders>
              <w:tl2br w:val="nil"/>
              <w:tr2bl w:val="nil"/>
            </w:tcBorders>
            <w:vAlign w:val="center"/>
          </w:tcPr>
          <w:p w14:paraId="6D049B9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循环管路</w:t>
            </w:r>
          </w:p>
        </w:tc>
        <w:tc>
          <w:tcPr>
            <w:tcW w:w="2519" w:type="pct"/>
            <w:gridSpan w:val="2"/>
            <w:tcBorders>
              <w:tl2br w:val="nil"/>
              <w:tr2bl w:val="nil"/>
            </w:tcBorders>
            <w:vAlign w:val="center"/>
          </w:tcPr>
          <w:p w14:paraId="760AEC7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主要为 DN</w:t>
            </w:r>
            <w:r>
              <w:rPr>
                <w:rFonts w:hint="eastAsia" w:ascii="宋体" w:hAnsi="宋体" w:eastAsia="宋体" w:cs="宋体"/>
                <w:sz w:val="24"/>
                <w:szCs w:val="24"/>
                <w:lang w:val="en-US" w:eastAsia="zh-CN"/>
              </w:rPr>
              <w:t>72,</w:t>
            </w:r>
            <w:r>
              <w:rPr>
                <w:rFonts w:hint="eastAsia" w:ascii="宋体" w:hAnsi="宋体" w:eastAsia="宋体" w:cs="宋体"/>
                <w:sz w:val="24"/>
                <w:szCs w:val="24"/>
              </w:rPr>
              <w:t>DN</w:t>
            </w:r>
            <w:r>
              <w:rPr>
                <w:rFonts w:hint="eastAsia" w:ascii="宋体" w:hAnsi="宋体" w:eastAsia="宋体" w:cs="宋体"/>
                <w:sz w:val="24"/>
                <w:szCs w:val="24"/>
                <w:lang w:val="en-US" w:eastAsia="zh-CN"/>
              </w:rPr>
              <w:t>40</w:t>
            </w:r>
            <w:r>
              <w:rPr>
                <w:rFonts w:hint="eastAsia" w:ascii="宋体" w:hAnsi="宋体" w:eastAsia="宋体" w:cs="宋体"/>
                <w:sz w:val="24"/>
                <w:szCs w:val="24"/>
              </w:rPr>
              <w:t xml:space="preserve"> 管路</w:t>
            </w:r>
          </w:p>
        </w:tc>
        <w:tc>
          <w:tcPr>
            <w:tcW w:w="493" w:type="pct"/>
            <w:gridSpan w:val="2"/>
            <w:tcBorders>
              <w:tl2br w:val="nil"/>
              <w:tr2bl w:val="nil"/>
            </w:tcBorders>
            <w:vAlign w:val="center"/>
          </w:tcPr>
          <w:p w14:paraId="40DDEE5F">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6路</w:t>
            </w:r>
          </w:p>
        </w:tc>
      </w:tr>
      <w:tr w14:paraId="2429547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pct"/>
          <w:trHeight w:val="629" w:hRule="atLeast"/>
          <w:jc w:val="center"/>
        </w:trPr>
        <w:tc>
          <w:tcPr>
            <w:tcW w:w="400" w:type="pct"/>
            <w:vMerge w:val="continue"/>
            <w:tcBorders>
              <w:tl2br w:val="nil"/>
              <w:tr2bl w:val="nil"/>
            </w:tcBorders>
            <w:vAlign w:val="center"/>
          </w:tcPr>
          <w:p w14:paraId="538A13BE">
            <w:pPr>
              <w:spacing w:line="360" w:lineRule="auto"/>
              <w:jc w:val="center"/>
              <w:rPr>
                <w:rFonts w:hint="eastAsia" w:ascii="宋体" w:hAnsi="宋体" w:eastAsia="宋体" w:cs="宋体"/>
                <w:sz w:val="24"/>
                <w:szCs w:val="24"/>
              </w:rPr>
            </w:pPr>
          </w:p>
        </w:tc>
        <w:tc>
          <w:tcPr>
            <w:tcW w:w="579" w:type="pct"/>
            <w:gridSpan w:val="2"/>
            <w:vMerge w:val="continue"/>
            <w:tcBorders>
              <w:tl2br w:val="nil"/>
              <w:tr2bl w:val="nil"/>
            </w:tcBorders>
            <w:vAlign w:val="center"/>
          </w:tcPr>
          <w:p w14:paraId="19680ADA">
            <w:pPr>
              <w:spacing w:line="360" w:lineRule="auto"/>
              <w:jc w:val="center"/>
              <w:rPr>
                <w:rFonts w:hint="eastAsia" w:ascii="宋体" w:hAnsi="宋体" w:eastAsia="宋体" w:cs="宋体"/>
                <w:sz w:val="24"/>
                <w:szCs w:val="24"/>
              </w:rPr>
            </w:pPr>
          </w:p>
        </w:tc>
        <w:tc>
          <w:tcPr>
            <w:tcW w:w="989" w:type="pct"/>
            <w:gridSpan w:val="2"/>
            <w:tcBorders>
              <w:tl2br w:val="nil"/>
              <w:tr2bl w:val="nil"/>
            </w:tcBorders>
            <w:vAlign w:val="center"/>
          </w:tcPr>
          <w:p w14:paraId="41BCDF4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再生模块</w:t>
            </w:r>
          </w:p>
        </w:tc>
        <w:tc>
          <w:tcPr>
            <w:tcW w:w="2519" w:type="pct"/>
            <w:gridSpan w:val="2"/>
            <w:tcBorders>
              <w:tl2br w:val="nil"/>
              <w:tr2bl w:val="nil"/>
            </w:tcBorders>
            <w:vAlign w:val="center"/>
          </w:tcPr>
          <w:p w14:paraId="244B23D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加热装置、抽补气接口和</w:t>
            </w:r>
          </w:p>
          <w:p w14:paraId="3F75DA12">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阀门</w:t>
            </w:r>
            <w:r>
              <w:rPr>
                <w:rFonts w:hint="eastAsia" w:ascii="宋体" w:hAnsi="宋体" w:eastAsia="宋体" w:cs="宋体"/>
                <w:sz w:val="24"/>
                <w:szCs w:val="24"/>
                <w:lang w:val="en-US" w:eastAsia="zh-CN"/>
              </w:rPr>
              <w:t>等等</w:t>
            </w:r>
          </w:p>
        </w:tc>
        <w:tc>
          <w:tcPr>
            <w:tcW w:w="493" w:type="pct"/>
            <w:gridSpan w:val="2"/>
            <w:tcBorders>
              <w:tl2br w:val="nil"/>
              <w:tr2bl w:val="nil"/>
            </w:tcBorders>
            <w:vAlign w:val="center"/>
          </w:tcPr>
          <w:p w14:paraId="660AA1B0">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r>
      <w:tr w14:paraId="3544192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pct"/>
          <w:trHeight w:val="317" w:hRule="atLeast"/>
          <w:jc w:val="center"/>
        </w:trPr>
        <w:tc>
          <w:tcPr>
            <w:tcW w:w="400" w:type="pct"/>
            <w:vMerge w:val="continue"/>
            <w:tcBorders>
              <w:tl2br w:val="nil"/>
              <w:tr2bl w:val="nil"/>
            </w:tcBorders>
            <w:vAlign w:val="center"/>
          </w:tcPr>
          <w:p w14:paraId="3CCA82E8">
            <w:pPr>
              <w:spacing w:line="360" w:lineRule="auto"/>
              <w:jc w:val="center"/>
              <w:rPr>
                <w:rFonts w:hint="eastAsia" w:ascii="宋体" w:hAnsi="宋体" w:eastAsia="宋体" w:cs="宋体"/>
                <w:sz w:val="24"/>
                <w:szCs w:val="24"/>
              </w:rPr>
            </w:pPr>
          </w:p>
        </w:tc>
        <w:tc>
          <w:tcPr>
            <w:tcW w:w="579" w:type="pct"/>
            <w:gridSpan w:val="2"/>
            <w:vMerge w:val="continue"/>
            <w:tcBorders>
              <w:tl2br w:val="nil"/>
              <w:tr2bl w:val="nil"/>
            </w:tcBorders>
            <w:vAlign w:val="center"/>
          </w:tcPr>
          <w:p w14:paraId="35D5CEBD">
            <w:pPr>
              <w:spacing w:line="360" w:lineRule="auto"/>
              <w:jc w:val="center"/>
              <w:rPr>
                <w:rFonts w:hint="eastAsia" w:ascii="宋体" w:hAnsi="宋体" w:eastAsia="宋体" w:cs="宋体"/>
                <w:sz w:val="24"/>
                <w:szCs w:val="24"/>
              </w:rPr>
            </w:pPr>
          </w:p>
        </w:tc>
        <w:tc>
          <w:tcPr>
            <w:tcW w:w="989" w:type="pct"/>
            <w:gridSpan w:val="2"/>
            <w:tcBorders>
              <w:tl2br w:val="nil"/>
              <w:tr2bl w:val="nil"/>
            </w:tcBorders>
            <w:vAlign w:val="center"/>
          </w:tcPr>
          <w:p w14:paraId="2F4F71A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真空泵</w:t>
            </w:r>
          </w:p>
        </w:tc>
        <w:tc>
          <w:tcPr>
            <w:tcW w:w="2519" w:type="pct"/>
            <w:gridSpan w:val="2"/>
            <w:tcBorders>
              <w:tl2br w:val="nil"/>
              <w:tr2bl w:val="nil"/>
            </w:tcBorders>
            <w:vAlign w:val="center"/>
          </w:tcPr>
          <w:p w14:paraId="1D462BAF">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RV-12、</w:t>
            </w:r>
            <w:r>
              <w:rPr>
                <w:rFonts w:hint="eastAsia" w:ascii="宋体" w:hAnsi="宋体" w:eastAsia="宋体" w:cs="宋体"/>
                <w:sz w:val="24"/>
                <w:szCs w:val="24"/>
              </w:rPr>
              <w:t>用于净化柱再生</w:t>
            </w:r>
          </w:p>
        </w:tc>
        <w:tc>
          <w:tcPr>
            <w:tcW w:w="493" w:type="pct"/>
            <w:gridSpan w:val="2"/>
            <w:tcBorders>
              <w:tl2br w:val="nil"/>
              <w:tr2bl w:val="nil"/>
            </w:tcBorders>
            <w:vAlign w:val="center"/>
          </w:tcPr>
          <w:p w14:paraId="1CCD0DA5">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p>
        </w:tc>
      </w:tr>
      <w:tr w14:paraId="05775EB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pct"/>
          <w:trHeight w:val="319" w:hRule="atLeast"/>
          <w:jc w:val="center"/>
        </w:trPr>
        <w:tc>
          <w:tcPr>
            <w:tcW w:w="400" w:type="pct"/>
            <w:vMerge w:val="continue"/>
            <w:tcBorders>
              <w:tl2br w:val="nil"/>
              <w:tr2bl w:val="nil"/>
            </w:tcBorders>
            <w:vAlign w:val="center"/>
          </w:tcPr>
          <w:p w14:paraId="36BDBB2E">
            <w:pPr>
              <w:spacing w:line="360" w:lineRule="auto"/>
              <w:jc w:val="center"/>
              <w:rPr>
                <w:rFonts w:hint="eastAsia" w:ascii="宋体" w:hAnsi="宋体" w:eastAsia="宋体" w:cs="宋体"/>
                <w:sz w:val="24"/>
                <w:szCs w:val="24"/>
              </w:rPr>
            </w:pPr>
          </w:p>
        </w:tc>
        <w:tc>
          <w:tcPr>
            <w:tcW w:w="579" w:type="pct"/>
            <w:gridSpan w:val="2"/>
            <w:vMerge w:val="continue"/>
            <w:tcBorders>
              <w:tl2br w:val="nil"/>
              <w:tr2bl w:val="nil"/>
            </w:tcBorders>
            <w:vAlign w:val="center"/>
          </w:tcPr>
          <w:p w14:paraId="23C2CEE3">
            <w:pPr>
              <w:spacing w:line="360" w:lineRule="auto"/>
              <w:jc w:val="center"/>
              <w:rPr>
                <w:rFonts w:hint="eastAsia" w:ascii="宋体" w:hAnsi="宋体" w:eastAsia="宋体" w:cs="宋体"/>
                <w:sz w:val="24"/>
                <w:szCs w:val="24"/>
              </w:rPr>
            </w:pPr>
          </w:p>
        </w:tc>
        <w:tc>
          <w:tcPr>
            <w:tcW w:w="989" w:type="pct"/>
            <w:gridSpan w:val="2"/>
            <w:tcBorders>
              <w:tl2br w:val="nil"/>
              <w:tr2bl w:val="nil"/>
            </w:tcBorders>
            <w:vAlign w:val="center"/>
          </w:tcPr>
          <w:p w14:paraId="45AB7D52">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溶剂柱</w:t>
            </w:r>
          </w:p>
        </w:tc>
        <w:tc>
          <w:tcPr>
            <w:tcW w:w="2519" w:type="pct"/>
            <w:gridSpan w:val="2"/>
            <w:tcBorders>
              <w:tl2br w:val="nil"/>
              <w:tr2bl w:val="nil"/>
            </w:tcBorders>
            <w:vAlign w:val="center"/>
          </w:tcPr>
          <w:p w14:paraId="3AB14D22">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填充35kg水洗高效活性炭</w:t>
            </w:r>
          </w:p>
        </w:tc>
        <w:tc>
          <w:tcPr>
            <w:tcW w:w="493" w:type="pct"/>
            <w:gridSpan w:val="2"/>
            <w:tcBorders>
              <w:tl2br w:val="nil"/>
              <w:tr2bl w:val="nil"/>
            </w:tcBorders>
            <w:vAlign w:val="center"/>
          </w:tcPr>
          <w:p w14:paraId="2571C67E">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r>
      <w:tr w14:paraId="1B6294A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pct"/>
          <w:trHeight w:val="317" w:hRule="atLeast"/>
          <w:jc w:val="center"/>
        </w:trPr>
        <w:tc>
          <w:tcPr>
            <w:tcW w:w="400" w:type="pct"/>
            <w:vMerge w:val="restart"/>
            <w:tcBorders>
              <w:tl2br w:val="nil"/>
              <w:tr2bl w:val="nil"/>
            </w:tcBorders>
            <w:vAlign w:val="center"/>
          </w:tcPr>
          <w:p w14:paraId="016D0EA7">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579" w:type="pct"/>
            <w:gridSpan w:val="2"/>
            <w:vMerge w:val="restart"/>
            <w:tcBorders>
              <w:tl2br w:val="nil"/>
              <w:tr2bl w:val="nil"/>
            </w:tcBorders>
            <w:vAlign w:val="center"/>
          </w:tcPr>
          <w:p w14:paraId="7A9E3D68">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检</w:t>
            </w:r>
            <w:r>
              <w:rPr>
                <w:rFonts w:hint="eastAsia" w:ascii="宋体" w:hAnsi="宋体" w:eastAsia="宋体" w:cs="宋体"/>
                <w:sz w:val="24"/>
                <w:szCs w:val="24"/>
              </w:rPr>
              <w:t>测系统</w:t>
            </w:r>
          </w:p>
        </w:tc>
        <w:tc>
          <w:tcPr>
            <w:tcW w:w="989" w:type="pct"/>
            <w:gridSpan w:val="2"/>
            <w:tcBorders>
              <w:tl2br w:val="nil"/>
              <w:tr2bl w:val="nil"/>
            </w:tcBorders>
            <w:vAlign w:val="center"/>
          </w:tcPr>
          <w:p w14:paraId="6DFADA1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压力传感器</w:t>
            </w:r>
          </w:p>
        </w:tc>
        <w:tc>
          <w:tcPr>
            <w:tcW w:w="2519" w:type="pct"/>
            <w:gridSpan w:val="2"/>
            <w:tcBorders>
              <w:tl2br w:val="nil"/>
              <w:tr2bl w:val="nil"/>
            </w:tcBorders>
            <w:vAlign w:val="center"/>
          </w:tcPr>
          <w:p w14:paraId="4D076A35">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星仪微压传感器</w:t>
            </w:r>
          </w:p>
        </w:tc>
        <w:tc>
          <w:tcPr>
            <w:tcW w:w="493" w:type="pct"/>
            <w:gridSpan w:val="2"/>
            <w:tcBorders>
              <w:tl2br w:val="nil"/>
              <w:tr2bl w:val="nil"/>
            </w:tcBorders>
            <w:vAlign w:val="center"/>
          </w:tcPr>
          <w:p w14:paraId="52AAC539">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r>
      <w:tr w14:paraId="72D192A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pct"/>
          <w:trHeight w:val="317" w:hRule="atLeast"/>
          <w:jc w:val="center"/>
        </w:trPr>
        <w:tc>
          <w:tcPr>
            <w:tcW w:w="400" w:type="pct"/>
            <w:vMerge w:val="continue"/>
            <w:tcBorders>
              <w:tl2br w:val="nil"/>
              <w:tr2bl w:val="nil"/>
            </w:tcBorders>
            <w:vAlign w:val="center"/>
          </w:tcPr>
          <w:p w14:paraId="6D36CAF6">
            <w:pPr>
              <w:spacing w:line="360" w:lineRule="auto"/>
              <w:jc w:val="center"/>
              <w:rPr>
                <w:rFonts w:hint="eastAsia" w:ascii="宋体" w:hAnsi="宋体" w:eastAsia="宋体" w:cs="宋体"/>
                <w:sz w:val="24"/>
                <w:szCs w:val="24"/>
              </w:rPr>
            </w:pPr>
          </w:p>
        </w:tc>
        <w:tc>
          <w:tcPr>
            <w:tcW w:w="579" w:type="pct"/>
            <w:gridSpan w:val="2"/>
            <w:vMerge w:val="continue"/>
            <w:tcBorders>
              <w:tl2br w:val="nil"/>
              <w:tr2bl w:val="nil"/>
            </w:tcBorders>
            <w:vAlign w:val="center"/>
          </w:tcPr>
          <w:p w14:paraId="61288CB3">
            <w:pPr>
              <w:spacing w:line="360" w:lineRule="auto"/>
              <w:jc w:val="center"/>
              <w:rPr>
                <w:rFonts w:hint="eastAsia" w:ascii="宋体" w:hAnsi="宋体" w:eastAsia="宋体" w:cs="宋体"/>
                <w:sz w:val="24"/>
                <w:szCs w:val="24"/>
              </w:rPr>
            </w:pPr>
          </w:p>
        </w:tc>
        <w:tc>
          <w:tcPr>
            <w:tcW w:w="989" w:type="pct"/>
            <w:gridSpan w:val="2"/>
            <w:tcBorders>
              <w:tl2br w:val="nil"/>
              <w:tr2bl w:val="nil"/>
            </w:tcBorders>
            <w:vAlign w:val="center"/>
          </w:tcPr>
          <w:p w14:paraId="0295086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水分析仪</w:t>
            </w:r>
          </w:p>
        </w:tc>
        <w:tc>
          <w:tcPr>
            <w:tcW w:w="2519" w:type="pct"/>
            <w:gridSpan w:val="2"/>
            <w:tcBorders>
              <w:tl2br w:val="nil"/>
              <w:tr2bl w:val="nil"/>
            </w:tcBorders>
            <w:vAlign w:val="center"/>
          </w:tcPr>
          <w:p w14:paraId="4B83FD2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0-</w:t>
            </w:r>
            <w:r>
              <w:rPr>
                <w:rFonts w:hint="eastAsia" w:ascii="宋体" w:hAnsi="宋体" w:eastAsia="宋体" w:cs="宋体"/>
                <w:sz w:val="24"/>
                <w:szCs w:val="24"/>
                <w:lang w:val="en-US" w:eastAsia="zh-CN"/>
              </w:rPr>
              <w:t>1</w:t>
            </w:r>
            <w:r>
              <w:rPr>
                <w:rFonts w:hint="eastAsia" w:ascii="宋体" w:hAnsi="宋体" w:eastAsia="宋体" w:cs="宋体"/>
                <w:sz w:val="24"/>
                <w:szCs w:val="24"/>
              </w:rPr>
              <w:t>00</w:t>
            </w:r>
            <w:r>
              <w:rPr>
                <w:rFonts w:hint="eastAsia" w:ascii="宋体" w:hAnsi="宋体" w:eastAsia="宋体" w:cs="宋体"/>
                <w:sz w:val="24"/>
                <w:szCs w:val="24"/>
                <w:lang w:val="en-US" w:eastAsia="zh-CN"/>
              </w:rPr>
              <w:t>0</w:t>
            </w:r>
            <w:r>
              <w:rPr>
                <w:rFonts w:hint="eastAsia" w:ascii="宋体" w:hAnsi="宋体" w:eastAsia="宋体" w:cs="宋体"/>
                <w:sz w:val="24"/>
                <w:szCs w:val="24"/>
              </w:rPr>
              <w:t>PPM</w:t>
            </w:r>
          </w:p>
        </w:tc>
        <w:tc>
          <w:tcPr>
            <w:tcW w:w="493" w:type="pct"/>
            <w:gridSpan w:val="2"/>
            <w:tcBorders>
              <w:tl2br w:val="nil"/>
              <w:tr2bl w:val="nil"/>
            </w:tcBorders>
            <w:vAlign w:val="center"/>
          </w:tcPr>
          <w:p w14:paraId="713D9753">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r>
      <w:tr w14:paraId="0FABA32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pct"/>
          <w:trHeight w:val="317" w:hRule="atLeast"/>
          <w:jc w:val="center"/>
        </w:trPr>
        <w:tc>
          <w:tcPr>
            <w:tcW w:w="400" w:type="pct"/>
            <w:vMerge w:val="continue"/>
            <w:tcBorders>
              <w:tl2br w:val="nil"/>
              <w:tr2bl w:val="nil"/>
            </w:tcBorders>
            <w:vAlign w:val="center"/>
          </w:tcPr>
          <w:p w14:paraId="7C251E8E">
            <w:pPr>
              <w:spacing w:line="360" w:lineRule="auto"/>
              <w:jc w:val="center"/>
              <w:rPr>
                <w:rFonts w:hint="eastAsia" w:ascii="宋体" w:hAnsi="宋体" w:eastAsia="宋体" w:cs="宋体"/>
                <w:sz w:val="24"/>
                <w:szCs w:val="24"/>
              </w:rPr>
            </w:pPr>
          </w:p>
        </w:tc>
        <w:tc>
          <w:tcPr>
            <w:tcW w:w="579" w:type="pct"/>
            <w:gridSpan w:val="2"/>
            <w:vMerge w:val="continue"/>
            <w:tcBorders>
              <w:tl2br w:val="nil"/>
              <w:tr2bl w:val="nil"/>
            </w:tcBorders>
            <w:vAlign w:val="center"/>
          </w:tcPr>
          <w:p w14:paraId="00340CCB">
            <w:pPr>
              <w:spacing w:line="360" w:lineRule="auto"/>
              <w:jc w:val="center"/>
              <w:rPr>
                <w:rFonts w:hint="eastAsia" w:ascii="宋体" w:hAnsi="宋体" w:eastAsia="宋体" w:cs="宋体"/>
                <w:sz w:val="24"/>
                <w:szCs w:val="24"/>
              </w:rPr>
            </w:pPr>
          </w:p>
        </w:tc>
        <w:tc>
          <w:tcPr>
            <w:tcW w:w="989" w:type="pct"/>
            <w:gridSpan w:val="2"/>
            <w:tcBorders>
              <w:bottom w:val="single" w:color="auto" w:sz="4" w:space="0"/>
              <w:tl2br w:val="nil"/>
              <w:tr2bl w:val="nil"/>
            </w:tcBorders>
            <w:vAlign w:val="center"/>
          </w:tcPr>
          <w:p w14:paraId="68467D0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氧分析仪</w:t>
            </w:r>
          </w:p>
        </w:tc>
        <w:tc>
          <w:tcPr>
            <w:tcW w:w="2519" w:type="pct"/>
            <w:gridSpan w:val="2"/>
            <w:tcBorders>
              <w:tl2br w:val="nil"/>
              <w:tr2bl w:val="nil"/>
            </w:tcBorders>
            <w:vAlign w:val="center"/>
          </w:tcPr>
          <w:p w14:paraId="1D1DC0D5">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0-1000PPM</w:t>
            </w:r>
            <w:r>
              <w:rPr>
                <w:rFonts w:hint="eastAsia" w:ascii="宋体" w:hAnsi="宋体" w:eastAsia="宋体" w:cs="宋体"/>
                <w:sz w:val="24"/>
                <w:szCs w:val="24"/>
                <w:lang w:val="en-US" w:eastAsia="zh-CN"/>
              </w:rPr>
              <w:t>-25%全量程</w:t>
            </w:r>
          </w:p>
        </w:tc>
        <w:tc>
          <w:tcPr>
            <w:tcW w:w="493" w:type="pct"/>
            <w:gridSpan w:val="2"/>
            <w:tcBorders>
              <w:tl2br w:val="nil"/>
              <w:tr2bl w:val="nil"/>
            </w:tcBorders>
            <w:vAlign w:val="center"/>
          </w:tcPr>
          <w:p w14:paraId="71A2CEBB">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r>
      <w:tr w14:paraId="08DB091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pct"/>
          <w:trHeight w:val="317" w:hRule="atLeast"/>
          <w:jc w:val="center"/>
        </w:trPr>
        <w:tc>
          <w:tcPr>
            <w:tcW w:w="400" w:type="pct"/>
            <w:vMerge w:val="continue"/>
            <w:tcBorders>
              <w:bottom w:val="single" w:color="auto" w:sz="4" w:space="0"/>
              <w:tl2br w:val="nil"/>
              <w:tr2bl w:val="nil"/>
            </w:tcBorders>
            <w:vAlign w:val="center"/>
          </w:tcPr>
          <w:p w14:paraId="04885D9E">
            <w:pPr>
              <w:spacing w:line="360" w:lineRule="auto"/>
              <w:jc w:val="center"/>
              <w:rPr>
                <w:rFonts w:hint="eastAsia" w:ascii="宋体" w:hAnsi="宋体" w:eastAsia="宋体" w:cs="宋体"/>
                <w:sz w:val="24"/>
                <w:szCs w:val="24"/>
              </w:rPr>
            </w:pPr>
          </w:p>
        </w:tc>
        <w:tc>
          <w:tcPr>
            <w:tcW w:w="579" w:type="pct"/>
            <w:gridSpan w:val="2"/>
            <w:vMerge w:val="continue"/>
            <w:tcBorders>
              <w:bottom w:val="single" w:color="auto" w:sz="4" w:space="0"/>
              <w:tl2br w:val="nil"/>
              <w:tr2bl w:val="nil"/>
            </w:tcBorders>
            <w:vAlign w:val="center"/>
          </w:tcPr>
          <w:p w14:paraId="5C9F457F">
            <w:pPr>
              <w:spacing w:line="360" w:lineRule="auto"/>
              <w:jc w:val="center"/>
              <w:rPr>
                <w:rFonts w:hint="eastAsia" w:ascii="宋体" w:hAnsi="宋体" w:eastAsia="宋体" w:cs="宋体"/>
                <w:sz w:val="24"/>
                <w:szCs w:val="24"/>
              </w:rPr>
            </w:pPr>
          </w:p>
        </w:tc>
        <w:tc>
          <w:tcPr>
            <w:tcW w:w="989" w:type="pct"/>
            <w:gridSpan w:val="2"/>
            <w:tcBorders>
              <w:top w:val="single" w:color="auto" w:sz="4" w:space="0"/>
              <w:bottom w:val="single" w:color="auto" w:sz="4" w:space="0"/>
              <w:tl2br w:val="nil"/>
              <w:tr2bl w:val="nil"/>
            </w:tcBorders>
            <w:vAlign w:val="center"/>
          </w:tcPr>
          <w:p w14:paraId="70D227EE">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内部可视摄像头</w:t>
            </w:r>
          </w:p>
        </w:tc>
        <w:tc>
          <w:tcPr>
            <w:tcW w:w="2519" w:type="pct"/>
            <w:gridSpan w:val="2"/>
            <w:tcBorders>
              <w:tl2br w:val="nil"/>
              <w:tr2bl w:val="nil"/>
            </w:tcBorders>
            <w:vAlign w:val="center"/>
          </w:tcPr>
          <w:p w14:paraId="4866FAE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360° , 像素 1080P 以上</w:t>
            </w:r>
          </w:p>
        </w:tc>
        <w:tc>
          <w:tcPr>
            <w:tcW w:w="493" w:type="pct"/>
            <w:gridSpan w:val="2"/>
            <w:tcBorders>
              <w:tl2br w:val="nil"/>
              <w:tr2bl w:val="nil"/>
            </w:tcBorders>
            <w:vAlign w:val="center"/>
          </w:tcPr>
          <w:p w14:paraId="33066666">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若干</w:t>
            </w:r>
          </w:p>
        </w:tc>
      </w:tr>
      <w:tr w14:paraId="45787A9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pct"/>
          <w:trHeight w:val="317" w:hRule="atLeast"/>
          <w:jc w:val="center"/>
        </w:trPr>
        <w:tc>
          <w:tcPr>
            <w:tcW w:w="400" w:type="pct"/>
            <w:vMerge w:val="restart"/>
            <w:tcBorders>
              <w:tl2br w:val="nil"/>
              <w:tr2bl w:val="nil"/>
            </w:tcBorders>
            <w:vAlign w:val="center"/>
          </w:tcPr>
          <w:p w14:paraId="08B8AE9A">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579" w:type="pct"/>
            <w:gridSpan w:val="2"/>
            <w:vMerge w:val="restart"/>
            <w:tcBorders>
              <w:tl2br w:val="nil"/>
              <w:tr2bl w:val="nil"/>
            </w:tcBorders>
            <w:vAlign w:val="center"/>
          </w:tcPr>
          <w:p w14:paraId="2257B3D7">
            <w:pPr>
              <w:spacing w:line="360" w:lineRule="auto"/>
              <w:jc w:val="center"/>
              <w:rPr>
                <w:rFonts w:hint="eastAsia" w:ascii="宋体" w:hAnsi="宋体" w:eastAsia="宋体" w:cs="宋体"/>
                <w:sz w:val="24"/>
                <w:szCs w:val="24"/>
              </w:rPr>
            </w:pPr>
          </w:p>
          <w:p w14:paraId="4229419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电气控制系统</w:t>
            </w:r>
          </w:p>
        </w:tc>
        <w:tc>
          <w:tcPr>
            <w:tcW w:w="989" w:type="pct"/>
            <w:gridSpan w:val="2"/>
            <w:tcBorders>
              <w:tl2br w:val="nil"/>
              <w:tr2bl w:val="nil"/>
            </w:tcBorders>
            <w:vAlign w:val="center"/>
          </w:tcPr>
          <w:p w14:paraId="38C786C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触摸屏</w:t>
            </w:r>
          </w:p>
        </w:tc>
        <w:tc>
          <w:tcPr>
            <w:tcW w:w="2519" w:type="pct"/>
            <w:gridSpan w:val="2"/>
            <w:tcBorders>
              <w:tl2br w:val="nil"/>
              <w:tr2bl w:val="nil"/>
            </w:tcBorders>
            <w:vAlign w:val="center"/>
          </w:tcPr>
          <w:p w14:paraId="12717EBE">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10寸</w:t>
            </w:r>
            <w:r>
              <w:rPr>
                <w:rFonts w:hint="eastAsia" w:ascii="宋体" w:hAnsi="宋体" w:eastAsia="宋体" w:cs="宋体"/>
                <w:sz w:val="24"/>
                <w:szCs w:val="24"/>
              </w:rPr>
              <w:t>昆仑通态</w:t>
            </w:r>
            <w:r>
              <w:rPr>
                <w:rFonts w:hint="eastAsia" w:ascii="宋体" w:hAnsi="宋体" w:eastAsia="宋体" w:cs="宋体"/>
                <w:sz w:val="24"/>
                <w:szCs w:val="24"/>
                <w:lang w:val="en-US" w:eastAsia="zh-CN"/>
              </w:rPr>
              <w:t>屏</w:t>
            </w:r>
          </w:p>
        </w:tc>
        <w:tc>
          <w:tcPr>
            <w:tcW w:w="493" w:type="pct"/>
            <w:gridSpan w:val="2"/>
            <w:tcBorders>
              <w:tl2br w:val="nil"/>
              <w:tr2bl w:val="nil"/>
            </w:tcBorders>
            <w:vAlign w:val="center"/>
          </w:tcPr>
          <w:p w14:paraId="0B70939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r>
      <w:tr w14:paraId="4A9D882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pct"/>
          <w:trHeight w:val="317" w:hRule="atLeast"/>
          <w:jc w:val="center"/>
        </w:trPr>
        <w:tc>
          <w:tcPr>
            <w:tcW w:w="400" w:type="pct"/>
            <w:vMerge w:val="continue"/>
            <w:tcBorders>
              <w:tl2br w:val="nil"/>
              <w:tr2bl w:val="nil"/>
            </w:tcBorders>
            <w:vAlign w:val="center"/>
          </w:tcPr>
          <w:p w14:paraId="0C3FBF71">
            <w:pPr>
              <w:spacing w:line="360" w:lineRule="auto"/>
              <w:jc w:val="center"/>
              <w:rPr>
                <w:rFonts w:hint="eastAsia" w:ascii="宋体" w:hAnsi="宋体" w:eastAsia="宋体" w:cs="宋体"/>
                <w:sz w:val="24"/>
                <w:szCs w:val="24"/>
              </w:rPr>
            </w:pPr>
          </w:p>
        </w:tc>
        <w:tc>
          <w:tcPr>
            <w:tcW w:w="579" w:type="pct"/>
            <w:gridSpan w:val="2"/>
            <w:vMerge w:val="continue"/>
            <w:tcBorders>
              <w:tl2br w:val="nil"/>
              <w:tr2bl w:val="nil"/>
            </w:tcBorders>
            <w:vAlign w:val="center"/>
          </w:tcPr>
          <w:p w14:paraId="22F29BBE">
            <w:pPr>
              <w:spacing w:line="360" w:lineRule="auto"/>
              <w:jc w:val="center"/>
              <w:rPr>
                <w:rFonts w:hint="eastAsia" w:ascii="宋体" w:hAnsi="宋体" w:eastAsia="宋体" w:cs="宋体"/>
                <w:sz w:val="24"/>
                <w:szCs w:val="24"/>
              </w:rPr>
            </w:pPr>
          </w:p>
        </w:tc>
        <w:tc>
          <w:tcPr>
            <w:tcW w:w="989" w:type="pct"/>
            <w:gridSpan w:val="2"/>
            <w:tcBorders>
              <w:tl2br w:val="nil"/>
              <w:tr2bl w:val="nil"/>
            </w:tcBorders>
            <w:vAlign w:val="center"/>
          </w:tcPr>
          <w:p w14:paraId="6A0E998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PLC</w:t>
            </w:r>
          </w:p>
        </w:tc>
        <w:tc>
          <w:tcPr>
            <w:tcW w:w="2519" w:type="pct"/>
            <w:gridSpan w:val="2"/>
            <w:tcBorders>
              <w:tl2br w:val="nil"/>
              <w:tr2bl w:val="nil"/>
            </w:tcBorders>
            <w:vAlign w:val="center"/>
          </w:tcPr>
          <w:p w14:paraId="36B8971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西门子</w:t>
            </w:r>
          </w:p>
        </w:tc>
        <w:tc>
          <w:tcPr>
            <w:tcW w:w="493" w:type="pct"/>
            <w:gridSpan w:val="2"/>
            <w:tcBorders>
              <w:tl2br w:val="nil"/>
              <w:tr2bl w:val="nil"/>
            </w:tcBorders>
            <w:vAlign w:val="center"/>
          </w:tcPr>
          <w:p w14:paraId="6918FED0">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14:paraId="7F29B17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pct"/>
          <w:trHeight w:val="317" w:hRule="atLeast"/>
          <w:jc w:val="center"/>
        </w:trPr>
        <w:tc>
          <w:tcPr>
            <w:tcW w:w="400" w:type="pct"/>
            <w:vMerge w:val="continue"/>
            <w:tcBorders>
              <w:tl2br w:val="nil"/>
              <w:tr2bl w:val="nil"/>
            </w:tcBorders>
            <w:vAlign w:val="center"/>
          </w:tcPr>
          <w:p w14:paraId="74907623">
            <w:pPr>
              <w:spacing w:line="360" w:lineRule="auto"/>
              <w:jc w:val="center"/>
              <w:rPr>
                <w:rFonts w:hint="eastAsia" w:ascii="宋体" w:hAnsi="宋体" w:eastAsia="宋体" w:cs="宋体"/>
                <w:sz w:val="24"/>
                <w:szCs w:val="24"/>
              </w:rPr>
            </w:pPr>
          </w:p>
        </w:tc>
        <w:tc>
          <w:tcPr>
            <w:tcW w:w="579" w:type="pct"/>
            <w:gridSpan w:val="2"/>
            <w:vMerge w:val="continue"/>
            <w:tcBorders>
              <w:tl2br w:val="nil"/>
              <w:tr2bl w:val="nil"/>
            </w:tcBorders>
            <w:vAlign w:val="center"/>
          </w:tcPr>
          <w:p w14:paraId="119A8FAC">
            <w:pPr>
              <w:spacing w:line="360" w:lineRule="auto"/>
              <w:jc w:val="center"/>
              <w:rPr>
                <w:rFonts w:hint="eastAsia" w:ascii="宋体" w:hAnsi="宋体" w:eastAsia="宋体" w:cs="宋体"/>
                <w:sz w:val="24"/>
                <w:szCs w:val="24"/>
              </w:rPr>
            </w:pPr>
          </w:p>
        </w:tc>
        <w:tc>
          <w:tcPr>
            <w:tcW w:w="989" w:type="pct"/>
            <w:gridSpan w:val="2"/>
            <w:tcBorders>
              <w:tl2br w:val="nil"/>
              <w:tr2bl w:val="nil"/>
            </w:tcBorders>
            <w:vAlign w:val="center"/>
          </w:tcPr>
          <w:p w14:paraId="3E252D8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三色塔灯</w:t>
            </w:r>
          </w:p>
        </w:tc>
        <w:tc>
          <w:tcPr>
            <w:tcW w:w="2519" w:type="pct"/>
            <w:gridSpan w:val="2"/>
            <w:tcBorders>
              <w:tl2br w:val="nil"/>
              <w:tr2bl w:val="nil"/>
            </w:tcBorders>
            <w:vAlign w:val="center"/>
          </w:tcPr>
          <w:p w14:paraId="313E5543">
            <w:pPr>
              <w:spacing w:line="360" w:lineRule="auto"/>
              <w:jc w:val="center"/>
              <w:rPr>
                <w:rFonts w:hint="eastAsia" w:ascii="宋体" w:hAnsi="宋体" w:eastAsia="宋体" w:cs="宋体"/>
                <w:sz w:val="24"/>
                <w:szCs w:val="24"/>
              </w:rPr>
            </w:pPr>
          </w:p>
        </w:tc>
        <w:tc>
          <w:tcPr>
            <w:tcW w:w="493" w:type="pct"/>
            <w:gridSpan w:val="2"/>
            <w:tcBorders>
              <w:tl2br w:val="nil"/>
              <w:tr2bl w:val="nil"/>
            </w:tcBorders>
            <w:vAlign w:val="center"/>
          </w:tcPr>
          <w:p w14:paraId="285AE2D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r>
      <w:tr w14:paraId="140E826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pct"/>
          <w:trHeight w:val="317" w:hRule="atLeast"/>
          <w:jc w:val="center"/>
        </w:trPr>
        <w:tc>
          <w:tcPr>
            <w:tcW w:w="400" w:type="pct"/>
            <w:vMerge w:val="continue"/>
            <w:tcBorders>
              <w:tl2br w:val="nil"/>
              <w:tr2bl w:val="nil"/>
            </w:tcBorders>
            <w:vAlign w:val="center"/>
          </w:tcPr>
          <w:p w14:paraId="0E250E1A">
            <w:pPr>
              <w:spacing w:line="360" w:lineRule="auto"/>
              <w:jc w:val="center"/>
              <w:rPr>
                <w:rFonts w:hint="eastAsia" w:ascii="宋体" w:hAnsi="宋体" w:eastAsia="宋体" w:cs="宋体"/>
                <w:sz w:val="24"/>
                <w:szCs w:val="24"/>
              </w:rPr>
            </w:pPr>
          </w:p>
        </w:tc>
        <w:tc>
          <w:tcPr>
            <w:tcW w:w="579" w:type="pct"/>
            <w:gridSpan w:val="2"/>
            <w:vMerge w:val="continue"/>
            <w:tcBorders>
              <w:tl2br w:val="nil"/>
              <w:tr2bl w:val="nil"/>
            </w:tcBorders>
            <w:vAlign w:val="center"/>
          </w:tcPr>
          <w:p w14:paraId="134A5E09">
            <w:pPr>
              <w:spacing w:line="360" w:lineRule="auto"/>
              <w:jc w:val="center"/>
              <w:rPr>
                <w:rFonts w:hint="eastAsia" w:ascii="宋体" w:hAnsi="宋体" w:eastAsia="宋体" w:cs="宋体"/>
                <w:sz w:val="24"/>
                <w:szCs w:val="24"/>
              </w:rPr>
            </w:pPr>
          </w:p>
        </w:tc>
        <w:tc>
          <w:tcPr>
            <w:tcW w:w="989" w:type="pct"/>
            <w:gridSpan w:val="2"/>
            <w:tcBorders>
              <w:tl2br w:val="nil"/>
              <w:tr2bl w:val="nil"/>
            </w:tcBorders>
            <w:vAlign w:val="center"/>
          </w:tcPr>
          <w:p w14:paraId="4BEFA51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开关电源</w:t>
            </w:r>
          </w:p>
        </w:tc>
        <w:tc>
          <w:tcPr>
            <w:tcW w:w="2519" w:type="pct"/>
            <w:gridSpan w:val="2"/>
            <w:tcBorders>
              <w:tl2br w:val="nil"/>
              <w:tr2bl w:val="nil"/>
            </w:tcBorders>
            <w:vAlign w:val="center"/>
          </w:tcPr>
          <w:p w14:paraId="6E83B2CB">
            <w:pPr>
              <w:spacing w:line="360" w:lineRule="auto"/>
              <w:jc w:val="center"/>
              <w:rPr>
                <w:rFonts w:hint="eastAsia" w:ascii="宋体" w:hAnsi="宋体" w:eastAsia="宋体" w:cs="宋体"/>
                <w:sz w:val="24"/>
                <w:szCs w:val="24"/>
              </w:rPr>
            </w:pPr>
          </w:p>
        </w:tc>
        <w:tc>
          <w:tcPr>
            <w:tcW w:w="493" w:type="pct"/>
            <w:gridSpan w:val="2"/>
            <w:tcBorders>
              <w:tl2br w:val="nil"/>
              <w:tr2bl w:val="nil"/>
            </w:tcBorders>
            <w:vAlign w:val="center"/>
          </w:tcPr>
          <w:p w14:paraId="08E7200E">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p>
        </w:tc>
      </w:tr>
      <w:tr w14:paraId="7534E81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pct"/>
          <w:trHeight w:val="317" w:hRule="atLeast"/>
          <w:jc w:val="center"/>
        </w:trPr>
        <w:tc>
          <w:tcPr>
            <w:tcW w:w="400" w:type="pct"/>
            <w:vMerge w:val="continue"/>
            <w:tcBorders>
              <w:tl2br w:val="nil"/>
              <w:tr2bl w:val="nil"/>
            </w:tcBorders>
            <w:vAlign w:val="center"/>
          </w:tcPr>
          <w:p w14:paraId="1065E220">
            <w:pPr>
              <w:spacing w:line="360" w:lineRule="auto"/>
              <w:jc w:val="center"/>
              <w:rPr>
                <w:rFonts w:hint="eastAsia" w:ascii="宋体" w:hAnsi="宋体" w:eastAsia="宋体" w:cs="宋体"/>
                <w:sz w:val="24"/>
                <w:szCs w:val="24"/>
              </w:rPr>
            </w:pPr>
          </w:p>
        </w:tc>
        <w:tc>
          <w:tcPr>
            <w:tcW w:w="579" w:type="pct"/>
            <w:gridSpan w:val="2"/>
            <w:vMerge w:val="continue"/>
            <w:tcBorders>
              <w:tl2br w:val="nil"/>
              <w:tr2bl w:val="nil"/>
            </w:tcBorders>
            <w:vAlign w:val="center"/>
          </w:tcPr>
          <w:p w14:paraId="31540407">
            <w:pPr>
              <w:spacing w:line="360" w:lineRule="auto"/>
              <w:jc w:val="center"/>
              <w:rPr>
                <w:rFonts w:hint="eastAsia" w:ascii="宋体" w:hAnsi="宋体" w:eastAsia="宋体" w:cs="宋体"/>
                <w:sz w:val="24"/>
                <w:szCs w:val="24"/>
              </w:rPr>
            </w:pPr>
          </w:p>
        </w:tc>
        <w:tc>
          <w:tcPr>
            <w:tcW w:w="989" w:type="pct"/>
            <w:gridSpan w:val="2"/>
            <w:tcBorders>
              <w:tl2br w:val="nil"/>
              <w:tr2bl w:val="nil"/>
            </w:tcBorders>
            <w:vAlign w:val="center"/>
          </w:tcPr>
          <w:p w14:paraId="7057777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变频器</w:t>
            </w:r>
          </w:p>
        </w:tc>
        <w:tc>
          <w:tcPr>
            <w:tcW w:w="2519" w:type="pct"/>
            <w:gridSpan w:val="2"/>
            <w:tcBorders>
              <w:tl2br w:val="nil"/>
              <w:tr2bl w:val="nil"/>
            </w:tcBorders>
            <w:vAlign w:val="center"/>
          </w:tcPr>
          <w:p w14:paraId="27FD5D1D">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西门子</w:t>
            </w:r>
          </w:p>
        </w:tc>
        <w:tc>
          <w:tcPr>
            <w:tcW w:w="493" w:type="pct"/>
            <w:gridSpan w:val="2"/>
            <w:tcBorders>
              <w:tl2br w:val="nil"/>
              <w:tr2bl w:val="nil"/>
            </w:tcBorders>
            <w:vAlign w:val="center"/>
          </w:tcPr>
          <w:p w14:paraId="4104C9C0">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r>
      <w:tr w14:paraId="29EE690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pct"/>
          <w:trHeight w:val="317" w:hRule="atLeast"/>
          <w:jc w:val="center"/>
        </w:trPr>
        <w:tc>
          <w:tcPr>
            <w:tcW w:w="400" w:type="pct"/>
            <w:vMerge w:val="continue"/>
            <w:tcBorders>
              <w:tl2br w:val="nil"/>
              <w:tr2bl w:val="nil"/>
            </w:tcBorders>
            <w:vAlign w:val="center"/>
          </w:tcPr>
          <w:p w14:paraId="2B35AD88">
            <w:pPr>
              <w:spacing w:line="360" w:lineRule="auto"/>
              <w:jc w:val="center"/>
              <w:rPr>
                <w:rFonts w:hint="eastAsia" w:ascii="宋体" w:hAnsi="宋体" w:eastAsia="宋体" w:cs="宋体"/>
                <w:sz w:val="24"/>
                <w:szCs w:val="24"/>
              </w:rPr>
            </w:pPr>
          </w:p>
        </w:tc>
        <w:tc>
          <w:tcPr>
            <w:tcW w:w="579" w:type="pct"/>
            <w:gridSpan w:val="2"/>
            <w:vMerge w:val="continue"/>
            <w:tcBorders>
              <w:tl2br w:val="nil"/>
              <w:tr2bl w:val="nil"/>
            </w:tcBorders>
            <w:vAlign w:val="center"/>
          </w:tcPr>
          <w:p w14:paraId="0CC0704D">
            <w:pPr>
              <w:spacing w:line="360" w:lineRule="auto"/>
              <w:jc w:val="center"/>
              <w:rPr>
                <w:rFonts w:hint="eastAsia" w:ascii="宋体" w:hAnsi="宋体" w:eastAsia="宋体" w:cs="宋体"/>
                <w:sz w:val="24"/>
                <w:szCs w:val="24"/>
              </w:rPr>
            </w:pPr>
          </w:p>
        </w:tc>
        <w:tc>
          <w:tcPr>
            <w:tcW w:w="989" w:type="pct"/>
            <w:gridSpan w:val="2"/>
            <w:tcBorders>
              <w:tl2br w:val="nil"/>
              <w:tr2bl w:val="nil"/>
            </w:tcBorders>
            <w:vAlign w:val="center"/>
          </w:tcPr>
          <w:p w14:paraId="73B8D64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电缆电线</w:t>
            </w:r>
          </w:p>
        </w:tc>
        <w:tc>
          <w:tcPr>
            <w:tcW w:w="2519" w:type="pct"/>
            <w:gridSpan w:val="2"/>
            <w:tcBorders>
              <w:tl2br w:val="nil"/>
              <w:tr2bl w:val="nil"/>
            </w:tcBorders>
            <w:vAlign w:val="center"/>
          </w:tcPr>
          <w:p w14:paraId="114B2DE3">
            <w:pPr>
              <w:spacing w:line="360" w:lineRule="auto"/>
              <w:jc w:val="center"/>
              <w:rPr>
                <w:rFonts w:hint="eastAsia" w:ascii="宋体" w:hAnsi="宋体" w:eastAsia="宋体" w:cs="宋体"/>
                <w:sz w:val="24"/>
                <w:szCs w:val="24"/>
              </w:rPr>
            </w:pPr>
          </w:p>
        </w:tc>
        <w:tc>
          <w:tcPr>
            <w:tcW w:w="493" w:type="pct"/>
            <w:gridSpan w:val="2"/>
            <w:tcBorders>
              <w:tl2br w:val="nil"/>
              <w:tr2bl w:val="nil"/>
            </w:tcBorders>
            <w:vAlign w:val="center"/>
          </w:tcPr>
          <w:p w14:paraId="358656B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按需</w:t>
            </w:r>
          </w:p>
        </w:tc>
      </w:tr>
      <w:tr w14:paraId="7A6DD8B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pct"/>
          <w:trHeight w:val="450" w:hRule="atLeast"/>
          <w:jc w:val="center"/>
        </w:trPr>
        <w:tc>
          <w:tcPr>
            <w:tcW w:w="400" w:type="pct"/>
            <w:vMerge w:val="continue"/>
            <w:tcBorders>
              <w:tl2br w:val="nil"/>
              <w:tr2bl w:val="nil"/>
            </w:tcBorders>
            <w:vAlign w:val="center"/>
          </w:tcPr>
          <w:p w14:paraId="0C587CD9">
            <w:pPr>
              <w:spacing w:line="360" w:lineRule="auto"/>
              <w:jc w:val="center"/>
              <w:rPr>
                <w:rFonts w:hint="eastAsia" w:ascii="宋体" w:hAnsi="宋体" w:eastAsia="宋体" w:cs="宋体"/>
                <w:sz w:val="24"/>
                <w:szCs w:val="24"/>
              </w:rPr>
            </w:pPr>
          </w:p>
        </w:tc>
        <w:tc>
          <w:tcPr>
            <w:tcW w:w="579" w:type="pct"/>
            <w:gridSpan w:val="2"/>
            <w:vMerge w:val="continue"/>
            <w:tcBorders>
              <w:tl2br w:val="nil"/>
              <w:tr2bl w:val="nil"/>
            </w:tcBorders>
            <w:vAlign w:val="center"/>
          </w:tcPr>
          <w:p w14:paraId="6DC75A6A">
            <w:pPr>
              <w:spacing w:line="360" w:lineRule="auto"/>
              <w:jc w:val="center"/>
              <w:rPr>
                <w:rFonts w:hint="eastAsia" w:ascii="宋体" w:hAnsi="宋体" w:eastAsia="宋体" w:cs="宋体"/>
                <w:sz w:val="24"/>
                <w:szCs w:val="24"/>
              </w:rPr>
            </w:pPr>
          </w:p>
        </w:tc>
        <w:tc>
          <w:tcPr>
            <w:tcW w:w="989" w:type="pct"/>
            <w:gridSpan w:val="2"/>
            <w:tcBorders>
              <w:tl2br w:val="nil"/>
              <w:tr2bl w:val="nil"/>
            </w:tcBorders>
            <w:vAlign w:val="center"/>
          </w:tcPr>
          <w:p w14:paraId="41388FF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急停按钮</w:t>
            </w:r>
          </w:p>
        </w:tc>
        <w:tc>
          <w:tcPr>
            <w:tcW w:w="2519" w:type="pct"/>
            <w:gridSpan w:val="2"/>
            <w:tcBorders>
              <w:tl2br w:val="nil"/>
              <w:tr2bl w:val="nil"/>
            </w:tcBorders>
            <w:vAlign w:val="center"/>
          </w:tcPr>
          <w:p w14:paraId="4A01D040">
            <w:pPr>
              <w:spacing w:line="360" w:lineRule="auto"/>
              <w:jc w:val="center"/>
              <w:rPr>
                <w:rFonts w:hint="eastAsia" w:ascii="宋体" w:hAnsi="宋体" w:eastAsia="宋体" w:cs="宋体"/>
                <w:sz w:val="24"/>
                <w:szCs w:val="24"/>
              </w:rPr>
            </w:pPr>
          </w:p>
        </w:tc>
        <w:tc>
          <w:tcPr>
            <w:tcW w:w="493" w:type="pct"/>
            <w:gridSpan w:val="2"/>
            <w:tcBorders>
              <w:tl2br w:val="nil"/>
              <w:tr2bl w:val="nil"/>
            </w:tcBorders>
            <w:vAlign w:val="center"/>
          </w:tcPr>
          <w:p w14:paraId="7E1905C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按需</w:t>
            </w:r>
          </w:p>
        </w:tc>
      </w:tr>
      <w:tr w14:paraId="62DCF28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pct"/>
          <w:trHeight w:val="317" w:hRule="atLeast"/>
          <w:jc w:val="center"/>
        </w:trPr>
        <w:tc>
          <w:tcPr>
            <w:tcW w:w="400" w:type="pct"/>
            <w:vMerge w:val="continue"/>
            <w:tcBorders>
              <w:tl2br w:val="nil"/>
              <w:tr2bl w:val="nil"/>
            </w:tcBorders>
            <w:vAlign w:val="center"/>
          </w:tcPr>
          <w:p w14:paraId="498E6AED">
            <w:pPr>
              <w:spacing w:line="360" w:lineRule="auto"/>
              <w:jc w:val="center"/>
              <w:rPr>
                <w:rFonts w:hint="eastAsia" w:ascii="宋体" w:hAnsi="宋体" w:eastAsia="宋体" w:cs="宋体"/>
                <w:sz w:val="24"/>
                <w:szCs w:val="24"/>
              </w:rPr>
            </w:pPr>
          </w:p>
        </w:tc>
        <w:tc>
          <w:tcPr>
            <w:tcW w:w="579" w:type="pct"/>
            <w:gridSpan w:val="2"/>
            <w:vMerge w:val="continue"/>
            <w:tcBorders>
              <w:tl2br w:val="nil"/>
              <w:tr2bl w:val="nil"/>
            </w:tcBorders>
            <w:vAlign w:val="center"/>
          </w:tcPr>
          <w:p w14:paraId="5ABA1DE8">
            <w:pPr>
              <w:spacing w:line="360" w:lineRule="auto"/>
              <w:jc w:val="center"/>
              <w:rPr>
                <w:rFonts w:hint="eastAsia" w:ascii="宋体" w:hAnsi="宋体" w:eastAsia="宋体" w:cs="宋体"/>
                <w:sz w:val="24"/>
                <w:szCs w:val="24"/>
              </w:rPr>
            </w:pPr>
          </w:p>
        </w:tc>
        <w:tc>
          <w:tcPr>
            <w:tcW w:w="989" w:type="pct"/>
            <w:gridSpan w:val="2"/>
            <w:tcBorders>
              <w:tl2br w:val="nil"/>
              <w:tr2bl w:val="nil"/>
            </w:tcBorders>
            <w:vAlign w:val="center"/>
          </w:tcPr>
          <w:p w14:paraId="7886D26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电气控制柜</w:t>
            </w:r>
          </w:p>
        </w:tc>
        <w:tc>
          <w:tcPr>
            <w:tcW w:w="2519" w:type="pct"/>
            <w:gridSpan w:val="2"/>
            <w:tcBorders>
              <w:tl2br w:val="nil"/>
              <w:tr2bl w:val="nil"/>
            </w:tcBorders>
            <w:vAlign w:val="center"/>
          </w:tcPr>
          <w:p w14:paraId="2817D504">
            <w:pPr>
              <w:spacing w:line="360" w:lineRule="auto"/>
              <w:jc w:val="center"/>
              <w:rPr>
                <w:rFonts w:hint="eastAsia" w:ascii="宋体" w:hAnsi="宋体" w:eastAsia="宋体" w:cs="宋体"/>
                <w:sz w:val="24"/>
                <w:szCs w:val="24"/>
              </w:rPr>
            </w:pPr>
          </w:p>
        </w:tc>
        <w:tc>
          <w:tcPr>
            <w:tcW w:w="493" w:type="pct"/>
            <w:gridSpan w:val="2"/>
            <w:tcBorders>
              <w:tl2br w:val="nil"/>
              <w:tr2bl w:val="nil"/>
            </w:tcBorders>
            <w:vAlign w:val="center"/>
          </w:tcPr>
          <w:p w14:paraId="23819E72">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p>
        </w:tc>
      </w:tr>
    </w:tbl>
    <w:p w14:paraId="7CEF8842">
      <w:pPr>
        <w:rPr>
          <w:rFonts w:hint="default"/>
          <w:lang w:val="en-US" w:eastAsia="zh-CN"/>
        </w:rPr>
      </w:pPr>
    </w:p>
    <w:p w14:paraId="7CAFF097">
      <w:pPr>
        <w:rPr>
          <w:rFonts w:hint="default"/>
          <w:lang w:val="en-US" w:eastAsia="zh-CN"/>
        </w:rPr>
      </w:pPr>
    </w:p>
    <w:p w14:paraId="63AA6D88">
      <w:pPr>
        <w:rPr>
          <w:rFonts w:hint="default"/>
          <w:lang w:val="en-US" w:eastAsia="zh-CN"/>
        </w:rPr>
      </w:pPr>
    </w:p>
    <w:p w14:paraId="159EE733">
      <w:pPr>
        <w:rPr>
          <w:rFonts w:hint="default"/>
          <w:lang w:val="en-US" w:eastAsia="zh-CN"/>
        </w:rPr>
      </w:pPr>
    </w:p>
    <w:p w14:paraId="5344B0D1">
      <w:pPr>
        <w:rPr>
          <w:rFonts w:hint="default"/>
          <w:lang w:val="en-US" w:eastAsia="zh-CN"/>
        </w:rPr>
      </w:pPr>
    </w:p>
    <w:p w14:paraId="53FE37F3">
      <w:pPr>
        <w:rPr>
          <w:rFonts w:hint="default"/>
          <w:lang w:val="en-US" w:eastAsia="zh-CN"/>
        </w:rPr>
      </w:pPr>
    </w:p>
    <w:p w14:paraId="7D2C7292">
      <w:pPr>
        <w:rPr>
          <w:rFonts w:hint="default"/>
          <w:lang w:val="en-US" w:eastAsia="zh-CN"/>
        </w:rPr>
      </w:pPr>
    </w:p>
    <w:p w14:paraId="099ED9E5">
      <w:pPr>
        <w:rPr>
          <w:rFonts w:hint="default"/>
          <w:lang w:val="en-US" w:eastAsia="zh-CN"/>
        </w:rPr>
      </w:pPr>
    </w:p>
    <w:p w14:paraId="34B5C1B8">
      <w:pPr>
        <w:rPr>
          <w:rFonts w:hint="default"/>
          <w:lang w:val="en-US" w:eastAsia="zh-CN"/>
        </w:rPr>
      </w:pPr>
    </w:p>
    <w:p w14:paraId="1B7D011D">
      <w:pPr>
        <w:rPr>
          <w:rFonts w:hint="default"/>
          <w:lang w:val="en-US" w:eastAsia="zh-CN"/>
        </w:rPr>
      </w:pPr>
    </w:p>
    <w:p w14:paraId="1F85FDE7">
      <w:pPr>
        <w:rPr>
          <w:rFonts w:hint="default"/>
          <w:lang w:val="en-US" w:eastAsia="zh-CN"/>
        </w:rPr>
      </w:pPr>
    </w:p>
    <w:p w14:paraId="0C2FDCFD">
      <w:pPr>
        <w:rPr>
          <w:rFonts w:hint="default"/>
          <w:lang w:val="en-US" w:eastAsia="zh-CN"/>
        </w:rPr>
      </w:pPr>
    </w:p>
    <w:p w14:paraId="7642337A">
      <w:pPr>
        <w:rPr>
          <w:rFonts w:hint="default"/>
          <w:lang w:val="en-US" w:eastAsia="zh-CN"/>
        </w:rPr>
      </w:pPr>
    </w:p>
    <w:p w14:paraId="14D7BF48">
      <w:pPr>
        <w:rPr>
          <w:rFonts w:hint="default"/>
          <w:lang w:val="en-US" w:eastAsia="zh-CN"/>
        </w:rPr>
      </w:pPr>
    </w:p>
    <w:p w14:paraId="43C99DAC">
      <w:pPr>
        <w:rPr>
          <w:rFonts w:hint="default"/>
          <w:lang w:val="en-US" w:eastAsia="zh-CN"/>
        </w:rPr>
      </w:pPr>
    </w:p>
    <w:p w14:paraId="3BDAC0DB">
      <w:pPr>
        <w:rPr>
          <w:rFonts w:hint="default"/>
          <w:lang w:val="en-US" w:eastAsia="zh-CN"/>
        </w:rPr>
      </w:pPr>
    </w:p>
    <w:p w14:paraId="03159CBC">
      <w:pPr>
        <w:rPr>
          <w:rFonts w:hint="default"/>
          <w:lang w:val="en-US" w:eastAsia="zh-CN"/>
        </w:rPr>
      </w:pPr>
    </w:p>
    <w:p w14:paraId="72068988">
      <w:pPr>
        <w:rPr>
          <w:rFonts w:hint="eastAsia"/>
          <w:lang w:val="en-US" w:eastAsia="zh-CN"/>
        </w:rPr>
      </w:pPr>
      <w:r>
        <w:rPr>
          <w:rFonts w:hint="eastAsia"/>
          <w:lang w:val="en-US" w:eastAsia="zh-CN"/>
        </w:rPr>
        <w:t>附件3：</w:t>
      </w:r>
    </w:p>
    <w:p w14:paraId="20D39AB2">
      <w:pPr>
        <w:rPr>
          <w:rFonts w:hint="eastAsia"/>
          <w:lang w:val="en-US" w:eastAsia="zh-CN"/>
        </w:rPr>
      </w:pPr>
      <w:r>
        <w:rPr>
          <w:rFonts w:hint="eastAsia"/>
          <w:lang w:val="en-US" w:eastAsia="zh-CN"/>
        </w:rPr>
        <w:t>技术参数</w:t>
      </w:r>
    </w:p>
    <w:p w14:paraId="563ECAE4">
      <w:pPr>
        <w:rPr>
          <w:rFonts w:hint="eastAsia" w:ascii="宋体" w:hAnsi="宋体" w:eastAsia="宋体" w:cs="宋体"/>
          <w:b/>
          <w:kern w:val="44"/>
          <w:sz w:val="24"/>
          <w:szCs w:val="24"/>
          <w:lang w:val="en-US" w:eastAsia="zh-CN" w:bidi="ar-SA"/>
        </w:rPr>
      </w:pPr>
      <w:r>
        <w:rPr>
          <w:rFonts w:hint="eastAsia" w:ascii="宋体" w:hAnsi="宋体" w:eastAsia="宋体" w:cs="宋体"/>
          <w:b/>
          <w:kern w:val="44"/>
          <w:sz w:val="24"/>
          <w:szCs w:val="24"/>
          <w:lang w:val="en-US" w:eastAsia="zh-CN" w:bidi="ar-SA"/>
        </w:rPr>
        <w:t>化学洁净智能实验舱：</w:t>
      </w:r>
    </w:p>
    <w:p w14:paraId="71BD751A">
      <w:pPr>
        <w:keepNext w:val="0"/>
        <w:keepLines w:val="0"/>
        <w:pageBreakBefore w:val="0"/>
        <w:widowControl w:val="0"/>
        <w:kinsoku/>
        <w:wordWrap/>
        <w:overflowPunct/>
        <w:topLinePunct w:val="0"/>
        <w:autoSpaceDE/>
        <w:bidi w:val="0"/>
        <w:adjustRightInd/>
        <w:snapToGrid w:val="0"/>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密封箱体：</w:t>
      </w:r>
    </w:p>
    <w:p w14:paraId="1F28B306">
      <w:pPr>
        <w:keepNext w:val="0"/>
        <w:keepLines w:val="0"/>
        <w:pageBreakBefore w:val="0"/>
        <w:widowControl w:val="0"/>
        <w:kinsoku/>
        <w:wordWrap/>
        <w:overflowPunct/>
        <w:topLinePunct w:val="0"/>
        <w:autoSpaceDE/>
        <w:autoSpaceDN w:val="0"/>
        <w:bidi w:val="0"/>
        <w:adjustRightInd/>
        <w:snapToGrid w:val="0"/>
        <w:spacing w:line="360" w:lineRule="auto"/>
        <w:ind w:left="420" w:leftChars="200" w:firstLine="480" w:firstLineChars="200"/>
        <w:jc w:val="left"/>
        <w:textAlignment w:val="auto"/>
        <w:rPr>
          <w:rFonts w:hint="eastAsia" w:ascii="宋体" w:hAnsi="宋体" w:eastAsia="宋体" w:cs="宋体"/>
          <w:bCs/>
          <w:sz w:val="24"/>
          <w:szCs w:val="24"/>
          <w:lang w:eastAsia="zh-CN"/>
        </w:rPr>
      </w:pPr>
      <w:r>
        <w:rPr>
          <w:rFonts w:hint="eastAsia" w:ascii="宋体" w:hAnsi="宋体" w:eastAsia="宋体" w:cs="宋体"/>
          <w:bCs/>
          <w:sz w:val="24"/>
          <w:szCs w:val="24"/>
        </w:rPr>
        <w:t>1.箱</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 xml:space="preserve">体 </w:t>
      </w:r>
      <w:r>
        <w:rPr>
          <w:rFonts w:hint="eastAsia" w:ascii="宋体" w:hAnsi="宋体" w:eastAsia="宋体" w:cs="宋体"/>
          <w:bCs/>
          <w:sz w:val="24"/>
          <w:szCs w:val="24"/>
          <w:lang w:eastAsia="zh-CN"/>
        </w:rPr>
        <w:t>（</w:t>
      </w:r>
      <w:r>
        <w:rPr>
          <w:rFonts w:hint="eastAsia" w:ascii="宋体" w:hAnsi="宋体" w:eastAsia="宋体" w:cs="宋体"/>
          <w:bCs/>
          <w:sz w:val="24"/>
          <w:szCs w:val="24"/>
        </w:rPr>
        <w:t>注：具体结构及尺寸以最终图纸确认为准！</w:t>
      </w:r>
      <w:r>
        <w:rPr>
          <w:rFonts w:hint="eastAsia" w:ascii="宋体" w:hAnsi="宋体" w:eastAsia="宋体" w:cs="宋体"/>
          <w:bCs/>
          <w:sz w:val="24"/>
          <w:szCs w:val="24"/>
          <w:lang w:eastAsia="zh-CN"/>
        </w:rPr>
        <w:t>）</w:t>
      </w:r>
    </w:p>
    <w:p w14:paraId="21685D73">
      <w:pPr>
        <w:keepNext w:val="0"/>
        <w:keepLines w:val="0"/>
        <w:pageBreakBefore w:val="0"/>
        <w:widowControl w:val="0"/>
        <w:kinsoku/>
        <w:wordWrap/>
        <w:overflowPunct/>
        <w:topLinePunct w:val="0"/>
        <w:autoSpaceDE/>
        <w:autoSpaceDN w:val="0"/>
        <w:bidi w:val="0"/>
        <w:adjustRightInd/>
        <w:snapToGrid w:val="0"/>
        <w:spacing w:line="360" w:lineRule="auto"/>
        <w:ind w:left="420" w:leftChars="200" w:firstLine="480" w:firstLineChars="200"/>
        <w:jc w:val="left"/>
        <w:textAlignment w:val="auto"/>
        <w:rPr>
          <w:rFonts w:hint="eastAsia" w:ascii="宋体" w:hAnsi="宋体" w:eastAsia="宋体" w:cs="宋体"/>
          <w:b/>
          <w:bCs w:val="0"/>
          <w:sz w:val="24"/>
          <w:szCs w:val="24"/>
          <w:highlight w:val="none"/>
          <w:lang w:val="en-US" w:eastAsia="zh-CN"/>
        </w:rPr>
      </w:pPr>
      <w:r>
        <w:rPr>
          <w:rFonts w:hint="eastAsia" w:ascii="宋体" w:hAnsi="宋体" w:eastAsia="宋体" w:cs="宋体"/>
          <w:bCs/>
          <w:sz w:val="24"/>
          <w:szCs w:val="24"/>
          <w:lang w:val="en-US" w:eastAsia="zh-CN"/>
        </w:rPr>
        <w:t>总</w:t>
      </w:r>
      <w:r>
        <w:rPr>
          <w:rFonts w:hint="eastAsia" w:ascii="宋体" w:hAnsi="宋体" w:eastAsia="宋体" w:cs="宋体"/>
          <w:bCs/>
          <w:sz w:val="24"/>
          <w:szCs w:val="24"/>
        </w:rPr>
        <w:t>尺寸：</w:t>
      </w:r>
      <w:r>
        <w:rPr>
          <w:rFonts w:hint="eastAsia" w:ascii="宋体" w:hAnsi="宋体" w:eastAsia="宋体" w:cs="宋体"/>
          <w:bCs/>
          <w:sz w:val="24"/>
          <w:szCs w:val="24"/>
          <w:lang w:val="en-US" w:eastAsia="zh-CN"/>
        </w:rPr>
        <w:t>1,5号舱(各24.3m³),2,3,4号舱(各16.8m³)共</w:t>
      </w:r>
      <w:r>
        <w:rPr>
          <w:rFonts w:hint="eastAsia" w:ascii="宋体" w:hAnsi="宋体" w:eastAsia="宋体" w:cs="宋体"/>
          <w:b/>
          <w:bCs w:val="0"/>
          <w:sz w:val="24"/>
          <w:szCs w:val="24"/>
          <w:lang w:val="en-US" w:eastAsia="zh-CN"/>
        </w:rPr>
        <w:t>99m³</w:t>
      </w:r>
    </w:p>
    <w:p w14:paraId="0B16B7CF">
      <w:pPr>
        <w:keepNext w:val="0"/>
        <w:keepLines w:val="0"/>
        <w:pageBreakBefore w:val="0"/>
        <w:widowControl w:val="0"/>
        <w:kinsoku/>
        <w:wordWrap/>
        <w:overflowPunct/>
        <w:topLinePunct w:val="0"/>
        <w:autoSpaceDE/>
        <w:autoSpaceDN w:val="0"/>
        <w:bidi w:val="0"/>
        <w:adjustRightInd/>
        <w:snapToGrid w:val="0"/>
        <w:spacing w:line="360" w:lineRule="auto"/>
        <w:ind w:left="420" w:leftChars="20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材质：3mm厚不锈钢304板，内壁不锈钢拉丝，装有加强筋。</w:t>
      </w:r>
    </w:p>
    <w:p w14:paraId="0C5C8FCB">
      <w:pPr>
        <w:keepNext w:val="0"/>
        <w:keepLines w:val="0"/>
        <w:pageBreakBefore w:val="0"/>
        <w:widowControl w:val="0"/>
        <w:kinsoku/>
        <w:wordWrap/>
        <w:overflowPunct/>
        <w:topLinePunct w:val="0"/>
        <w:autoSpaceDE/>
        <w:autoSpaceDN w:val="0"/>
        <w:bidi w:val="0"/>
        <w:adjustRightInd/>
        <w:snapToGrid w:val="0"/>
        <w:spacing w:line="360" w:lineRule="auto"/>
        <w:ind w:left="420" w:leftChars="200" w:firstLine="482" w:firstLineChars="200"/>
        <w:jc w:val="left"/>
        <w:textAlignment w:val="auto"/>
        <w:rPr>
          <w:rFonts w:hint="eastAsia" w:ascii="宋体" w:hAnsi="宋体" w:eastAsia="宋体" w:cs="宋体"/>
          <w:bCs/>
          <w:sz w:val="24"/>
          <w:szCs w:val="24"/>
          <w:lang w:val="en-US" w:eastAsia="zh-CN"/>
        </w:rPr>
      </w:pPr>
      <w:r>
        <w:rPr>
          <w:rFonts w:hint="eastAsia" w:ascii="宋体" w:hAnsi="宋体" w:eastAsia="宋体" w:cs="宋体"/>
          <w:b/>
          <w:bCs w:val="0"/>
          <w:sz w:val="24"/>
          <w:szCs w:val="24"/>
          <w:lang w:val="en-US" w:eastAsia="zh-CN"/>
        </w:rPr>
        <w:t>底板</w:t>
      </w:r>
      <w:r>
        <w:rPr>
          <w:rFonts w:hint="eastAsia" w:ascii="宋体" w:hAnsi="宋体" w:eastAsia="宋体" w:cs="宋体"/>
          <w:bCs/>
          <w:sz w:val="24"/>
          <w:szCs w:val="24"/>
          <w:lang w:val="en-US" w:eastAsia="zh-CN"/>
        </w:rPr>
        <w:t>：</w:t>
      </w:r>
      <w:r>
        <w:rPr>
          <w:rFonts w:hint="eastAsia" w:ascii="宋体" w:hAnsi="宋体" w:eastAsia="宋体" w:cs="宋体"/>
          <w:bCs/>
          <w:sz w:val="24"/>
          <w:szCs w:val="24"/>
          <w:highlight w:val="none"/>
          <w:lang w:val="en-US" w:eastAsia="zh-CN"/>
        </w:rPr>
        <w:t>铺有10</w:t>
      </w:r>
      <w:r>
        <w:rPr>
          <w:rFonts w:hint="eastAsia" w:ascii="宋体" w:hAnsi="宋体" w:eastAsia="宋体" w:cs="宋体"/>
          <w:bCs/>
          <w:sz w:val="24"/>
          <w:szCs w:val="24"/>
          <w:highlight w:val="none"/>
          <w:lang w:eastAsia="zh-CN"/>
        </w:rPr>
        <w:t>mm厚碳钢</w:t>
      </w:r>
      <w:r>
        <w:rPr>
          <w:rFonts w:hint="eastAsia" w:ascii="宋体" w:hAnsi="宋体" w:eastAsia="宋体" w:cs="宋体"/>
          <w:bCs/>
          <w:sz w:val="24"/>
          <w:szCs w:val="24"/>
          <w:highlight w:val="none"/>
          <w:lang w:val="en-US" w:eastAsia="zh-CN"/>
        </w:rPr>
        <w:t>板+</w:t>
      </w:r>
      <w:r>
        <w:rPr>
          <w:rFonts w:hint="eastAsia" w:ascii="宋体" w:hAnsi="宋体" w:eastAsia="宋体" w:cs="宋体"/>
          <w:bCs/>
          <w:sz w:val="24"/>
          <w:szCs w:val="24"/>
        </w:rPr>
        <w:t>3mm厚不锈钢304板</w:t>
      </w:r>
      <w:r>
        <w:rPr>
          <w:rFonts w:hint="eastAsia" w:ascii="宋体" w:hAnsi="宋体" w:eastAsia="宋体" w:cs="宋体"/>
          <w:bCs/>
          <w:sz w:val="24"/>
          <w:szCs w:val="24"/>
          <w:lang w:eastAsia="zh-CN"/>
        </w:rPr>
        <w:t>；</w:t>
      </w:r>
    </w:p>
    <w:p w14:paraId="7E9AEAF8">
      <w:pPr>
        <w:keepNext w:val="0"/>
        <w:keepLines w:val="0"/>
        <w:pageBreakBefore w:val="0"/>
        <w:widowControl w:val="0"/>
        <w:kinsoku/>
        <w:wordWrap/>
        <w:overflowPunct/>
        <w:topLinePunct w:val="0"/>
        <w:autoSpaceDE/>
        <w:autoSpaceDN w:val="0"/>
        <w:bidi w:val="0"/>
        <w:adjustRightInd/>
        <w:snapToGrid w:val="0"/>
        <w:spacing w:line="360" w:lineRule="auto"/>
        <w:ind w:left="420" w:leftChars="200" w:firstLine="482" w:firstLineChars="200"/>
        <w:jc w:val="left"/>
        <w:textAlignment w:val="auto"/>
        <w:rPr>
          <w:rFonts w:hint="eastAsia" w:ascii="宋体" w:hAnsi="宋体" w:eastAsia="宋体" w:cs="宋体"/>
          <w:bCs/>
          <w:sz w:val="24"/>
          <w:szCs w:val="24"/>
          <w:lang w:val="en-US" w:eastAsia="zh-CN"/>
        </w:rPr>
      </w:pPr>
      <w:r>
        <w:rPr>
          <w:rFonts w:hint="eastAsia" w:ascii="宋体" w:hAnsi="宋体" w:eastAsia="宋体" w:cs="宋体"/>
          <w:b/>
          <w:bCs w:val="0"/>
          <w:sz w:val="24"/>
          <w:szCs w:val="24"/>
          <w:lang w:val="en-US" w:eastAsia="zh-CN"/>
        </w:rPr>
        <w:t>隔离门</w:t>
      </w:r>
      <w:r>
        <w:rPr>
          <w:rFonts w:hint="eastAsia" w:ascii="宋体" w:hAnsi="宋体" w:eastAsia="宋体" w:cs="宋体"/>
          <w:bCs/>
          <w:sz w:val="24"/>
          <w:szCs w:val="24"/>
          <w:lang w:val="en-US" w:eastAsia="zh-CN"/>
        </w:rPr>
        <w:t>：通径580*600mm，</w:t>
      </w:r>
      <w:r>
        <w:rPr>
          <w:rFonts w:hint="eastAsia" w:ascii="宋体" w:hAnsi="宋体" w:eastAsia="宋体" w:cs="宋体"/>
          <w:sz w:val="24"/>
          <w:szCs w:val="24"/>
          <w:lang w:val="en-US" w:eastAsia="zh-CN"/>
        </w:rPr>
        <w:t>门气缸自动提拉压紧；</w:t>
      </w:r>
    </w:p>
    <w:p w14:paraId="43FE2DEC">
      <w:pPr>
        <w:keepNext w:val="0"/>
        <w:keepLines w:val="0"/>
        <w:pageBreakBefore w:val="0"/>
        <w:widowControl w:val="0"/>
        <w:kinsoku/>
        <w:wordWrap/>
        <w:overflowPunct/>
        <w:topLinePunct w:val="0"/>
        <w:autoSpaceDE/>
        <w:autoSpaceDN w:val="0"/>
        <w:bidi w:val="0"/>
        <w:adjustRightInd/>
        <w:snapToGrid w:val="0"/>
        <w:spacing w:line="360" w:lineRule="auto"/>
        <w:ind w:left="420" w:leftChars="20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2.泄漏率：箱体整体泄漏率&lt;0.05vol%/h。（</w:t>
      </w:r>
      <w:r>
        <w:rPr>
          <w:rFonts w:hint="eastAsia" w:ascii="宋体" w:hAnsi="宋体" w:eastAsia="宋体" w:cs="宋体"/>
          <w:bCs/>
          <w:sz w:val="24"/>
          <w:szCs w:val="24"/>
          <w:lang w:val="en-US" w:eastAsia="zh-CN"/>
        </w:rPr>
        <w:t>箱压设定5-7mbar，维持30min，箱体补气次数≤1</w:t>
      </w:r>
      <w:r>
        <w:rPr>
          <w:rFonts w:hint="eastAsia" w:ascii="宋体" w:hAnsi="宋体" w:eastAsia="宋体" w:cs="宋体"/>
          <w:bCs/>
          <w:sz w:val="24"/>
          <w:szCs w:val="24"/>
        </w:rPr>
        <w:t>）</w:t>
      </w:r>
    </w:p>
    <w:p w14:paraId="1C02D33B">
      <w:pPr>
        <w:keepNext w:val="0"/>
        <w:keepLines w:val="0"/>
        <w:pageBreakBefore w:val="0"/>
        <w:widowControl w:val="0"/>
        <w:kinsoku/>
        <w:wordWrap/>
        <w:overflowPunct/>
        <w:topLinePunct w:val="0"/>
        <w:autoSpaceDE/>
        <w:autoSpaceDN w:val="0"/>
        <w:bidi w:val="0"/>
        <w:adjustRightInd/>
        <w:snapToGrid w:val="0"/>
        <w:spacing w:line="360" w:lineRule="auto"/>
        <w:ind w:left="420" w:leftChars="20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3.压力：箱体使用压力为微正压与微负压:±10mbar</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极限使用压力</w:t>
      </w:r>
      <w:r>
        <w:rPr>
          <w:rFonts w:hint="eastAsia" w:ascii="宋体" w:hAnsi="宋体" w:eastAsia="宋体" w:cs="宋体"/>
          <w:bCs/>
          <w:sz w:val="24"/>
          <w:szCs w:val="24"/>
        </w:rPr>
        <w:t>±1</w:t>
      </w:r>
      <w:r>
        <w:rPr>
          <w:rFonts w:hint="eastAsia" w:ascii="宋体" w:hAnsi="宋体" w:eastAsia="宋体" w:cs="宋体"/>
          <w:bCs/>
          <w:sz w:val="24"/>
          <w:szCs w:val="24"/>
          <w:lang w:val="en-US" w:eastAsia="zh-CN"/>
        </w:rPr>
        <w:t>5</w:t>
      </w:r>
      <w:r>
        <w:rPr>
          <w:rFonts w:hint="eastAsia" w:ascii="宋体" w:hAnsi="宋体" w:eastAsia="宋体" w:cs="宋体"/>
          <w:bCs/>
          <w:sz w:val="24"/>
          <w:szCs w:val="24"/>
        </w:rPr>
        <w:t>mbar</w:t>
      </w:r>
      <w:r>
        <w:rPr>
          <w:rFonts w:hint="eastAsia" w:ascii="宋体" w:hAnsi="宋体" w:eastAsia="宋体" w:cs="宋体"/>
          <w:bCs/>
          <w:sz w:val="24"/>
          <w:szCs w:val="24"/>
          <w:lang w:eastAsia="zh-CN"/>
        </w:rPr>
        <w:t>）</w:t>
      </w:r>
      <w:r>
        <w:rPr>
          <w:rFonts w:hint="eastAsia" w:ascii="宋体" w:hAnsi="宋体" w:eastAsia="宋体" w:cs="宋体"/>
          <w:bCs/>
          <w:sz w:val="24"/>
          <w:szCs w:val="24"/>
        </w:rPr>
        <w:t>，使用北京星仪的精度为1%FS的CYYZ微压差传感器实时反馈箱体内压力，触摸屏设置压力。压差参数可根据实际使用情况通过触摸屏手动调节。传感器安装在箱体上，具体位置以最终图纸确认为准！</w:t>
      </w:r>
    </w:p>
    <w:p w14:paraId="499518E5">
      <w:pPr>
        <w:keepNext w:val="0"/>
        <w:keepLines w:val="0"/>
        <w:pageBreakBefore w:val="0"/>
        <w:widowControl w:val="0"/>
        <w:kinsoku/>
        <w:wordWrap/>
        <w:overflowPunct/>
        <w:topLinePunct w:val="0"/>
        <w:autoSpaceDE/>
        <w:autoSpaceDN w:val="0"/>
        <w:bidi w:val="0"/>
        <w:adjustRightInd/>
        <w:snapToGrid w:val="0"/>
        <w:spacing w:line="360" w:lineRule="auto"/>
        <w:ind w:left="420" w:leftChars="200" w:firstLine="480" w:firstLineChars="200"/>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rPr>
        <w:t>4.</w:t>
      </w:r>
      <w:r>
        <w:rPr>
          <w:rFonts w:hint="eastAsia" w:ascii="宋体" w:hAnsi="宋体" w:eastAsia="宋体" w:cs="宋体"/>
          <w:bCs/>
          <w:sz w:val="24"/>
          <w:szCs w:val="24"/>
          <w:lang w:val="en-US" w:eastAsia="zh-CN"/>
        </w:rPr>
        <w:t>观察</w:t>
      </w:r>
      <w:r>
        <w:rPr>
          <w:rFonts w:hint="eastAsia" w:ascii="宋体" w:hAnsi="宋体" w:eastAsia="宋体" w:cs="宋体"/>
          <w:bCs/>
          <w:sz w:val="24"/>
          <w:szCs w:val="24"/>
        </w:rPr>
        <w:t>视窗：</w:t>
      </w:r>
      <w:r>
        <w:rPr>
          <w:rFonts w:hint="eastAsia" w:ascii="宋体" w:hAnsi="宋体" w:eastAsia="宋体" w:cs="宋体"/>
          <w:bCs/>
          <w:sz w:val="24"/>
          <w:szCs w:val="24"/>
          <w:lang w:val="en-US" w:eastAsia="zh-CN"/>
        </w:rPr>
        <w:t>采用8</w:t>
      </w:r>
      <w:r>
        <w:rPr>
          <w:rFonts w:hint="eastAsia" w:ascii="宋体" w:hAnsi="宋体" w:eastAsia="宋体" w:cs="宋体"/>
          <w:bCs/>
          <w:sz w:val="24"/>
          <w:szCs w:val="24"/>
        </w:rPr>
        <w:t>mm</w:t>
      </w:r>
      <w:r>
        <w:rPr>
          <w:rFonts w:hint="eastAsia" w:ascii="宋体" w:hAnsi="宋体" w:eastAsia="宋体" w:cs="宋体"/>
          <w:bCs/>
          <w:sz w:val="24"/>
          <w:szCs w:val="24"/>
          <w:lang w:val="en-US" w:eastAsia="zh-CN"/>
        </w:rPr>
        <w:t>厚</w:t>
      </w:r>
      <w:r>
        <w:rPr>
          <w:rFonts w:hint="eastAsia" w:ascii="宋体" w:hAnsi="宋体" w:eastAsia="宋体" w:cs="宋体"/>
          <w:bCs/>
          <w:sz w:val="24"/>
          <w:szCs w:val="24"/>
        </w:rPr>
        <w:t>可</w:t>
      </w:r>
      <w:r>
        <w:rPr>
          <w:rFonts w:hint="eastAsia" w:ascii="宋体" w:hAnsi="宋体" w:eastAsia="宋体" w:cs="宋体"/>
          <w:bCs/>
          <w:sz w:val="24"/>
          <w:szCs w:val="24"/>
          <w:lang w:val="en-US" w:eastAsia="zh-CN"/>
        </w:rPr>
        <w:t>拆卸钢化</w:t>
      </w:r>
      <w:r>
        <w:rPr>
          <w:rFonts w:hint="eastAsia" w:ascii="宋体" w:hAnsi="宋体" w:eastAsia="宋体" w:cs="宋体"/>
          <w:bCs/>
          <w:sz w:val="24"/>
          <w:szCs w:val="24"/>
        </w:rPr>
        <w:t>玻璃前窗，耐磨、抗腐蚀、透光性好（透白光率92%），采用3/8英寸厚的OMEGA密封圈，密封性良好</w:t>
      </w:r>
      <w:r>
        <w:rPr>
          <w:rFonts w:hint="eastAsia" w:ascii="宋体" w:hAnsi="宋体" w:eastAsia="宋体" w:cs="宋体"/>
          <w:bCs/>
          <w:sz w:val="24"/>
          <w:szCs w:val="24"/>
          <w:lang w:val="en-US" w:eastAsia="zh-CN"/>
        </w:rPr>
        <w:t>。其中5个视窗采用压钳快拆方式安装。</w:t>
      </w:r>
    </w:p>
    <w:p w14:paraId="584F9781">
      <w:pPr>
        <w:keepNext w:val="0"/>
        <w:keepLines w:val="0"/>
        <w:pageBreakBefore w:val="0"/>
        <w:widowControl w:val="0"/>
        <w:kinsoku/>
        <w:wordWrap/>
        <w:overflowPunct/>
        <w:topLinePunct w:val="0"/>
        <w:autoSpaceDE/>
        <w:autoSpaceDN w:val="0"/>
        <w:bidi w:val="0"/>
        <w:adjustRightInd/>
        <w:snapToGrid w:val="0"/>
        <w:spacing w:line="360" w:lineRule="auto"/>
        <w:ind w:left="420" w:leftChars="200" w:firstLine="480" w:firstLineChars="200"/>
        <w:jc w:val="left"/>
        <w:textAlignment w:val="auto"/>
        <w:rPr>
          <w:rFonts w:hint="eastAsia" w:ascii="宋体" w:hAnsi="宋体" w:eastAsia="宋体" w:cs="宋体"/>
          <w:bCs/>
          <w:sz w:val="24"/>
          <w:szCs w:val="24"/>
          <w:lang w:eastAsia="zh-CN"/>
        </w:rPr>
      </w:pPr>
      <w:r>
        <w:rPr>
          <w:rFonts w:hint="eastAsia" w:ascii="宋体" w:hAnsi="宋体" w:eastAsia="宋体" w:cs="宋体"/>
          <w:bCs/>
          <w:sz w:val="24"/>
          <w:szCs w:val="24"/>
        </w:rPr>
        <w:t>5.照明</w:t>
      </w:r>
      <w:r>
        <w:rPr>
          <w:rFonts w:hint="eastAsia" w:ascii="宋体" w:hAnsi="宋体" w:cs="宋体"/>
          <w:bCs/>
          <w:sz w:val="24"/>
          <w:szCs w:val="24"/>
          <w:lang w:val="en-US" w:eastAsia="zh-CN"/>
        </w:rPr>
        <w:t>视窗</w:t>
      </w:r>
      <w:r>
        <w:rPr>
          <w:rFonts w:hint="eastAsia" w:ascii="宋体" w:hAnsi="宋体" w:eastAsia="宋体" w:cs="宋体"/>
          <w:bCs/>
          <w:sz w:val="24"/>
          <w:szCs w:val="24"/>
        </w:rPr>
        <w:t>：</w:t>
      </w:r>
      <w:r>
        <w:rPr>
          <w:rFonts w:hint="eastAsia" w:ascii="宋体" w:hAnsi="宋体" w:eastAsia="宋体" w:cs="宋体"/>
          <w:bCs/>
          <w:sz w:val="24"/>
          <w:szCs w:val="24"/>
          <w:lang w:val="en-US" w:eastAsia="zh-CN"/>
        </w:rPr>
        <w:t>实</w:t>
      </w:r>
      <w:r>
        <w:rPr>
          <w:rFonts w:hint="eastAsia" w:ascii="宋体" w:hAnsi="宋体" w:eastAsia="宋体" w:cs="宋体"/>
          <w:bCs/>
          <w:sz w:val="24"/>
          <w:szCs w:val="24"/>
        </w:rPr>
        <w:t>验舱</w:t>
      </w:r>
      <w:r>
        <w:rPr>
          <w:rFonts w:hint="eastAsia" w:ascii="宋体" w:hAnsi="宋体" w:eastAsia="宋体" w:cs="宋体"/>
          <w:bCs/>
          <w:sz w:val="24"/>
          <w:szCs w:val="24"/>
          <w:lang w:val="en-US" w:eastAsia="zh-CN"/>
        </w:rPr>
        <w:t>外</w:t>
      </w:r>
      <w:r>
        <w:rPr>
          <w:rFonts w:hint="eastAsia" w:ascii="宋体" w:hAnsi="宋体" w:eastAsia="宋体" w:cs="宋体"/>
          <w:bCs/>
          <w:sz w:val="24"/>
          <w:szCs w:val="24"/>
        </w:rPr>
        <w:t>具备</w:t>
      </w:r>
      <w:r>
        <w:rPr>
          <w:rFonts w:hint="eastAsia" w:ascii="宋体" w:hAnsi="宋体" w:eastAsia="宋体" w:cs="宋体"/>
          <w:bCs/>
          <w:sz w:val="24"/>
          <w:szCs w:val="24"/>
          <w:lang w:val="en-US" w:eastAsia="zh-CN"/>
        </w:rPr>
        <w:t>定制</w:t>
      </w:r>
      <w:r>
        <w:rPr>
          <w:rFonts w:hint="eastAsia" w:ascii="宋体" w:hAnsi="宋体" w:eastAsia="宋体" w:cs="宋体"/>
          <w:bCs/>
          <w:sz w:val="24"/>
          <w:szCs w:val="24"/>
        </w:rPr>
        <w:t>照明系统，当照明关闭时，需要保证实验室外部光线不能透进实验室内部。8mm厚可拆卸钢化玻璃视窗,配灯壳</w:t>
      </w:r>
      <w:r>
        <w:rPr>
          <w:rFonts w:hint="eastAsia" w:ascii="宋体" w:hAnsi="宋体" w:cs="宋体"/>
          <w:bCs/>
          <w:sz w:val="24"/>
          <w:szCs w:val="24"/>
          <w:lang w:eastAsia="zh-CN"/>
        </w:rPr>
        <w:t>。</w:t>
      </w:r>
    </w:p>
    <w:p w14:paraId="58CB08F4">
      <w:pPr>
        <w:keepNext w:val="0"/>
        <w:keepLines w:val="0"/>
        <w:pageBreakBefore w:val="0"/>
        <w:widowControl w:val="0"/>
        <w:kinsoku/>
        <w:wordWrap/>
        <w:overflowPunct/>
        <w:topLinePunct w:val="0"/>
        <w:autoSpaceDE/>
        <w:autoSpaceDN w:val="0"/>
        <w:bidi w:val="0"/>
        <w:adjustRightInd/>
        <w:snapToGrid w:val="0"/>
        <w:spacing w:line="360" w:lineRule="auto"/>
        <w:ind w:left="420" w:leftChars="200" w:firstLine="480" w:firstLineChars="200"/>
        <w:jc w:val="left"/>
        <w:textAlignment w:val="auto"/>
        <w:rPr>
          <w:rFonts w:hint="eastAsia" w:ascii="宋体" w:hAnsi="宋体" w:eastAsia="宋体" w:cs="宋体"/>
          <w:bCs/>
          <w:sz w:val="24"/>
          <w:szCs w:val="24"/>
          <w:lang w:eastAsia="zh-CN"/>
        </w:rPr>
      </w:pPr>
      <w:r>
        <w:rPr>
          <w:rFonts w:hint="eastAsia" w:ascii="宋体" w:hAnsi="宋体" w:eastAsia="宋体" w:cs="宋体"/>
          <w:bCs/>
          <w:sz w:val="24"/>
          <w:szCs w:val="24"/>
        </w:rPr>
        <w:t>6.灯光系统：有防漫反射LED照明系统，方便照明维护</w:t>
      </w:r>
      <w:r>
        <w:rPr>
          <w:rFonts w:hint="eastAsia" w:ascii="宋体" w:hAnsi="宋体" w:cs="宋体"/>
          <w:bCs/>
          <w:sz w:val="24"/>
          <w:szCs w:val="24"/>
          <w:lang w:eastAsia="zh-CN"/>
        </w:rPr>
        <w:t>。</w:t>
      </w:r>
    </w:p>
    <w:p w14:paraId="569FC1B5">
      <w:pPr>
        <w:keepNext w:val="0"/>
        <w:keepLines w:val="0"/>
        <w:pageBreakBefore w:val="0"/>
        <w:widowControl w:val="0"/>
        <w:kinsoku/>
        <w:wordWrap/>
        <w:overflowPunct/>
        <w:topLinePunct w:val="0"/>
        <w:autoSpaceDE/>
        <w:autoSpaceDN w:val="0"/>
        <w:bidi w:val="0"/>
        <w:adjustRightInd/>
        <w:snapToGrid w:val="0"/>
        <w:spacing w:line="360" w:lineRule="auto"/>
        <w:ind w:left="420" w:leftChars="200" w:firstLine="480" w:firstLineChars="200"/>
        <w:jc w:val="left"/>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7</w:t>
      </w:r>
      <w:r>
        <w:rPr>
          <w:rFonts w:hint="eastAsia" w:ascii="宋体" w:hAnsi="宋体" w:eastAsia="宋体" w:cs="宋体"/>
          <w:bCs/>
          <w:sz w:val="24"/>
          <w:szCs w:val="24"/>
        </w:rPr>
        <w:t>.手  套：</w:t>
      </w:r>
      <w:r>
        <w:rPr>
          <w:rFonts w:hint="eastAsia" w:ascii="宋体" w:hAnsi="宋体" w:cs="宋体"/>
          <w:bCs/>
          <w:sz w:val="24"/>
          <w:szCs w:val="24"/>
          <w:lang w:val="en-US" w:eastAsia="zh-CN"/>
        </w:rPr>
        <w:t>美国north</w:t>
      </w:r>
      <w:r>
        <w:rPr>
          <w:rFonts w:hint="eastAsia" w:ascii="宋体" w:hAnsi="宋体" w:eastAsia="宋体" w:cs="宋体"/>
          <w:bCs/>
          <w:sz w:val="24"/>
          <w:szCs w:val="24"/>
        </w:rPr>
        <w:t>丁基橡胶手套</w:t>
      </w:r>
      <w:r>
        <w:rPr>
          <w:rFonts w:hint="eastAsia" w:ascii="宋体" w:hAnsi="宋体" w:eastAsia="宋体" w:cs="宋体"/>
          <w:bCs/>
          <w:sz w:val="24"/>
          <w:szCs w:val="24"/>
          <w:lang w:val="en-US" w:eastAsia="zh-CN"/>
        </w:rPr>
        <w:t>25只</w:t>
      </w:r>
      <w:r>
        <w:rPr>
          <w:rFonts w:hint="eastAsia" w:ascii="宋体" w:hAnsi="宋体" w:eastAsia="宋体" w:cs="宋体"/>
          <w:bCs/>
          <w:sz w:val="24"/>
          <w:szCs w:val="24"/>
        </w:rPr>
        <w:t>，手套口径8英寸，厚度0.4 mm，手套位于</w:t>
      </w:r>
      <w:r>
        <w:rPr>
          <w:rFonts w:hint="eastAsia" w:ascii="宋体" w:hAnsi="宋体" w:eastAsia="宋体" w:cs="宋体"/>
          <w:bCs/>
          <w:sz w:val="24"/>
          <w:szCs w:val="24"/>
          <w:lang w:val="en-US" w:eastAsia="zh-CN"/>
        </w:rPr>
        <w:t>过渡舱侧方玻璃上</w:t>
      </w:r>
      <w:r>
        <w:rPr>
          <w:rFonts w:hint="eastAsia" w:ascii="宋体" w:hAnsi="宋体" w:eastAsia="宋体" w:cs="宋体"/>
          <w:bCs/>
          <w:sz w:val="24"/>
          <w:szCs w:val="24"/>
        </w:rPr>
        <w:t>。</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数量可按实际需求增加</w:t>
      </w:r>
      <w:r>
        <w:rPr>
          <w:rFonts w:hint="eastAsia" w:ascii="宋体" w:hAnsi="宋体" w:eastAsia="宋体" w:cs="宋体"/>
          <w:bCs/>
          <w:sz w:val="24"/>
          <w:szCs w:val="24"/>
          <w:lang w:eastAsia="zh-CN"/>
        </w:rPr>
        <w:t>）</w:t>
      </w:r>
    </w:p>
    <w:p w14:paraId="6616D2AF">
      <w:pPr>
        <w:keepNext w:val="0"/>
        <w:keepLines w:val="0"/>
        <w:pageBreakBefore w:val="0"/>
        <w:widowControl w:val="0"/>
        <w:kinsoku/>
        <w:wordWrap/>
        <w:overflowPunct/>
        <w:topLinePunct w:val="0"/>
        <w:autoSpaceDE/>
        <w:autoSpaceDN w:val="0"/>
        <w:bidi w:val="0"/>
        <w:adjustRightInd/>
        <w:snapToGrid w:val="0"/>
        <w:spacing w:line="360" w:lineRule="auto"/>
        <w:ind w:left="420" w:leftChars="200" w:firstLine="480" w:firstLineChars="200"/>
        <w:jc w:val="left"/>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8</w:t>
      </w:r>
      <w:r>
        <w:rPr>
          <w:rFonts w:hint="eastAsia" w:ascii="宋体" w:hAnsi="宋体" w:eastAsia="宋体" w:cs="宋体"/>
          <w:bCs/>
          <w:sz w:val="24"/>
          <w:szCs w:val="24"/>
        </w:rPr>
        <w:t>.手套口：直径220mm硬铝合金实心棒材加工而成，经耐腐蚀阳极氧化处理（</w:t>
      </w:r>
      <w:r>
        <w:rPr>
          <w:rFonts w:hint="eastAsia" w:ascii="宋体" w:hAnsi="宋体" w:eastAsia="宋体" w:cs="宋体"/>
          <w:bCs/>
          <w:sz w:val="24"/>
          <w:szCs w:val="24"/>
          <w:lang w:val="en-US" w:eastAsia="zh-CN"/>
        </w:rPr>
        <w:t>25个</w:t>
      </w:r>
      <w:r>
        <w:rPr>
          <w:rFonts w:hint="eastAsia" w:ascii="宋体" w:hAnsi="宋体" w:eastAsia="宋体" w:cs="宋体"/>
          <w:bCs/>
          <w:sz w:val="24"/>
          <w:szCs w:val="24"/>
        </w:rPr>
        <w:t>），安装在</w:t>
      </w:r>
      <w:r>
        <w:rPr>
          <w:rFonts w:hint="eastAsia" w:ascii="宋体" w:hAnsi="宋体" w:eastAsia="宋体" w:cs="宋体"/>
          <w:bCs/>
          <w:sz w:val="24"/>
          <w:szCs w:val="24"/>
          <w:lang w:val="en-US" w:eastAsia="zh-CN"/>
        </w:rPr>
        <w:t>视窗玻璃上</w:t>
      </w:r>
      <w:r>
        <w:rPr>
          <w:rFonts w:hint="eastAsia" w:ascii="宋体" w:hAnsi="宋体" w:eastAsia="宋体" w:cs="宋体"/>
          <w:bCs/>
          <w:sz w:val="24"/>
          <w:szCs w:val="24"/>
          <w:lang w:eastAsia="zh-CN"/>
        </w:rPr>
        <w:t>；</w:t>
      </w:r>
      <w:r>
        <w:rPr>
          <w:rFonts w:hint="eastAsia" w:ascii="宋体" w:hAnsi="宋体" w:eastAsia="宋体" w:cs="宋体"/>
          <w:bCs/>
          <w:sz w:val="24"/>
          <w:szCs w:val="24"/>
        </w:rPr>
        <w:t xml:space="preserve">      </w:t>
      </w:r>
    </w:p>
    <w:p w14:paraId="6E984284">
      <w:pPr>
        <w:keepNext w:val="0"/>
        <w:keepLines w:val="0"/>
        <w:pageBreakBefore w:val="0"/>
        <w:widowControl w:val="0"/>
        <w:numPr>
          <w:ilvl w:val="0"/>
          <w:numId w:val="0"/>
        </w:numPr>
        <w:kinsoku/>
        <w:wordWrap/>
        <w:overflowPunct/>
        <w:topLinePunct w:val="0"/>
        <w:autoSpaceDE/>
        <w:autoSpaceDN w:val="0"/>
        <w:bidi w:val="0"/>
        <w:adjustRightInd/>
        <w:snapToGrid w:val="0"/>
        <w:spacing w:line="360" w:lineRule="auto"/>
        <w:ind w:leftChars="400"/>
        <w:jc w:val="left"/>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9.</w:t>
      </w:r>
      <w:r>
        <w:rPr>
          <w:rFonts w:hint="eastAsia" w:ascii="宋体" w:hAnsi="宋体" w:eastAsia="宋体" w:cs="宋体"/>
          <w:bCs/>
          <w:sz w:val="24"/>
          <w:szCs w:val="24"/>
        </w:rPr>
        <w:t>过滤器：直径120mm、过滤精度3微米、HEPA标准单级过滤器、阻燃材料。</w:t>
      </w:r>
    </w:p>
    <w:p w14:paraId="6F6F9D6C">
      <w:pPr>
        <w:keepNext w:val="0"/>
        <w:keepLines w:val="0"/>
        <w:pageBreakBefore w:val="0"/>
        <w:widowControl w:val="0"/>
        <w:kinsoku/>
        <w:wordWrap/>
        <w:overflowPunct/>
        <w:topLinePunct w:val="0"/>
        <w:autoSpaceDE/>
        <w:autoSpaceDN w:val="0"/>
        <w:bidi w:val="0"/>
        <w:adjustRightInd/>
        <w:snapToGrid w:val="0"/>
        <w:spacing w:line="360" w:lineRule="auto"/>
        <w:ind w:left="420" w:leftChars="200" w:firstLine="480" w:firstLineChars="200"/>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rPr>
        <w:t>1</w:t>
      </w:r>
      <w:r>
        <w:rPr>
          <w:rFonts w:hint="eastAsia" w:ascii="宋体" w:hAnsi="宋体" w:eastAsia="宋体" w:cs="宋体"/>
          <w:bCs/>
          <w:sz w:val="24"/>
          <w:szCs w:val="24"/>
          <w:lang w:val="en-US" w:eastAsia="zh-CN"/>
        </w:rPr>
        <w:t>0</w:t>
      </w:r>
      <w:r>
        <w:rPr>
          <w:rFonts w:hint="eastAsia" w:ascii="宋体" w:hAnsi="宋体" w:eastAsia="宋体" w:cs="宋体"/>
          <w:bCs/>
          <w:sz w:val="24"/>
          <w:szCs w:val="24"/>
        </w:rPr>
        <w:t>.接  口：KF40接口若干个，管路预留其他水进出气口及电缆接口；电机动力线、编码器信号线、视频线通过进口</w:t>
      </w:r>
      <w:r>
        <w:rPr>
          <w:rFonts w:hint="eastAsia" w:ascii="宋体" w:hAnsi="宋体" w:eastAsia="宋体" w:cs="宋体"/>
          <w:bCs/>
          <w:sz w:val="24"/>
          <w:szCs w:val="24"/>
          <w:lang w:val="en-US"/>
        </w:rPr>
        <w:t>MCT</w:t>
      </w:r>
      <w:r>
        <w:rPr>
          <w:rFonts w:hint="eastAsia" w:ascii="宋体" w:hAnsi="宋体" w:eastAsia="宋体" w:cs="宋体"/>
          <w:bCs/>
          <w:sz w:val="24"/>
          <w:szCs w:val="24"/>
        </w:rPr>
        <w:t>密封模块进入箱体。</w:t>
      </w:r>
      <w:r>
        <w:rPr>
          <w:rFonts w:hint="eastAsia" w:ascii="宋体" w:hAnsi="宋体" w:eastAsia="宋体" w:cs="宋体"/>
          <w:bCs/>
          <w:sz w:val="24"/>
          <w:szCs w:val="24"/>
          <w:lang w:eastAsia="zh-CN"/>
        </w:rPr>
        <w:t>（</w:t>
      </w:r>
      <w:r>
        <w:rPr>
          <w:rFonts w:hint="eastAsia" w:ascii="宋体" w:hAnsi="宋体" w:eastAsia="宋体" w:cs="宋体"/>
          <w:bCs/>
          <w:sz w:val="24"/>
          <w:szCs w:val="24"/>
        </w:rPr>
        <w:t>具体数量</w:t>
      </w:r>
      <w:r>
        <w:rPr>
          <w:rFonts w:hint="eastAsia" w:ascii="宋体" w:hAnsi="宋体" w:eastAsia="宋体" w:cs="宋体"/>
          <w:bCs/>
          <w:sz w:val="24"/>
          <w:szCs w:val="24"/>
          <w:lang w:val="en-US" w:eastAsia="zh-CN"/>
        </w:rPr>
        <w:t>位置见图纸）</w:t>
      </w:r>
    </w:p>
    <w:p w14:paraId="6C1A4DE4">
      <w:pPr>
        <w:keepNext w:val="0"/>
        <w:keepLines w:val="0"/>
        <w:pageBreakBefore w:val="0"/>
        <w:widowControl w:val="0"/>
        <w:kinsoku/>
        <w:wordWrap/>
        <w:overflowPunct/>
        <w:topLinePunct w:val="0"/>
        <w:autoSpaceDE/>
        <w:autoSpaceDN w:val="0"/>
        <w:bidi w:val="0"/>
        <w:adjustRightInd/>
        <w:snapToGrid w:val="0"/>
        <w:spacing w:line="360" w:lineRule="auto"/>
        <w:ind w:left="420" w:leftChars="200" w:firstLine="480" w:firstLineChars="200"/>
        <w:jc w:val="left"/>
        <w:textAlignment w:val="auto"/>
        <w:rPr>
          <w:rFonts w:hint="eastAsia" w:ascii="宋体" w:hAnsi="宋体" w:eastAsia="宋体" w:cs="宋体"/>
          <w:bCs/>
          <w:sz w:val="24"/>
          <w:szCs w:val="24"/>
        </w:rPr>
      </w:pPr>
      <w:r>
        <w:rPr>
          <w:rFonts w:hint="eastAsia" w:ascii="宋体" w:hAnsi="宋体" w:eastAsia="宋体" w:cs="宋体"/>
          <w:sz w:val="24"/>
          <w:szCs w:val="24"/>
          <w:highlight w:val="none"/>
          <w:lang w:val="en-US" w:eastAsia="zh-CN"/>
        </w:rPr>
        <w:t>11、工业设计外罩：在箱体外挂工业设计外罩，外罩炭钢材质、外形简约、有科技感。</w:t>
      </w:r>
    </w:p>
    <w:p w14:paraId="386A86AE">
      <w:pPr>
        <w:keepNext w:val="0"/>
        <w:keepLines w:val="0"/>
        <w:pageBreakBefore w:val="0"/>
        <w:widowControl w:val="0"/>
        <w:kinsoku/>
        <w:wordWrap/>
        <w:overflowPunct/>
        <w:topLinePunct w:val="0"/>
        <w:autoSpaceDE/>
        <w:autoSpaceDN w:val="0"/>
        <w:bidi w:val="0"/>
        <w:adjustRightInd/>
        <w:snapToGrid w:val="0"/>
        <w:spacing w:line="360" w:lineRule="auto"/>
        <w:ind w:firstLine="482" w:firstLineChars="200"/>
        <w:jc w:val="both"/>
        <w:textAlignment w:val="auto"/>
        <w:rPr>
          <w:rFonts w:hint="eastAsia" w:ascii="宋体" w:hAnsi="宋体" w:eastAsia="宋体" w:cs="宋体"/>
          <w:bCs/>
          <w:sz w:val="24"/>
          <w:szCs w:val="24"/>
        </w:rPr>
      </w:pPr>
      <w:r>
        <w:rPr>
          <w:rFonts w:hint="eastAsia" w:ascii="宋体" w:hAnsi="宋体" w:eastAsia="宋体" w:cs="宋体"/>
          <w:b/>
          <w:bCs/>
          <w:sz w:val="24"/>
          <w:szCs w:val="24"/>
          <w:lang w:val="en-US" w:eastAsia="zh-CN"/>
        </w:rPr>
        <w:t>过渡舱</w:t>
      </w:r>
      <w:r>
        <w:rPr>
          <w:rFonts w:hint="eastAsia" w:ascii="宋体" w:hAnsi="宋体" w:eastAsia="宋体" w:cs="宋体"/>
          <w:bCs/>
          <w:sz w:val="24"/>
          <w:szCs w:val="24"/>
        </w:rPr>
        <w:t>：</w:t>
      </w:r>
    </w:p>
    <w:p w14:paraId="38381CF3">
      <w:pPr>
        <w:keepNext w:val="0"/>
        <w:keepLines w:val="0"/>
        <w:pageBreakBefore w:val="0"/>
        <w:widowControl w:val="0"/>
        <w:kinsoku/>
        <w:wordWrap/>
        <w:overflowPunct/>
        <w:topLinePunct w:val="0"/>
        <w:autoSpaceDE/>
        <w:autoSpaceDN w:val="0"/>
        <w:bidi w:val="0"/>
        <w:adjustRightInd/>
        <w:snapToGrid w:val="0"/>
        <w:spacing w:line="360" w:lineRule="auto"/>
        <w:ind w:firstLine="960" w:firstLineChars="400"/>
        <w:jc w:val="both"/>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1.4</w:t>
      </w:r>
      <w:r>
        <w:rPr>
          <w:rFonts w:hint="eastAsia" w:ascii="宋体" w:hAnsi="宋体" w:eastAsia="宋体" w:cs="宋体"/>
          <w:b w:val="0"/>
          <w:bCs/>
          <w:sz w:val="24"/>
          <w:szCs w:val="24"/>
          <w:lang w:val="en-US" w:eastAsia="zh-CN"/>
        </w:rPr>
        <w:t>个方舱,尺寸：</w:t>
      </w:r>
      <w:r>
        <w:rPr>
          <w:rFonts w:hint="eastAsia" w:ascii="宋体" w:hAnsi="宋体" w:eastAsia="宋体" w:cs="宋体"/>
          <w:bCs/>
          <w:sz w:val="24"/>
          <w:szCs w:val="24"/>
          <w:lang w:val="en-US" w:eastAsia="zh-CN"/>
        </w:rPr>
        <w:t>500mm（L）*500mm（W）*600mm（H）,内外门气缸自动提拉压紧，托盘电缸自动双向推拉（详细位置结构见双方沟通确认图纸）</w:t>
      </w:r>
    </w:p>
    <w:p w14:paraId="59031387">
      <w:pPr>
        <w:keepNext w:val="0"/>
        <w:keepLines w:val="0"/>
        <w:pageBreakBefore w:val="0"/>
        <w:widowControl w:val="0"/>
        <w:numPr>
          <w:ilvl w:val="0"/>
          <w:numId w:val="5"/>
        </w:numPr>
        <w:kinsoku/>
        <w:wordWrap/>
        <w:overflowPunct/>
        <w:topLinePunct w:val="0"/>
        <w:autoSpaceDE/>
        <w:autoSpaceDN w:val="0"/>
        <w:bidi w:val="0"/>
        <w:adjustRightInd/>
        <w:snapToGrid w:val="0"/>
        <w:spacing w:line="360" w:lineRule="auto"/>
        <w:ind w:left="420" w:leftChars="20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真空泵：</w:t>
      </w:r>
      <w:r>
        <w:rPr>
          <w:rFonts w:hint="eastAsia" w:ascii="宋体" w:hAnsi="宋体" w:eastAsia="宋体" w:cs="宋体"/>
          <w:bCs/>
          <w:sz w:val="24"/>
          <w:szCs w:val="24"/>
          <w:lang w:val="en-US" w:eastAsia="zh-CN"/>
        </w:rPr>
        <w:t>2</w:t>
      </w:r>
      <w:r>
        <w:rPr>
          <w:rFonts w:hint="eastAsia" w:ascii="宋体" w:hAnsi="宋体" w:eastAsia="宋体" w:cs="宋体"/>
          <w:bCs/>
          <w:sz w:val="24"/>
          <w:szCs w:val="24"/>
        </w:rPr>
        <w:t>个英国Edwards RV12真空泵，流量12m3/h，对过渡舱抽真空。</w:t>
      </w:r>
    </w:p>
    <w:p w14:paraId="25A8964F">
      <w:pPr>
        <w:keepNext w:val="0"/>
        <w:keepLines w:val="0"/>
        <w:pageBreakBefore w:val="0"/>
        <w:widowControl w:val="0"/>
        <w:kinsoku/>
        <w:wordWrap/>
        <w:overflowPunct/>
        <w:topLinePunct w:val="0"/>
        <w:autoSpaceDE/>
        <w:autoSpaceDN w:val="0"/>
        <w:bidi w:val="0"/>
        <w:adjustRightInd/>
        <w:snapToGrid w:val="0"/>
        <w:spacing w:line="360" w:lineRule="auto"/>
        <w:ind w:firstLine="482" w:firstLineChars="200"/>
        <w:jc w:val="both"/>
        <w:textAlignment w:val="auto"/>
        <w:rPr>
          <w:rFonts w:hint="eastAsia" w:ascii="宋体" w:hAnsi="宋体" w:eastAsia="宋体" w:cs="宋体"/>
          <w:bCs/>
          <w:sz w:val="24"/>
          <w:szCs w:val="24"/>
        </w:rPr>
      </w:pPr>
      <w:r>
        <w:rPr>
          <w:rFonts w:hint="eastAsia" w:ascii="宋体" w:hAnsi="宋体" w:eastAsia="宋体" w:cs="宋体"/>
          <w:b/>
          <w:bCs/>
          <w:sz w:val="24"/>
          <w:szCs w:val="24"/>
          <w:lang w:val="en-US" w:eastAsia="zh-CN"/>
        </w:rPr>
        <w:t>除静电系统</w:t>
      </w:r>
      <w:r>
        <w:rPr>
          <w:rFonts w:hint="eastAsia" w:ascii="宋体" w:hAnsi="宋体" w:eastAsia="宋体" w:cs="宋体"/>
          <w:bCs/>
          <w:sz w:val="24"/>
          <w:szCs w:val="24"/>
        </w:rPr>
        <w:t>：</w:t>
      </w:r>
    </w:p>
    <w:p w14:paraId="27C2A80C">
      <w:pPr>
        <w:keepNext w:val="0"/>
        <w:keepLines w:val="0"/>
        <w:pageBreakBefore w:val="0"/>
        <w:widowControl w:val="0"/>
        <w:kinsoku/>
        <w:wordWrap/>
        <w:overflowPunct/>
        <w:topLinePunct w:val="0"/>
        <w:autoSpaceDE/>
        <w:autoSpaceDN w:val="0"/>
        <w:bidi w:val="0"/>
        <w:adjustRightInd/>
        <w:snapToGrid w:val="0"/>
        <w:spacing w:line="360" w:lineRule="auto"/>
        <w:ind w:firstLine="480" w:firstLineChars="200"/>
        <w:jc w:val="both"/>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   舱体底部下铺设铜箔网格、底面上直铺片材pvc防静电地板，导静电型：1.0*104-1.0*106Ω；静电耗散型：1.0*106-1.0*109Ω，体积电阻：1.0*104-1.0*106Ω；静电耗散型：1.0*106-1.0*109Ω；表面耐磨性能≤0.02g/c㎡，纵、横向加热尺寸变化率≤0.25%，静电衰减时间≤2s,人体电压|U|&lt;100V。同时舱体内特定区域加装除静电风扇。</w:t>
      </w:r>
    </w:p>
    <w:p w14:paraId="0C0B9AD5">
      <w:pPr>
        <w:keepNext w:val="0"/>
        <w:keepLines w:val="0"/>
        <w:pageBreakBefore w:val="0"/>
        <w:widowControl w:val="0"/>
        <w:kinsoku/>
        <w:wordWrap/>
        <w:overflowPunct/>
        <w:topLinePunct w:val="0"/>
        <w:autoSpaceDE/>
        <w:autoSpaceDN w:val="0"/>
        <w:bidi w:val="0"/>
        <w:adjustRightInd/>
        <w:snapToGrid w:val="0"/>
        <w:spacing w:line="360" w:lineRule="auto"/>
        <w:ind w:firstLine="482" w:firstLineChars="200"/>
        <w:jc w:val="both"/>
        <w:textAlignment w:val="auto"/>
        <w:rPr>
          <w:rFonts w:hint="eastAsia" w:ascii="宋体" w:hAnsi="宋体" w:eastAsia="宋体" w:cs="宋体"/>
          <w:bCs/>
          <w:sz w:val="24"/>
          <w:szCs w:val="24"/>
        </w:rPr>
      </w:pPr>
      <w:r>
        <w:rPr>
          <w:rFonts w:hint="eastAsia" w:ascii="宋体" w:hAnsi="宋体" w:eastAsia="宋体" w:cs="宋体"/>
          <w:b/>
          <w:bCs/>
          <w:sz w:val="24"/>
          <w:szCs w:val="24"/>
          <w:lang w:val="en-US" w:eastAsia="zh-CN"/>
        </w:rPr>
        <w:t>空调系统</w:t>
      </w:r>
      <w:r>
        <w:rPr>
          <w:rFonts w:hint="eastAsia" w:ascii="宋体" w:hAnsi="宋体" w:eastAsia="宋体" w:cs="宋体"/>
          <w:bCs/>
          <w:sz w:val="24"/>
          <w:szCs w:val="24"/>
        </w:rPr>
        <w:t>：</w:t>
      </w:r>
    </w:p>
    <w:p w14:paraId="3864ECA1">
      <w:pPr>
        <w:keepNext w:val="0"/>
        <w:keepLines w:val="0"/>
        <w:pageBreakBefore w:val="0"/>
        <w:widowControl w:val="0"/>
        <w:kinsoku/>
        <w:wordWrap/>
        <w:overflowPunct/>
        <w:topLinePunct w:val="0"/>
        <w:autoSpaceDE/>
        <w:autoSpaceDN w:val="0"/>
        <w:bidi w:val="0"/>
        <w:adjustRightInd/>
        <w:snapToGrid w:val="0"/>
        <w:spacing w:line="360" w:lineRule="auto"/>
        <w:ind w:firstLine="480" w:firstLineChars="200"/>
        <w:jc w:val="both"/>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    1.2.3.4.5.号舱体顶部加装过1P工业空调，用于做特定加热实验时微调舱体内温度。</w:t>
      </w:r>
    </w:p>
    <w:p w14:paraId="3F8EE0A7">
      <w:pPr>
        <w:rPr>
          <w:rFonts w:hint="eastAsia" w:ascii="宋体" w:hAnsi="宋体" w:eastAsia="宋体" w:cs="宋体"/>
          <w:b/>
          <w:kern w:val="44"/>
          <w:sz w:val="24"/>
          <w:szCs w:val="24"/>
          <w:lang w:val="en-US" w:eastAsia="zh-CN" w:bidi="ar-SA"/>
        </w:rPr>
      </w:pPr>
      <w:r>
        <w:rPr>
          <w:rFonts w:hint="eastAsia" w:ascii="宋体" w:hAnsi="宋体" w:eastAsia="宋体" w:cs="宋体"/>
          <w:b/>
          <w:kern w:val="44"/>
          <w:sz w:val="24"/>
          <w:szCs w:val="24"/>
          <w:lang w:val="en-US" w:eastAsia="zh-CN" w:bidi="ar-SA"/>
        </w:rPr>
        <w:t>化学洁净智能实验舱：</w:t>
      </w:r>
    </w:p>
    <w:p w14:paraId="3325C961">
      <w:pPr>
        <w:keepNext w:val="0"/>
        <w:keepLines w:val="0"/>
        <w:pageBreakBefore w:val="0"/>
        <w:widowControl w:val="0"/>
        <w:kinsoku/>
        <w:wordWrap/>
        <w:overflowPunct/>
        <w:topLinePunct w:val="0"/>
        <w:autoSpaceDE/>
        <w:autoSpaceDN w:val="0"/>
        <w:bidi w:val="0"/>
        <w:adjustRightInd/>
        <w:snapToGrid w:val="0"/>
        <w:spacing w:line="360" w:lineRule="auto"/>
        <w:ind w:firstLine="482" w:firstLineChars="200"/>
        <w:jc w:val="both"/>
        <w:textAlignment w:val="auto"/>
        <w:rPr>
          <w:rFonts w:hint="eastAsia" w:ascii="宋体" w:hAnsi="宋体" w:eastAsia="宋体" w:cs="宋体"/>
          <w:bCs/>
          <w:sz w:val="24"/>
          <w:szCs w:val="24"/>
        </w:rPr>
      </w:pPr>
      <w:r>
        <w:rPr>
          <w:rFonts w:hint="eastAsia" w:ascii="宋体" w:hAnsi="宋体" w:eastAsia="宋体" w:cs="宋体"/>
          <w:b/>
          <w:bCs/>
          <w:sz w:val="24"/>
          <w:szCs w:val="24"/>
          <w:lang w:val="en-US" w:eastAsia="zh-CN"/>
        </w:rPr>
        <w:t>置换系统</w:t>
      </w:r>
      <w:r>
        <w:rPr>
          <w:rFonts w:hint="eastAsia" w:ascii="宋体" w:hAnsi="宋体" w:eastAsia="宋体" w:cs="宋体"/>
          <w:bCs/>
          <w:sz w:val="24"/>
          <w:szCs w:val="24"/>
        </w:rPr>
        <w:t>：</w:t>
      </w:r>
    </w:p>
    <w:p w14:paraId="0CD9ABD2">
      <w:pPr>
        <w:keepNext w:val="0"/>
        <w:keepLines w:val="0"/>
        <w:pageBreakBefore w:val="0"/>
        <w:widowControl w:val="0"/>
        <w:kinsoku/>
        <w:wordWrap/>
        <w:overflowPunct/>
        <w:topLinePunct w:val="0"/>
        <w:autoSpaceDE/>
        <w:autoSpaceDN w:val="0"/>
        <w:bidi w:val="0"/>
        <w:adjustRightInd/>
        <w:snapToGrid w:val="0"/>
        <w:spacing w:line="360" w:lineRule="auto"/>
        <w:ind w:firstLine="480" w:firstLineChars="200"/>
        <w:jc w:val="both"/>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1、充氩模块：5套 充氩接口、管路、调压阀、电磁阀。</w:t>
      </w:r>
    </w:p>
    <w:p w14:paraId="7609C7F7">
      <w:pPr>
        <w:keepNext w:val="0"/>
        <w:keepLines w:val="0"/>
        <w:pageBreakBefore w:val="0"/>
        <w:widowControl w:val="0"/>
        <w:kinsoku/>
        <w:wordWrap/>
        <w:overflowPunct/>
        <w:topLinePunct w:val="0"/>
        <w:autoSpaceDE/>
        <w:autoSpaceDN w:val="0"/>
        <w:bidi w:val="0"/>
        <w:adjustRightInd/>
        <w:snapToGrid w:val="0"/>
        <w:spacing w:line="360" w:lineRule="auto"/>
        <w:ind w:firstLine="480" w:firstLineChars="200"/>
        <w:jc w:val="both"/>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2、排气模块：5涛干KF40气动挡板阀。</w:t>
      </w:r>
    </w:p>
    <w:p w14:paraId="5CA87239">
      <w:pPr>
        <w:keepNext w:val="0"/>
        <w:keepLines w:val="0"/>
        <w:pageBreakBefore w:val="0"/>
        <w:widowControl w:val="0"/>
        <w:kinsoku/>
        <w:wordWrap/>
        <w:overflowPunct/>
        <w:topLinePunct w:val="0"/>
        <w:autoSpaceDE/>
        <w:autoSpaceDN w:val="0"/>
        <w:bidi w:val="0"/>
        <w:adjustRightInd/>
        <w:snapToGrid w:val="0"/>
        <w:spacing w:line="360" w:lineRule="auto"/>
        <w:ind w:firstLine="480" w:firstLineChars="200"/>
        <w:jc w:val="both"/>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3、搅拌混气装置：内置风扇（按实际效果增减）</w:t>
      </w:r>
    </w:p>
    <w:p w14:paraId="5E480B55">
      <w:pPr>
        <w:keepNext w:val="0"/>
        <w:keepLines w:val="0"/>
        <w:pageBreakBefore w:val="0"/>
        <w:widowControl w:val="0"/>
        <w:kinsoku/>
        <w:wordWrap/>
        <w:overflowPunct/>
        <w:topLinePunct w:val="0"/>
        <w:autoSpaceDE/>
        <w:autoSpaceDN w:val="0"/>
        <w:bidi w:val="0"/>
        <w:adjustRightInd/>
        <w:snapToGrid w:val="0"/>
        <w:spacing w:line="360" w:lineRule="auto"/>
        <w:ind w:firstLine="482" w:firstLineChars="200"/>
        <w:jc w:val="both"/>
        <w:textAlignment w:val="auto"/>
        <w:rPr>
          <w:rFonts w:hint="eastAsia" w:ascii="宋体" w:hAnsi="宋体" w:eastAsia="宋体" w:cs="宋体"/>
          <w:bCs/>
          <w:sz w:val="24"/>
          <w:szCs w:val="24"/>
        </w:rPr>
      </w:pPr>
      <w:r>
        <w:rPr>
          <w:rFonts w:hint="eastAsia" w:ascii="宋体" w:hAnsi="宋体" w:eastAsia="宋体" w:cs="宋体"/>
          <w:b/>
          <w:bCs/>
          <w:sz w:val="24"/>
          <w:szCs w:val="24"/>
          <w:lang w:val="en-US" w:eastAsia="zh-CN"/>
        </w:rPr>
        <w:t>循环净化系统</w:t>
      </w:r>
      <w:r>
        <w:rPr>
          <w:rFonts w:hint="eastAsia" w:ascii="宋体" w:hAnsi="宋体" w:eastAsia="宋体" w:cs="宋体"/>
          <w:bCs/>
          <w:sz w:val="24"/>
          <w:szCs w:val="24"/>
        </w:rPr>
        <w:t>：</w:t>
      </w:r>
    </w:p>
    <w:p w14:paraId="16B61D67">
      <w:pPr>
        <w:keepNext w:val="0"/>
        <w:keepLines w:val="0"/>
        <w:pageBreakBefore w:val="0"/>
        <w:widowControl w:val="0"/>
        <w:tabs>
          <w:tab w:val="left" w:pos="5580"/>
        </w:tabs>
        <w:kinsoku/>
        <w:wordWrap/>
        <w:overflowPunct/>
        <w:topLinePunct w:val="0"/>
        <w:autoSpaceDE/>
        <w:bidi w:val="0"/>
        <w:adjustRightInd/>
        <w:snapToGrid w:val="0"/>
        <w:spacing w:before="12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该系统由净化系统、再生系统、</w:t>
      </w:r>
      <w:r>
        <w:rPr>
          <w:rFonts w:hint="eastAsia" w:ascii="宋体" w:hAnsi="宋体" w:eastAsia="宋体" w:cs="宋体"/>
          <w:sz w:val="24"/>
          <w:szCs w:val="24"/>
          <w:lang w:val="en-US" w:eastAsia="zh-CN"/>
        </w:rPr>
        <w:t>溶剂吸附系统</w:t>
      </w:r>
      <w:r>
        <w:rPr>
          <w:rFonts w:hint="eastAsia" w:ascii="宋体" w:hAnsi="宋体" w:eastAsia="宋体" w:cs="宋体"/>
          <w:sz w:val="24"/>
          <w:szCs w:val="24"/>
        </w:rPr>
        <w:t>组成。</w:t>
      </w:r>
    </w:p>
    <w:p w14:paraId="72264B42">
      <w:pPr>
        <w:keepNext w:val="0"/>
        <w:keepLines w:val="0"/>
        <w:pageBreakBefore w:val="0"/>
        <w:widowControl w:val="0"/>
        <w:tabs>
          <w:tab w:val="left" w:pos="5580"/>
        </w:tabs>
        <w:kinsoku/>
        <w:wordWrap/>
        <w:overflowPunct/>
        <w:topLinePunct w:val="0"/>
        <w:autoSpaceDE/>
        <w:bidi w:val="0"/>
        <w:adjustRightInd/>
        <w:snapToGrid w:val="0"/>
        <w:spacing w:before="120" w:line="360" w:lineRule="auto"/>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净化系统：用来除掉密封加工室内的水和氧，实现密封工作箱内惰性气体循环，保护激光加工过程中材料不被氧化。</w:t>
      </w:r>
    </w:p>
    <w:p w14:paraId="537965C1">
      <w:pPr>
        <w:keepNext w:val="0"/>
        <w:keepLines w:val="0"/>
        <w:pageBreakBefore w:val="0"/>
        <w:widowControl w:val="0"/>
        <w:tabs>
          <w:tab w:val="left" w:pos="5580"/>
        </w:tabs>
        <w:kinsoku/>
        <w:wordWrap/>
        <w:overflowPunct/>
        <w:topLinePunct w:val="0"/>
        <w:autoSpaceDE/>
        <w:bidi w:val="0"/>
        <w:adjustRightInd/>
        <w:snapToGrid w:val="0"/>
        <w:spacing w:before="12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b w:val="0"/>
          <w:bCs/>
          <w:sz w:val="24"/>
          <w:szCs w:val="24"/>
        </w:rPr>
        <w:t>再生系统</w:t>
      </w:r>
      <w:r>
        <w:rPr>
          <w:rFonts w:hint="eastAsia" w:ascii="宋体" w:hAnsi="宋体" w:eastAsia="宋体" w:cs="宋体"/>
          <w:b/>
          <w:sz w:val="24"/>
          <w:szCs w:val="24"/>
        </w:rPr>
        <w:t>：</w:t>
      </w:r>
      <w:r>
        <w:rPr>
          <w:rFonts w:hint="eastAsia" w:ascii="宋体" w:hAnsi="宋体" w:eastAsia="宋体" w:cs="宋体"/>
          <w:sz w:val="24"/>
          <w:szCs w:val="24"/>
        </w:rPr>
        <w:t>用于净化系统再次活化利用；再生需要Ar/ H 2的混合气体，其中H2占5-10%，当一组净化柱净化达到饱和时，通过PLC控制启动其他1组净化柱进行工作，同时启动再生程序对该饱和净化柱进行再生。</w:t>
      </w:r>
    </w:p>
    <w:p w14:paraId="26F5C99D">
      <w:pPr>
        <w:keepNext w:val="0"/>
        <w:keepLines w:val="0"/>
        <w:pageBreakBefore w:val="0"/>
        <w:widowControl w:val="0"/>
        <w:kinsoku/>
        <w:wordWrap/>
        <w:overflowPunct/>
        <w:topLinePunct w:val="0"/>
        <w:autoSpaceDE/>
        <w:bidi w:val="0"/>
        <w:adjustRightInd/>
        <w:snapToGrid w:val="0"/>
        <w:spacing w:line="360" w:lineRule="auto"/>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净化能力：水、氧</w:t>
      </w:r>
      <w:r>
        <w:rPr>
          <w:rFonts w:hint="eastAsia" w:ascii="宋体" w:hAnsi="宋体" w:eastAsia="宋体" w:cs="宋体"/>
          <w:b w:val="0"/>
          <w:bCs/>
          <w:sz w:val="24"/>
          <w:szCs w:val="24"/>
          <w:lang w:val="en-US" w:eastAsia="zh-CN"/>
        </w:rPr>
        <w:t>≤1</w:t>
      </w:r>
      <w:r>
        <w:rPr>
          <w:rFonts w:hint="eastAsia" w:ascii="宋体" w:hAnsi="宋体" w:eastAsia="宋体" w:cs="宋体"/>
          <w:b w:val="0"/>
          <w:bCs/>
          <w:sz w:val="24"/>
          <w:szCs w:val="24"/>
        </w:rPr>
        <w:t xml:space="preserve">ppm(循环净化效果)；      </w:t>
      </w:r>
    </w:p>
    <w:p w14:paraId="590A8AFC">
      <w:pPr>
        <w:keepNext w:val="0"/>
        <w:keepLines w:val="0"/>
        <w:pageBreakBefore w:val="0"/>
        <w:widowControl w:val="0"/>
        <w:kinsoku/>
        <w:wordWrap/>
        <w:overflowPunct/>
        <w:topLinePunct w:val="0"/>
        <w:autoSpaceDE/>
        <w:bidi w:val="0"/>
        <w:adjustRightInd/>
        <w:snapToGrid w:val="0"/>
        <w:spacing w:line="360" w:lineRule="auto"/>
        <w:ind w:firstLine="480" w:firstLineChars="200"/>
        <w:jc w:val="left"/>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1.控制显示：昆仑通泰</w:t>
      </w:r>
      <w:r>
        <w:rPr>
          <w:rFonts w:hint="eastAsia" w:ascii="宋体" w:hAnsi="宋体" w:eastAsia="宋体" w:cs="宋体"/>
          <w:b w:val="0"/>
          <w:bCs/>
          <w:sz w:val="24"/>
          <w:szCs w:val="24"/>
          <w:lang w:val="en-US" w:eastAsia="zh-CN"/>
        </w:rPr>
        <w:t>10</w:t>
      </w:r>
      <w:r>
        <w:rPr>
          <w:rFonts w:hint="eastAsia" w:ascii="宋体" w:hAnsi="宋体" w:eastAsia="宋体" w:cs="宋体"/>
          <w:b w:val="0"/>
          <w:bCs/>
          <w:sz w:val="24"/>
          <w:szCs w:val="24"/>
        </w:rPr>
        <w:t>寸彩色显示屏触摸式控制，采用</w:t>
      </w:r>
      <w:r>
        <w:rPr>
          <w:rFonts w:hint="eastAsia" w:ascii="宋体" w:hAnsi="宋体" w:eastAsia="宋体" w:cs="宋体"/>
          <w:b w:val="0"/>
          <w:bCs/>
          <w:sz w:val="24"/>
          <w:szCs w:val="24"/>
          <w:lang w:val="en-US" w:eastAsia="zh-CN"/>
        </w:rPr>
        <w:t>西门子</w:t>
      </w:r>
      <w:r>
        <w:rPr>
          <w:rFonts w:hint="eastAsia" w:ascii="宋体" w:hAnsi="宋体" w:eastAsia="宋体" w:cs="宋体"/>
          <w:b w:val="0"/>
          <w:bCs/>
          <w:color w:val="000000" w:themeColor="text1"/>
          <w:sz w:val="24"/>
          <w:szCs w:val="24"/>
          <w14:textFill>
            <w14:solidFill>
              <w14:schemeClr w14:val="tx1"/>
            </w14:solidFill>
          </w14:textFill>
        </w:rPr>
        <w:t>PLC能与</w:t>
      </w:r>
      <w:r>
        <w:rPr>
          <w:rFonts w:hint="eastAsia" w:ascii="宋体" w:hAnsi="宋体" w:eastAsia="宋体" w:cs="宋体"/>
          <w:b w:val="0"/>
          <w:bCs/>
          <w:sz w:val="24"/>
          <w:szCs w:val="24"/>
        </w:rPr>
        <w:t>需方PLC进行通讯。</w:t>
      </w:r>
    </w:p>
    <w:p w14:paraId="72411941">
      <w:pPr>
        <w:keepNext w:val="0"/>
        <w:keepLines w:val="0"/>
        <w:pageBreakBefore w:val="0"/>
        <w:widowControl w:val="0"/>
        <w:tabs>
          <w:tab w:val="left" w:pos="5580"/>
        </w:tabs>
        <w:kinsoku/>
        <w:wordWrap/>
        <w:overflowPunct/>
        <w:topLinePunct w:val="0"/>
        <w:autoSpaceDE/>
        <w:bidi w:val="0"/>
        <w:adjustRightInd/>
        <w:snapToGrid w:val="0"/>
        <w:spacing w:before="120" w:line="360" w:lineRule="auto"/>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2.工作气体：氩气（Ar）（气体循环）；</w:t>
      </w:r>
    </w:p>
    <w:p w14:paraId="05DD632D">
      <w:pPr>
        <w:keepNext w:val="0"/>
        <w:keepLines w:val="0"/>
        <w:pageBreakBefore w:val="0"/>
        <w:widowControl w:val="0"/>
        <w:tabs>
          <w:tab w:val="left" w:pos="5580"/>
        </w:tabs>
        <w:kinsoku/>
        <w:wordWrap/>
        <w:overflowPunct/>
        <w:topLinePunct w:val="0"/>
        <w:autoSpaceDE/>
        <w:bidi w:val="0"/>
        <w:adjustRightInd/>
        <w:snapToGrid w:val="0"/>
        <w:spacing w:before="120" w:line="360" w:lineRule="auto"/>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3.循环风机：</w:t>
      </w:r>
      <w:r>
        <w:rPr>
          <w:rFonts w:hint="eastAsia" w:ascii="宋体" w:hAnsi="宋体" w:eastAsia="宋体" w:cs="宋体"/>
          <w:b w:val="0"/>
          <w:bCs/>
          <w:sz w:val="24"/>
          <w:szCs w:val="24"/>
          <w:lang w:val="en-US" w:eastAsia="zh-CN"/>
        </w:rPr>
        <w:t>3</w:t>
      </w:r>
      <w:r>
        <w:rPr>
          <w:rFonts w:hint="eastAsia" w:ascii="宋体" w:hAnsi="宋体" w:eastAsia="宋体" w:cs="宋体"/>
          <w:b w:val="0"/>
          <w:bCs/>
          <w:sz w:val="24"/>
          <w:szCs w:val="24"/>
        </w:rPr>
        <w:t>台</w:t>
      </w:r>
      <w:r>
        <w:rPr>
          <w:rFonts w:hint="eastAsia" w:ascii="宋体" w:hAnsi="宋体" w:eastAsia="宋体" w:cs="宋体"/>
          <w:b w:val="0"/>
          <w:bCs/>
          <w:sz w:val="24"/>
          <w:szCs w:val="24"/>
          <w:lang w:val="en-US" w:eastAsia="zh-CN"/>
        </w:rPr>
        <w:t>达纲</w:t>
      </w:r>
      <w:r>
        <w:rPr>
          <w:rFonts w:hint="eastAsia" w:ascii="宋体" w:hAnsi="宋体" w:eastAsia="宋体" w:cs="宋体"/>
          <w:b w:val="0"/>
          <w:bCs/>
          <w:sz w:val="24"/>
          <w:szCs w:val="24"/>
        </w:rPr>
        <w:t>高速</w:t>
      </w:r>
      <w:r>
        <w:rPr>
          <w:rFonts w:hint="eastAsia" w:ascii="宋体" w:hAnsi="宋体" w:eastAsia="宋体" w:cs="宋体"/>
          <w:b w:val="0"/>
          <w:bCs/>
          <w:sz w:val="24"/>
          <w:szCs w:val="24"/>
          <w:lang w:val="en-US" w:eastAsia="zh-CN"/>
        </w:rPr>
        <w:t>耐压</w:t>
      </w:r>
      <w:r>
        <w:rPr>
          <w:rFonts w:hint="eastAsia" w:ascii="宋体" w:hAnsi="宋体" w:eastAsia="宋体" w:cs="宋体"/>
          <w:b w:val="0"/>
          <w:bCs/>
          <w:sz w:val="24"/>
          <w:szCs w:val="24"/>
        </w:rPr>
        <w:t>变频风机，流量0-250m³/h，采用</w:t>
      </w:r>
      <w:r>
        <w:rPr>
          <w:rFonts w:hint="eastAsia" w:ascii="宋体" w:hAnsi="宋体" w:eastAsia="宋体" w:cs="宋体"/>
          <w:b w:val="0"/>
          <w:bCs/>
          <w:sz w:val="24"/>
          <w:szCs w:val="24"/>
          <w:lang w:val="en-US" w:eastAsia="zh-CN"/>
        </w:rPr>
        <w:t>西门子</w:t>
      </w:r>
      <w:r>
        <w:rPr>
          <w:rFonts w:hint="eastAsia" w:ascii="宋体" w:hAnsi="宋体" w:eastAsia="宋体" w:cs="宋体"/>
          <w:b w:val="0"/>
          <w:bCs/>
          <w:sz w:val="24"/>
          <w:szCs w:val="24"/>
        </w:rPr>
        <w:t>变频器控制；安装在经压力测试的双层不锈钢装置</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风机桶尺寸φ455mm*425mm</w:t>
      </w:r>
      <w:r>
        <w:rPr>
          <w:rFonts w:hint="eastAsia" w:ascii="宋体" w:hAnsi="宋体" w:eastAsia="宋体" w:cs="宋体"/>
          <w:b w:val="0"/>
          <w:bCs/>
          <w:sz w:val="24"/>
          <w:szCs w:val="24"/>
        </w:rPr>
        <w:t>，有水冷回路；</w:t>
      </w:r>
    </w:p>
    <w:p w14:paraId="0A57868B">
      <w:pPr>
        <w:keepNext w:val="0"/>
        <w:keepLines w:val="0"/>
        <w:pageBreakBefore w:val="0"/>
        <w:widowControl w:val="0"/>
        <w:tabs>
          <w:tab w:val="left" w:pos="5580"/>
        </w:tabs>
        <w:kinsoku/>
        <w:wordWrap/>
        <w:overflowPunct/>
        <w:topLinePunct w:val="0"/>
        <w:autoSpaceDE/>
        <w:bidi w:val="0"/>
        <w:adjustRightInd/>
        <w:snapToGrid w:val="0"/>
        <w:spacing w:before="120" w:line="360" w:lineRule="auto"/>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4.净 化 柱：</w:t>
      </w:r>
      <w:r>
        <w:rPr>
          <w:rFonts w:hint="eastAsia" w:ascii="宋体" w:hAnsi="宋体" w:eastAsia="宋体" w:cs="宋体"/>
          <w:b w:val="0"/>
          <w:bCs/>
          <w:sz w:val="24"/>
          <w:szCs w:val="24"/>
          <w:lang w:val="en-US" w:eastAsia="zh-CN"/>
        </w:rPr>
        <w:t>6套32kg</w:t>
      </w:r>
      <w:r>
        <w:rPr>
          <w:rFonts w:hint="eastAsia" w:ascii="宋体" w:hAnsi="宋体" w:eastAsia="宋体" w:cs="宋体"/>
          <w:b w:val="0"/>
          <w:bCs/>
          <w:sz w:val="24"/>
          <w:szCs w:val="24"/>
        </w:rPr>
        <w:t>净化柱；单柱填装铜触媒</w:t>
      </w:r>
      <w:r>
        <w:rPr>
          <w:rFonts w:hint="eastAsia" w:ascii="宋体" w:hAnsi="宋体" w:eastAsia="宋体" w:cs="宋体"/>
          <w:b w:val="0"/>
          <w:bCs/>
          <w:sz w:val="24"/>
          <w:szCs w:val="24"/>
          <w:lang w:val="en-US" w:eastAsia="zh-CN"/>
        </w:rPr>
        <w:t>15</w:t>
      </w:r>
      <w:r>
        <w:rPr>
          <w:rFonts w:hint="eastAsia" w:ascii="宋体" w:hAnsi="宋体" w:eastAsia="宋体" w:cs="宋体"/>
          <w:b w:val="0"/>
          <w:bCs/>
          <w:sz w:val="24"/>
          <w:szCs w:val="24"/>
        </w:rPr>
        <w:t>kg、分子筛</w:t>
      </w:r>
      <w:r>
        <w:rPr>
          <w:rFonts w:hint="eastAsia" w:ascii="宋体" w:hAnsi="宋体" w:eastAsia="宋体" w:cs="宋体"/>
          <w:b w:val="0"/>
          <w:bCs/>
          <w:sz w:val="24"/>
          <w:szCs w:val="24"/>
          <w:lang w:val="en-US" w:eastAsia="zh-CN"/>
        </w:rPr>
        <w:t>17</w:t>
      </w:r>
      <w:r>
        <w:rPr>
          <w:rFonts w:hint="eastAsia" w:ascii="宋体" w:hAnsi="宋体" w:eastAsia="宋体" w:cs="宋体"/>
          <w:b w:val="0"/>
          <w:bCs/>
          <w:sz w:val="24"/>
          <w:szCs w:val="24"/>
        </w:rPr>
        <w:t>kg</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单柱尺寸：φ273mm*850mm</w:t>
      </w:r>
      <w:r>
        <w:rPr>
          <w:rFonts w:hint="eastAsia" w:ascii="宋体" w:hAnsi="宋体" w:eastAsia="宋体" w:cs="宋体"/>
          <w:b w:val="0"/>
          <w:bCs/>
          <w:sz w:val="24"/>
          <w:szCs w:val="24"/>
        </w:rPr>
        <w:t>；净化柱并联，</w:t>
      </w:r>
      <w:r>
        <w:rPr>
          <w:rFonts w:hint="eastAsia" w:ascii="宋体" w:hAnsi="宋体" w:eastAsia="宋体" w:cs="宋体"/>
          <w:b w:val="0"/>
          <w:bCs/>
          <w:sz w:val="24"/>
          <w:szCs w:val="24"/>
          <w:lang w:val="en-US" w:eastAsia="zh-CN"/>
        </w:rPr>
        <w:t>3</w:t>
      </w:r>
      <w:r>
        <w:rPr>
          <w:rFonts w:hint="eastAsia" w:ascii="宋体" w:hAnsi="宋体" w:eastAsia="宋体" w:cs="宋体"/>
          <w:b w:val="0"/>
          <w:bCs/>
          <w:sz w:val="24"/>
          <w:szCs w:val="24"/>
        </w:rPr>
        <w:t>柱工作，另</w:t>
      </w:r>
      <w:r>
        <w:rPr>
          <w:rFonts w:hint="eastAsia" w:ascii="宋体" w:hAnsi="宋体" w:eastAsia="宋体" w:cs="宋体"/>
          <w:b w:val="0"/>
          <w:bCs/>
          <w:sz w:val="24"/>
          <w:szCs w:val="24"/>
          <w:lang w:val="en-US" w:eastAsia="zh-CN"/>
        </w:rPr>
        <w:t>3</w:t>
      </w:r>
      <w:r>
        <w:rPr>
          <w:rFonts w:hint="eastAsia" w:ascii="宋体" w:hAnsi="宋体" w:eastAsia="宋体" w:cs="宋体"/>
          <w:b w:val="0"/>
          <w:bCs/>
          <w:sz w:val="24"/>
          <w:szCs w:val="24"/>
        </w:rPr>
        <w:t>柱备用，工作柱接循环风机快速循环；每个净化柱均配有温控仪，精确控制再生温度，保证净化材料寿命。</w:t>
      </w:r>
    </w:p>
    <w:p w14:paraId="159523DC">
      <w:pPr>
        <w:keepNext w:val="0"/>
        <w:keepLines w:val="0"/>
        <w:pageBreakBefore w:val="0"/>
        <w:widowControl w:val="0"/>
        <w:tabs>
          <w:tab w:val="left" w:pos="5580"/>
        </w:tabs>
        <w:kinsoku/>
        <w:wordWrap/>
        <w:overflowPunct/>
        <w:topLinePunct w:val="0"/>
        <w:autoSpaceDE/>
        <w:bidi w:val="0"/>
        <w:adjustRightInd/>
        <w:snapToGrid w:val="0"/>
        <w:spacing w:before="120" w:line="360" w:lineRule="auto"/>
        <w:ind w:firstLine="480" w:firstLineChars="200"/>
        <w:textAlignment w:val="auto"/>
        <w:rPr>
          <w:rFonts w:hint="eastAsia" w:ascii="宋体" w:hAnsi="宋体" w:eastAsia="宋体" w:cs="宋体"/>
          <w:b w:val="0"/>
          <w:bCs/>
          <w:sz w:val="24"/>
          <w:szCs w:val="24"/>
          <w:lang w:val="en-US"/>
        </w:rPr>
      </w:pPr>
      <w:r>
        <w:rPr>
          <w:rFonts w:hint="eastAsia" w:ascii="宋体" w:hAnsi="宋体" w:eastAsia="宋体" w:cs="宋体"/>
          <w:b w:val="0"/>
          <w:bCs/>
          <w:sz w:val="24"/>
          <w:szCs w:val="24"/>
        </w:rPr>
        <w:t>5.</w:t>
      </w:r>
      <w:r>
        <w:rPr>
          <w:rFonts w:hint="eastAsia" w:ascii="宋体" w:hAnsi="宋体" w:eastAsia="宋体" w:cs="宋体"/>
          <w:b w:val="0"/>
          <w:bCs/>
          <w:sz w:val="24"/>
          <w:szCs w:val="24"/>
          <w:lang w:val="en-US" w:eastAsia="zh-CN"/>
        </w:rPr>
        <w:t>集 成 阀：10孔集成化阀座，集成模块化处理，减少气路连接点，从而降低箱体泄漏率。</w:t>
      </w:r>
    </w:p>
    <w:p w14:paraId="341600D9">
      <w:pPr>
        <w:keepNext w:val="0"/>
        <w:keepLines w:val="0"/>
        <w:pageBreakBefore w:val="0"/>
        <w:widowControl w:val="0"/>
        <w:tabs>
          <w:tab w:val="left" w:pos="5580"/>
        </w:tabs>
        <w:kinsoku/>
        <w:wordWrap/>
        <w:overflowPunct/>
        <w:topLinePunct w:val="0"/>
        <w:autoSpaceDE/>
        <w:bidi w:val="0"/>
        <w:adjustRightInd/>
        <w:snapToGrid w:val="0"/>
        <w:spacing w:before="120" w:line="360" w:lineRule="auto"/>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6.再生系统：用于净化系统再次利用，使其活化；净化柱饱和后在加热条件下通入Ar/ H2的混合气体，其中H2占5-10%，PLC自动控制启动再生装置，饱和净化柱进行再生激活，再生系统步骤明确并在显示屏上显示，便于掌握时间。</w:t>
      </w:r>
    </w:p>
    <w:p w14:paraId="152AC4D2">
      <w:pPr>
        <w:keepNext w:val="0"/>
        <w:keepLines w:val="0"/>
        <w:pageBreakBefore w:val="0"/>
        <w:widowControl w:val="0"/>
        <w:tabs>
          <w:tab w:val="left" w:pos="5580"/>
        </w:tabs>
        <w:kinsoku/>
        <w:wordWrap/>
        <w:overflowPunct/>
        <w:topLinePunct w:val="0"/>
        <w:autoSpaceDE/>
        <w:bidi w:val="0"/>
        <w:adjustRightInd/>
        <w:snapToGrid w:val="0"/>
        <w:spacing w:before="120" w:line="360" w:lineRule="auto"/>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7</w:t>
      </w:r>
      <w:r>
        <w:rPr>
          <w:rFonts w:hint="eastAsia" w:ascii="宋体" w:hAnsi="宋体" w:eastAsia="宋体" w:cs="宋体"/>
          <w:b w:val="0"/>
          <w:bCs/>
          <w:sz w:val="24"/>
          <w:szCs w:val="24"/>
        </w:rPr>
        <w:t>.</w:t>
      </w:r>
      <w:r>
        <w:rPr>
          <w:rFonts w:hint="eastAsia" w:ascii="宋体" w:hAnsi="宋体" w:eastAsia="宋体" w:cs="宋体"/>
          <w:b w:val="0"/>
          <w:bCs/>
          <w:sz w:val="24"/>
          <w:szCs w:val="24"/>
          <w:lang w:val="en-US" w:eastAsia="zh-CN"/>
        </w:rPr>
        <w:t>溶剂吸附柱</w:t>
      </w:r>
      <w:r>
        <w:rPr>
          <w:rFonts w:hint="eastAsia" w:ascii="宋体" w:hAnsi="宋体" w:eastAsia="宋体" w:cs="宋体"/>
          <w:b w:val="0"/>
          <w:bCs/>
          <w:sz w:val="24"/>
          <w:szCs w:val="24"/>
        </w:rPr>
        <w:t>：填装水洗真空烘烤优质活性炭</w:t>
      </w:r>
      <w:r>
        <w:rPr>
          <w:rFonts w:hint="eastAsia" w:ascii="宋体" w:hAnsi="宋体" w:eastAsia="宋体" w:cs="宋体"/>
          <w:b w:val="0"/>
          <w:bCs/>
          <w:sz w:val="24"/>
          <w:szCs w:val="24"/>
          <w:lang w:val="en-US" w:eastAsia="zh-CN"/>
        </w:rPr>
        <w:t>35</w:t>
      </w:r>
      <w:r>
        <w:rPr>
          <w:rFonts w:hint="eastAsia" w:ascii="宋体" w:hAnsi="宋体" w:eastAsia="宋体" w:cs="宋体"/>
          <w:b w:val="0"/>
          <w:bCs/>
          <w:sz w:val="24"/>
          <w:szCs w:val="24"/>
        </w:rPr>
        <w:t>KG，吸附粉尘及有机溶剂，饱和后可更换新材料，不会影响箱体内高纯气氛</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单柱尺寸：φ273mm*850mm</w:t>
      </w:r>
      <w:r>
        <w:rPr>
          <w:rFonts w:hint="eastAsia" w:ascii="宋体" w:hAnsi="宋体" w:eastAsia="宋体" w:cs="宋体"/>
          <w:b w:val="0"/>
          <w:bCs/>
          <w:sz w:val="24"/>
          <w:szCs w:val="24"/>
        </w:rPr>
        <w:t>。</w:t>
      </w:r>
    </w:p>
    <w:p w14:paraId="6FD5E4D1">
      <w:pPr>
        <w:keepNext w:val="0"/>
        <w:keepLines w:val="0"/>
        <w:pageBreakBefore w:val="0"/>
        <w:widowControl w:val="0"/>
        <w:tabs>
          <w:tab w:val="left" w:pos="5580"/>
        </w:tabs>
        <w:kinsoku/>
        <w:wordWrap/>
        <w:overflowPunct/>
        <w:topLinePunct w:val="0"/>
        <w:autoSpaceDE/>
        <w:bidi w:val="0"/>
        <w:adjustRightInd/>
        <w:snapToGrid w:val="0"/>
        <w:spacing w:before="120" w:line="360" w:lineRule="auto"/>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8、DN25\40 气动角阀：KF25气动挡板阀3个,KF40气动挡板阀12个。</w:t>
      </w:r>
    </w:p>
    <w:p w14:paraId="4A636365">
      <w:pPr>
        <w:keepNext w:val="0"/>
        <w:keepLines w:val="0"/>
        <w:pageBreakBefore w:val="0"/>
        <w:widowControl w:val="0"/>
        <w:tabs>
          <w:tab w:val="left" w:pos="5580"/>
        </w:tabs>
        <w:kinsoku/>
        <w:wordWrap/>
        <w:overflowPunct/>
        <w:topLinePunct w:val="0"/>
        <w:autoSpaceDE/>
        <w:bidi w:val="0"/>
        <w:adjustRightInd/>
        <w:snapToGrid w:val="0"/>
        <w:spacing w:before="120" w:line="360" w:lineRule="auto"/>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9、过滤器：直径120mm、过滤精度3微米、HEPA标准单级过滤器</w:t>
      </w:r>
    </w:p>
    <w:p w14:paraId="02BD4FCF">
      <w:pPr>
        <w:keepNext w:val="0"/>
        <w:keepLines w:val="0"/>
        <w:pageBreakBefore w:val="0"/>
        <w:widowControl w:val="0"/>
        <w:tabs>
          <w:tab w:val="left" w:pos="5580"/>
        </w:tabs>
        <w:kinsoku/>
        <w:wordWrap/>
        <w:overflowPunct/>
        <w:topLinePunct w:val="0"/>
        <w:autoSpaceDE/>
        <w:bidi w:val="0"/>
        <w:adjustRightInd/>
        <w:snapToGrid w:val="0"/>
        <w:spacing w:before="120" w:line="360" w:lineRule="auto"/>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10、循环管路：主要为 DN72,DN40 304不锈钢管路。</w:t>
      </w:r>
    </w:p>
    <w:p w14:paraId="63FB0068">
      <w:pPr>
        <w:keepNext w:val="0"/>
        <w:keepLines w:val="0"/>
        <w:pageBreakBefore w:val="0"/>
        <w:widowControl w:val="0"/>
        <w:tabs>
          <w:tab w:val="left" w:pos="5580"/>
        </w:tabs>
        <w:kinsoku/>
        <w:wordWrap/>
        <w:overflowPunct/>
        <w:topLinePunct w:val="0"/>
        <w:autoSpaceDE/>
        <w:bidi w:val="0"/>
        <w:adjustRightInd/>
        <w:snapToGrid w:val="0"/>
        <w:spacing w:before="120" w:line="360" w:lineRule="auto"/>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11、再生模块：加热装置、抽补气接口和阀门等等。</w:t>
      </w:r>
    </w:p>
    <w:p w14:paraId="0A4AB1D1">
      <w:pPr>
        <w:keepNext w:val="0"/>
        <w:keepLines w:val="0"/>
        <w:pageBreakBefore w:val="0"/>
        <w:widowControl w:val="0"/>
        <w:tabs>
          <w:tab w:val="left" w:pos="5580"/>
        </w:tabs>
        <w:kinsoku/>
        <w:wordWrap/>
        <w:overflowPunct/>
        <w:topLinePunct w:val="0"/>
        <w:autoSpaceDE/>
        <w:bidi w:val="0"/>
        <w:adjustRightInd/>
        <w:snapToGrid w:val="0"/>
        <w:spacing w:before="120" w:line="360" w:lineRule="auto"/>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12、真空泵：进口机械泵、抽速12m³/h、极限真空≤2*10-3mbar、配备油雾过滤器。</w:t>
      </w:r>
    </w:p>
    <w:p w14:paraId="12DEB277">
      <w:pPr>
        <w:keepNext w:val="0"/>
        <w:keepLines w:val="0"/>
        <w:pageBreakBefore w:val="0"/>
        <w:widowControl w:val="0"/>
        <w:kinsoku/>
        <w:wordWrap/>
        <w:overflowPunct/>
        <w:topLinePunct w:val="0"/>
        <w:autoSpaceDE/>
        <w:autoSpaceDN w:val="0"/>
        <w:bidi w:val="0"/>
        <w:adjustRightInd/>
        <w:snapToGrid w:val="0"/>
        <w:spacing w:line="360" w:lineRule="auto"/>
        <w:ind w:firstLine="482" w:firstLineChars="200"/>
        <w:jc w:val="both"/>
        <w:textAlignment w:val="auto"/>
        <w:rPr>
          <w:rFonts w:hint="eastAsia" w:ascii="宋体" w:hAnsi="宋体" w:eastAsia="宋体" w:cs="宋体"/>
          <w:bCs/>
          <w:sz w:val="24"/>
          <w:szCs w:val="24"/>
        </w:rPr>
      </w:pPr>
      <w:r>
        <w:rPr>
          <w:rFonts w:hint="eastAsia" w:ascii="宋体" w:hAnsi="宋体" w:eastAsia="宋体" w:cs="宋体"/>
          <w:b/>
          <w:bCs/>
          <w:sz w:val="24"/>
          <w:szCs w:val="24"/>
          <w:lang w:val="en-US" w:eastAsia="zh-CN"/>
        </w:rPr>
        <w:t>检测系统</w:t>
      </w:r>
      <w:r>
        <w:rPr>
          <w:rFonts w:hint="eastAsia" w:ascii="宋体" w:hAnsi="宋体" w:eastAsia="宋体" w:cs="宋体"/>
          <w:bCs/>
          <w:sz w:val="24"/>
          <w:szCs w:val="24"/>
        </w:rPr>
        <w:t>：</w:t>
      </w:r>
    </w:p>
    <w:p w14:paraId="0BE8C227">
      <w:pPr>
        <w:keepNext w:val="0"/>
        <w:keepLines w:val="0"/>
        <w:pageBreakBefore w:val="0"/>
        <w:widowControl w:val="0"/>
        <w:kinsoku/>
        <w:wordWrap/>
        <w:overflowPunct/>
        <w:topLinePunct w:val="0"/>
        <w:autoSpaceDE/>
        <w:autoSpaceDN w:val="0"/>
        <w:bidi w:val="0"/>
        <w:adjustRightInd/>
        <w:snapToGrid w:val="0"/>
        <w:spacing w:line="360" w:lineRule="auto"/>
        <w:ind w:firstLine="720" w:firstLineChars="300"/>
        <w:jc w:val="both"/>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1、压力传感器：微压传感器，测量范围：-12mbar--12mbar，精度：1%FS。</w:t>
      </w:r>
    </w:p>
    <w:p w14:paraId="4AE7E5BE">
      <w:pPr>
        <w:keepNext w:val="0"/>
        <w:keepLines w:val="0"/>
        <w:pageBreakBefore w:val="0"/>
        <w:widowControl w:val="0"/>
        <w:kinsoku/>
        <w:wordWrap/>
        <w:overflowPunct/>
        <w:topLinePunct w:val="0"/>
        <w:autoSpaceDE/>
        <w:autoSpaceDN w:val="0"/>
        <w:bidi w:val="0"/>
        <w:adjustRightInd/>
        <w:snapToGrid w:val="0"/>
        <w:spacing w:line="360" w:lineRule="auto"/>
        <w:ind w:firstLine="480" w:firstLineChars="200"/>
        <w:jc w:val="both"/>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2、水分析仪：英国米歇尔陶瓷湿度变送器、0-1000PPM，、检测精度±1% FS，</w:t>
      </w:r>
      <w:r>
        <w:rPr>
          <w:rFonts w:hint="eastAsia" w:ascii="宋体" w:hAnsi="宋体" w:eastAsia="宋体" w:cs="宋体"/>
          <w:sz w:val="24"/>
          <w:szCs w:val="24"/>
        </w:rPr>
        <w:t>PLC显示</w:t>
      </w:r>
      <w:r>
        <w:rPr>
          <w:rFonts w:hint="eastAsia" w:ascii="宋体" w:hAnsi="宋体" w:eastAsia="宋体" w:cs="宋体"/>
          <w:sz w:val="24"/>
          <w:szCs w:val="24"/>
          <w:lang w:eastAsia="zh-CN"/>
        </w:rPr>
        <w:t>。</w:t>
      </w:r>
      <w:r>
        <w:rPr>
          <w:rFonts w:hint="eastAsia" w:ascii="宋体" w:hAnsi="宋体" w:eastAsia="宋体" w:cs="宋体"/>
          <w:bCs/>
          <w:sz w:val="24"/>
          <w:szCs w:val="24"/>
          <w:lang w:val="en-US" w:eastAsia="zh-CN"/>
        </w:rPr>
        <w:t>（5套）</w:t>
      </w:r>
    </w:p>
    <w:p w14:paraId="279E9EDE">
      <w:pPr>
        <w:keepNext w:val="0"/>
        <w:keepLines w:val="0"/>
        <w:pageBreakBefore w:val="0"/>
        <w:widowControl w:val="0"/>
        <w:kinsoku/>
        <w:wordWrap/>
        <w:overflowPunct/>
        <w:topLinePunct w:val="0"/>
        <w:autoSpaceDE/>
        <w:bidi w:val="0"/>
        <w:adjustRightInd/>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bCs/>
          <w:sz w:val="24"/>
          <w:szCs w:val="24"/>
          <w:lang w:val="en-US" w:eastAsia="zh-CN"/>
        </w:rPr>
        <w:t>3、氧分析仪：</w:t>
      </w:r>
      <w:r>
        <w:rPr>
          <w:rFonts w:hint="eastAsia" w:ascii="宋体" w:hAnsi="宋体" w:eastAsia="宋体" w:cs="宋体"/>
          <w:sz w:val="24"/>
          <w:szCs w:val="24"/>
          <w:lang w:val="en-US" w:eastAsia="zh-CN"/>
        </w:rPr>
        <w:t>昶艾</w:t>
      </w:r>
      <w:r>
        <w:rPr>
          <w:rFonts w:hint="eastAsia" w:ascii="宋体" w:hAnsi="宋体" w:eastAsia="宋体" w:cs="宋体"/>
          <w:bCs/>
          <w:sz w:val="24"/>
          <w:szCs w:val="24"/>
          <w:lang w:val="en-US" w:eastAsia="zh-CN"/>
        </w:rPr>
        <w:t>氧化锆传感器、0-1000PPM-25%全量程，检测</w:t>
      </w:r>
      <w:r>
        <w:rPr>
          <w:rFonts w:hint="eastAsia" w:ascii="宋体" w:hAnsi="宋体" w:eastAsia="宋体" w:cs="宋体"/>
          <w:sz w:val="24"/>
          <w:szCs w:val="24"/>
        </w:rPr>
        <w:t>精度：±1% FS</w:t>
      </w:r>
      <w:r>
        <w:rPr>
          <w:rFonts w:hint="eastAsia" w:ascii="宋体" w:hAnsi="宋体" w:eastAsia="宋体" w:cs="宋体"/>
          <w:sz w:val="24"/>
          <w:szCs w:val="24"/>
          <w:lang w:eastAsia="zh-CN"/>
        </w:rPr>
        <w:t>，</w:t>
      </w:r>
      <w:r>
        <w:rPr>
          <w:rFonts w:hint="eastAsia" w:ascii="宋体" w:hAnsi="宋体" w:eastAsia="宋体" w:cs="宋体"/>
          <w:sz w:val="24"/>
          <w:szCs w:val="24"/>
        </w:rPr>
        <w:t>PLC显示</w:t>
      </w:r>
      <w:r>
        <w:rPr>
          <w:rFonts w:hint="eastAsia" w:ascii="宋体" w:hAnsi="宋体" w:eastAsia="宋体" w:cs="宋体"/>
          <w:sz w:val="24"/>
          <w:szCs w:val="24"/>
          <w:lang w:eastAsia="zh-CN"/>
        </w:rPr>
        <w:t>。</w:t>
      </w:r>
      <w:r>
        <w:rPr>
          <w:rFonts w:hint="eastAsia" w:ascii="宋体" w:hAnsi="宋体" w:eastAsia="宋体" w:cs="宋体"/>
          <w:bCs/>
          <w:sz w:val="24"/>
          <w:szCs w:val="24"/>
          <w:lang w:val="en-US" w:eastAsia="zh-CN"/>
        </w:rPr>
        <w:t>（5套）</w:t>
      </w:r>
    </w:p>
    <w:p w14:paraId="70060A40">
      <w:pPr>
        <w:keepNext w:val="0"/>
        <w:keepLines w:val="0"/>
        <w:pageBreakBefore w:val="0"/>
        <w:widowControl w:val="0"/>
        <w:kinsoku/>
        <w:wordWrap/>
        <w:overflowPunct/>
        <w:topLinePunct w:val="0"/>
        <w:autoSpaceDE/>
        <w:bidi w:val="0"/>
        <w:adjustRightInd/>
        <w:snapToGrid w:val="0"/>
        <w:spacing w:line="360" w:lineRule="auto"/>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4、内部可视摄像头：在舱体内合适位置设置若干高清红外摄像头，数量5套、摄像头分辨率≥1920*1080，带数字宽动态、透雾功能、强光抑制/移动侦测/隐私遮蔽、2D/3D降噪等功能，以便对舱内进行全方位监控。</w:t>
      </w:r>
    </w:p>
    <w:p w14:paraId="2D73C35D">
      <w:pPr>
        <w:keepNext w:val="0"/>
        <w:keepLines w:val="0"/>
        <w:pageBreakBefore w:val="0"/>
        <w:widowControl w:val="0"/>
        <w:kinsoku/>
        <w:wordWrap/>
        <w:overflowPunct/>
        <w:topLinePunct w:val="0"/>
        <w:autoSpaceDE/>
        <w:autoSpaceDN w:val="0"/>
        <w:bidi w:val="0"/>
        <w:adjustRightInd/>
        <w:snapToGrid w:val="0"/>
        <w:spacing w:line="360" w:lineRule="auto"/>
        <w:ind w:firstLine="482" w:firstLineChars="200"/>
        <w:jc w:val="both"/>
        <w:textAlignment w:val="auto"/>
        <w:rPr>
          <w:rFonts w:hint="eastAsia" w:ascii="宋体" w:hAnsi="宋体" w:eastAsia="宋体" w:cs="宋体"/>
          <w:bCs/>
          <w:sz w:val="24"/>
          <w:szCs w:val="24"/>
        </w:rPr>
      </w:pPr>
      <w:r>
        <w:rPr>
          <w:rFonts w:hint="eastAsia" w:ascii="宋体" w:hAnsi="宋体" w:eastAsia="宋体" w:cs="宋体"/>
          <w:b/>
          <w:bCs/>
          <w:sz w:val="24"/>
          <w:szCs w:val="24"/>
          <w:lang w:val="en-US" w:eastAsia="zh-CN"/>
        </w:rPr>
        <w:t>电气控制系统</w:t>
      </w:r>
      <w:r>
        <w:rPr>
          <w:rFonts w:hint="eastAsia" w:ascii="宋体" w:hAnsi="宋体" w:eastAsia="宋体" w:cs="宋体"/>
          <w:bCs/>
          <w:sz w:val="24"/>
          <w:szCs w:val="24"/>
        </w:rPr>
        <w:t>：</w:t>
      </w:r>
    </w:p>
    <w:p w14:paraId="1086F0D8">
      <w:pPr>
        <w:keepNext w:val="0"/>
        <w:keepLines w:val="0"/>
        <w:pageBreakBefore w:val="0"/>
        <w:widowControl w:val="0"/>
        <w:kinsoku/>
        <w:wordWrap/>
        <w:overflowPunct/>
        <w:topLinePunct w:val="0"/>
        <w:autoSpaceDE/>
        <w:autoSpaceDN w:val="0"/>
        <w:bidi w:val="0"/>
        <w:adjustRightInd/>
        <w:snapToGrid w:val="0"/>
        <w:spacing w:line="360" w:lineRule="auto"/>
        <w:ind w:firstLine="480" w:firstLineChars="200"/>
        <w:jc w:val="both"/>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1、触控屏：10寸屏昆仑通泰屏、自动存储水氧含量及其压力数据，支持本地存储，系统存储容量7G，处理器≥1GHz，分辨率≥1024*600，屏幕尺寸≥10.1”TFT。</w:t>
      </w:r>
    </w:p>
    <w:p w14:paraId="1DD44C3B">
      <w:pPr>
        <w:keepNext w:val="0"/>
        <w:keepLines w:val="0"/>
        <w:pageBreakBefore w:val="0"/>
        <w:widowControl w:val="0"/>
        <w:kinsoku/>
        <w:wordWrap/>
        <w:overflowPunct/>
        <w:topLinePunct w:val="0"/>
        <w:autoSpaceDE/>
        <w:autoSpaceDN w:val="0"/>
        <w:bidi w:val="0"/>
        <w:adjustRightInd/>
        <w:snapToGrid w:val="0"/>
        <w:spacing w:line="360" w:lineRule="auto"/>
        <w:ind w:firstLine="480" w:firstLineChars="200"/>
        <w:jc w:val="both"/>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2、PLC：西门子S7-200SMART：具有24VDC输入和24VDC晶体管输出，同时还具有230VAC输入和继电器输出；可以Step7-Micro/WIN软件进行编程和对新设备组态；。</w:t>
      </w:r>
    </w:p>
    <w:p w14:paraId="7B3CACFD">
      <w:pPr>
        <w:keepNext w:val="0"/>
        <w:keepLines w:val="0"/>
        <w:pageBreakBefore w:val="0"/>
        <w:widowControl w:val="0"/>
        <w:kinsoku/>
        <w:wordWrap/>
        <w:overflowPunct/>
        <w:topLinePunct w:val="0"/>
        <w:autoSpaceDE/>
        <w:autoSpaceDN w:val="0"/>
        <w:bidi w:val="0"/>
        <w:adjustRightInd/>
        <w:snapToGrid w:val="0"/>
        <w:spacing w:line="360" w:lineRule="auto"/>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3、变频器：西门子SINAMICS V20;输出频率：0-400Hz;输入电压：单相为 200-240V ±10%;内置功能：内置 PID 控制器，拥有 ECO 模式、休眠模式等节能模式，还集成 USS 和 Modbus RTU 通讯.</w:t>
      </w:r>
    </w:p>
    <w:p w14:paraId="48BE2FAB">
      <w:pPr>
        <w:keepNext w:val="0"/>
        <w:keepLines w:val="0"/>
        <w:pageBreakBefore w:val="0"/>
        <w:widowControl w:val="0"/>
        <w:kinsoku/>
        <w:wordWrap/>
        <w:overflowPunct/>
        <w:topLinePunct w:val="0"/>
        <w:autoSpaceDE/>
        <w:autoSpaceDN w:val="0"/>
        <w:bidi w:val="0"/>
        <w:adjustRightInd/>
        <w:snapToGrid w:val="0"/>
        <w:spacing w:line="360" w:lineRule="auto"/>
        <w:jc w:val="left"/>
        <w:textAlignment w:val="auto"/>
        <w:rPr>
          <w:rFonts w:hint="eastAsia" w:ascii="宋体" w:hAnsi="宋体" w:eastAsia="宋体" w:cs="宋体"/>
          <w:bCs/>
          <w:sz w:val="24"/>
          <w:szCs w:val="24"/>
        </w:rPr>
      </w:pPr>
      <w:r>
        <w:rPr>
          <w:rFonts w:hint="eastAsia" w:ascii="宋体" w:hAnsi="宋体" w:eastAsia="宋体" w:cs="宋体"/>
          <w:b/>
          <w:bCs w:val="0"/>
          <w:sz w:val="24"/>
          <w:szCs w:val="24"/>
          <w:lang w:val="en-US" w:eastAsia="zh-CN"/>
        </w:rPr>
        <w:t>舱体</w:t>
      </w:r>
      <w:r>
        <w:rPr>
          <w:rFonts w:hint="eastAsia" w:ascii="宋体" w:hAnsi="宋体" w:eastAsia="宋体" w:cs="宋体"/>
          <w:b/>
          <w:bCs w:val="0"/>
          <w:sz w:val="24"/>
          <w:szCs w:val="24"/>
        </w:rPr>
        <w:t>管路说明</w:t>
      </w:r>
      <w:r>
        <w:rPr>
          <w:rFonts w:hint="eastAsia" w:ascii="宋体" w:hAnsi="宋体" w:eastAsia="宋体" w:cs="宋体"/>
          <w:bCs/>
          <w:sz w:val="24"/>
          <w:szCs w:val="24"/>
        </w:rPr>
        <w:t>：</w:t>
      </w:r>
    </w:p>
    <w:p w14:paraId="5DCD837C">
      <w:pPr>
        <w:keepNext w:val="0"/>
        <w:keepLines w:val="0"/>
        <w:pageBreakBefore w:val="0"/>
        <w:widowControl w:val="0"/>
        <w:kinsoku/>
        <w:wordWrap/>
        <w:overflowPunct/>
        <w:topLinePunct w:val="0"/>
        <w:autoSpaceDE/>
        <w:autoSpaceDN w:val="0"/>
        <w:bidi w:val="0"/>
        <w:adjustRightInd/>
        <w:snapToGrid w:val="0"/>
        <w:spacing w:line="360" w:lineRule="auto"/>
        <w:ind w:left="420" w:leftChars="20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箱体循环管路采用下进，上出的工作原理，数量为三进三出，具体位置以最终确认图纸为准！（需方原有净化系统顶部已经安装有过滤器）</w:t>
      </w:r>
    </w:p>
    <w:p w14:paraId="151DF911">
      <w:pPr>
        <w:keepNext w:val="0"/>
        <w:keepLines w:val="0"/>
        <w:pageBreakBefore w:val="0"/>
        <w:widowControl w:val="0"/>
        <w:kinsoku/>
        <w:wordWrap/>
        <w:overflowPunct/>
        <w:topLinePunct w:val="0"/>
        <w:autoSpaceDE/>
        <w:autoSpaceDN w:val="0"/>
        <w:bidi w:val="0"/>
        <w:adjustRightInd/>
        <w:snapToGrid w:val="0"/>
        <w:spacing w:line="360" w:lineRule="auto"/>
        <w:jc w:val="left"/>
        <w:textAlignment w:val="auto"/>
        <w:rPr>
          <w:rFonts w:hint="eastAsia" w:ascii="宋体" w:hAnsi="宋体" w:eastAsia="宋体" w:cs="宋体"/>
          <w:b/>
          <w:bCs w:val="0"/>
          <w:sz w:val="24"/>
          <w:szCs w:val="24"/>
        </w:rPr>
      </w:pPr>
      <w:r>
        <w:rPr>
          <w:rFonts w:hint="eastAsia" w:ascii="宋体" w:hAnsi="宋体" w:eastAsia="宋体" w:cs="宋体"/>
          <w:b/>
          <w:bCs w:val="0"/>
          <w:sz w:val="24"/>
          <w:szCs w:val="24"/>
          <w:lang w:val="en-US" w:eastAsia="zh-CN"/>
        </w:rPr>
        <w:t>舱体</w:t>
      </w:r>
      <w:r>
        <w:rPr>
          <w:rFonts w:hint="eastAsia" w:ascii="宋体" w:hAnsi="宋体" w:eastAsia="宋体" w:cs="宋体"/>
          <w:b/>
          <w:bCs w:val="0"/>
          <w:sz w:val="24"/>
          <w:szCs w:val="24"/>
        </w:rPr>
        <w:t>使用方法说明：</w:t>
      </w:r>
    </w:p>
    <w:p w14:paraId="534F9260">
      <w:pPr>
        <w:keepNext w:val="0"/>
        <w:keepLines w:val="0"/>
        <w:pageBreakBefore w:val="0"/>
        <w:widowControl w:val="0"/>
        <w:kinsoku/>
        <w:wordWrap/>
        <w:overflowPunct/>
        <w:topLinePunct w:val="0"/>
        <w:autoSpaceDE/>
        <w:autoSpaceDN w:val="0"/>
        <w:bidi w:val="0"/>
        <w:adjustRightInd/>
        <w:snapToGrid w:val="0"/>
        <w:spacing w:line="360" w:lineRule="auto"/>
        <w:ind w:left="420" w:leftChars="20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箱体密封</w:t>
      </w:r>
      <w:r>
        <w:rPr>
          <w:rFonts w:hint="eastAsia" w:ascii="宋体" w:hAnsi="宋体" w:eastAsia="宋体" w:cs="宋体"/>
          <w:bCs/>
          <w:sz w:val="24"/>
          <w:szCs w:val="24"/>
        </w:rPr>
        <w:t>，开启快速控制系统快速清洗，快速清洗进气口在箱体侧壁底部，出气口在箱体顶部，具体数量及位置以最终确认图纸为准！</w:t>
      </w:r>
    </w:p>
    <w:p w14:paraId="3D8521D8">
      <w:pPr>
        <w:keepNext w:val="0"/>
        <w:keepLines w:val="0"/>
        <w:pageBreakBefore w:val="0"/>
        <w:widowControl w:val="0"/>
        <w:kinsoku/>
        <w:wordWrap/>
        <w:overflowPunct/>
        <w:topLinePunct w:val="0"/>
        <w:autoSpaceDE/>
        <w:autoSpaceDN w:val="0"/>
        <w:bidi w:val="0"/>
        <w:adjustRightInd/>
        <w:snapToGrid w:val="0"/>
        <w:spacing w:line="360" w:lineRule="auto"/>
        <w:ind w:left="420" w:leftChars="20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数小时后（具体时间以实际工作为准），开启氧分析仪，监测箱体内部氧含量，在氧含量为≤1000ppm时，关闭快速清洗，开启控制系统自动清洗，清洗管路内的多余气体，此时，氧分析仪的氧含量会＞1000ppm，不用担心，为正常现象。持续开启自动清洗，当氧含量≤</w:t>
      </w:r>
      <w:r>
        <w:rPr>
          <w:rFonts w:hint="eastAsia" w:ascii="宋体" w:hAnsi="宋体" w:eastAsia="宋体" w:cs="宋体"/>
          <w:bCs/>
          <w:sz w:val="24"/>
          <w:szCs w:val="24"/>
          <w:lang w:val="en-US" w:eastAsia="zh-CN"/>
        </w:rPr>
        <w:t>5</w:t>
      </w:r>
      <w:r>
        <w:rPr>
          <w:rFonts w:hint="eastAsia" w:ascii="宋体" w:hAnsi="宋体" w:eastAsia="宋体" w:cs="宋体"/>
          <w:bCs/>
          <w:sz w:val="24"/>
          <w:szCs w:val="24"/>
        </w:rPr>
        <w:t>00ppm时，关闭自动清洗，开启循环！</w:t>
      </w:r>
    </w:p>
    <w:p w14:paraId="6197312D">
      <w:pPr>
        <w:keepNext w:val="0"/>
        <w:keepLines w:val="0"/>
        <w:pageBreakBefore w:val="0"/>
        <w:widowControl w:val="0"/>
        <w:kinsoku/>
        <w:wordWrap/>
        <w:overflowPunct/>
        <w:topLinePunct w:val="0"/>
        <w:autoSpaceDE/>
        <w:autoSpaceDN w:val="0"/>
        <w:bidi w:val="0"/>
        <w:adjustRightInd/>
        <w:snapToGrid w:val="0"/>
        <w:spacing w:line="360" w:lineRule="auto"/>
        <w:ind w:firstLine="482" w:firstLineChars="200"/>
        <w:jc w:val="left"/>
        <w:textAlignment w:val="auto"/>
        <w:rPr>
          <w:rFonts w:hint="eastAsia" w:ascii="宋体" w:hAnsi="宋体" w:eastAsia="宋体" w:cs="宋体"/>
          <w:bCs/>
          <w:sz w:val="24"/>
          <w:szCs w:val="24"/>
        </w:rPr>
      </w:pPr>
      <w:r>
        <w:rPr>
          <w:rFonts w:hint="eastAsia" w:ascii="宋体" w:hAnsi="宋体" w:eastAsia="宋体" w:cs="宋体"/>
          <w:b/>
          <w:bCs w:val="0"/>
          <w:sz w:val="24"/>
          <w:szCs w:val="24"/>
        </w:rPr>
        <w:t>关于</w:t>
      </w:r>
      <w:r>
        <w:rPr>
          <w:rFonts w:hint="eastAsia" w:ascii="宋体" w:hAnsi="宋体" w:eastAsia="宋体" w:cs="宋体"/>
          <w:b/>
          <w:bCs w:val="0"/>
          <w:sz w:val="24"/>
          <w:szCs w:val="24"/>
          <w:lang w:val="en-US" w:eastAsia="zh-CN"/>
        </w:rPr>
        <w:t>净化系统内</w:t>
      </w:r>
      <w:r>
        <w:rPr>
          <w:rFonts w:hint="eastAsia" w:ascii="宋体" w:hAnsi="宋体" w:eastAsia="宋体" w:cs="宋体"/>
          <w:b/>
          <w:bCs w:val="0"/>
          <w:sz w:val="24"/>
          <w:szCs w:val="24"/>
        </w:rPr>
        <w:t>净化柱再生活化说明</w:t>
      </w:r>
    </w:p>
    <w:p w14:paraId="58D51176">
      <w:pPr>
        <w:keepNext w:val="0"/>
        <w:keepLines w:val="0"/>
        <w:pageBreakBefore w:val="0"/>
        <w:widowControl w:val="0"/>
        <w:kinsoku/>
        <w:wordWrap/>
        <w:overflowPunct/>
        <w:topLinePunct w:val="0"/>
        <w:autoSpaceDE/>
        <w:autoSpaceDN w:val="0"/>
        <w:bidi w:val="0"/>
        <w:adjustRightInd/>
        <w:snapToGrid w:val="0"/>
        <w:spacing w:line="360" w:lineRule="auto"/>
        <w:ind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净化柱为</w:t>
      </w:r>
      <w:r>
        <w:rPr>
          <w:rFonts w:hint="eastAsia" w:ascii="宋体" w:hAnsi="宋体" w:eastAsia="宋体" w:cs="宋体"/>
          <w:bCs/>
          <w:sz w:val="24"/>
          <w:szCs w:val="24"/>
          <w:lang w:val="en-US" w:eastAsia="zh-CN"/>
        </w:rPr>
        <w:t>6</w:t>
      </w:r>
      <w:r>
        <w:rPr>
          <w:rFonts w:hint="eastAsia" w:ascii="宋体" w:hAnsi="宋体" w:eastAsia="宋体" w:cs="宋体"/>
          <w:bCs/>
          <w:sz w:val="24"/>
          <w:szCs w:val="24"/>
        </w:rPr>
        <w:t>柱，</w:t>
      </w:r>
      <w:r>
        <w:rPr>
          <w:rFonts w:hint="eastAsia" w:ascii="宋体" w:hAnsi="宋体" w:eastAsia="宋体" w:cs="宋体"/>
          <w:bCs/>
          <w:sz w:val="24"/>
          <w:szCs w:val="24"/>
          <w:lang w:val="en-US" w:eastAsia="zh-CN"/>
        </w:rPr>
        <w:t>3</w:t>
      </w:r>
      <w:r>
        <w:rPr>
          <w:rFonts w:hint="eastAsia" w:ascii="宋体" w:hAnsi="宋体" w:eastAsia="宋体" w:cs="宋体"/>
          <w:bCs/>
          <w:sz w:val="24"/>
          <w:szCs w:val="24"/>
        </w:rPr>
        <w:t>备</w:t>
      </w:r>
      <w:r>
        <w:rPr>
          <w:rFonts w:hint="eastAsia" w:ascii="宋体" w:hAnsi="宋体" w:eastAsia="宋体" w:cs="宋体"/>
          <w:bCs/>
          <w:sz w:val="24"/>
          <w:szCs w:val="24"/>
          <w:lang w:val="en-US" w:eastAsia="zh-CN"/>
        </w:rPr>
        <w:t>3</w:t>
      </w:r>
      <w:r>
        <w:rPr>
          <w:rFonts w:hint="eastAsia" w:ascii="宋体" w:hAnsi="宋体" w:eastAsia="宋体" w:cs="宋体"/>
          <w:bCs/>
          <w:sz w:val="24"/>
          <w:szCs w:val="24"/>
        </w:rPr>
        <w:t>用，为不影响使用，在</w:t>
      </w:r>
      <w:r>
        <w:rPr>
          <w:rFonts w:hint="eastAsia" w:ascii="宋体" w:hAnsi="宋体" w:eastAsia="宋体" w:cs="宋体"/>
          <w:bCs/>
          <w:sz w:val="24"/>
          <w:szCs w:val="24"/>
          <w:lang w:val="en-US" w:eastAsia="zh-CN"/>
        </w:rPr>
        <w:t>3</w:t>
      </w:r>
      <w:r>
        <w:rPr>
          <w:rFonts w:hint="eastAsia" w:ascii="宋体" w:hAnsi="宋体" w:eastAsia="宋体" w:cs="宋体"/>
          <w:bCs/>
          <w:sz w:val="24"/>
          <w:szCs w:val="24"/>
        </w:rPr>
        <w:t>个净化柱工作时，其余</w:t>
      </w:r>
      <w:r>
        <w:rPr>
          <w:rFonts w:hint="eastAsia" w:ascii="宋体" w:hAnsi="宋体" w:eastAsia="宋体" w:cs="宋体"/>
          <w:bCs/>
          <w:sz w:val="24"/>
          <w:szCs w:val="24"/>
          <w:lang w:val="en-US" w:eastAsia="zh-CN"/>
        </w:rPr>
        <w:t>3</w:t>
      </w:r>
      <w:r>
        <w:rPr>
          <w:rFonts w:hint="eastAsia" w:ascii="宋体" w:hAnsi="宋体" w:eastAsia="宋体" w:cs="宋体"/>
          <w:bCs/>
          <w:sz w:val="24"/>
          <w:szCs w:val="24"/>
        </w:rPr>
        <w:t>个净化柱做再生；当发现开启循环后，箱体氧含量没有下降，反而增长时，便需要切换做好再生的</w:t>
      </w:r>
      <w:r>
        <w:rPr>
          <w:rFonts w:hint="eastAsia" w:ascii="宋体" w:hAnsi="宋体" w:eastAsia="宋体" w:cs="宋体"/>
          <w:bCs/>
          <w:sz w:val="24"/>
          <w:szCs w:val="24"/>
          <w:lang w:val="en-US" w:eastAsia="zh-CN"/>
        </w:rPr>
        <w:t>3</w:t>
      </w:r>
      <w:r>
        <w:rPr>
          <w:rFonts w:hint="eastAsia" w:ascii="宋体" w:hAnsi="宋体" w:eastAsia="宋体" w:cs="宋体"/>
          <w:bCs/>
          <w:sz w:val="24"/>
          <w:szCs w:val="24"/>
        </w:rPr>
        <w:t>个柱，并为其余</w:t>
      </w:r>
      <w:r>
        <w:rPr>
          <w:rFonts w:hint="eastAsia" w:ascii="宋体" w:hAnsi="宋体" w:eastAsia="宋体" w:cs="宋体"/>
          <w:bCs/>
          <w:sz w:val="24"/>
          <w:szCs w:val="24"/>
          <w:lang w:val="en-US" w:eastAsia="zh-CN"/>
        </w:rPr>
        <w:t>3</w:t>
      </w:r>
      <w:r>
        <w:rPr>
          <w:rFonts w:hint="eastAsia" w:ascii="宋体" w:hAnsi="宋体" w:eastAsia="宋体" w:cs="宋体"/>
          <w:bCs/>
          <w:sz w:val="24"/>
          <w:szCs w:val="24"/>
        </w:rPr>
        <w:t>个柱做再生。</w:t>
      </w:r>
    </w:p>
    <w:p w14:paraId="0B3D9D72">
      <w:pPr>
        <w:numPr>
          <w:ilvl w:val="0"/>
          <w:numId w:val="0"/>
        </w:numPr>
        <w:spacing w:line="360" w:lineRule="auto"/>
        <w:ind w:leftChars="0"/>
        <w:rPr>
          <w:rFonts w:hint="eastAsia" w:ascii="宋体" w:hAnsi="宋体" w:eastAsia="宋体" w:cs="宋体"/>
          <w:sz w:val="24"/>
          <w:szCs w:val="24"/>
          <w:lang w:val="en-US" w:eastAsia="zh-CN"/>
        </w:rPr>
      </w:pPr>
    </w:p>
    <w:p w14:paraId="0B8E5143">
      <w:pPr>
        <w:numPr>
          <w:ilvl w:val="0"/>
          <w:numId w:val="0"/>
        </w:numPr>
        <w:spacing w:line="360" w:lineRule="auto"/>
        <w:ind w:leftChars="0"/>
        <w:rPr>
          <w:rFonts w:hint="eastAsia" w:ascii="宋体" w:hAnsi="宋体" w:eastAsia="宋体" w:cs="宋体"/>
          <w:sz w:val="24"/>
          <w:szCs w:val="24"/>
          <w:lang w:val="en-US" w:eastAsia="zh-CN"/>
        </w:rPr>
      </w:pPr>
    </w:p>
    <w:p w14:paraId="157762B8">
      <w:pPr>
        <w:numPr>
          <w:ilvl w:val="0"/>
          <w:numId w:val="0"/>
        </w:numPr>
        <w:spacing w:line="360" w:lineRule="auto"/>
        <w:ind w:leftChars="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本项目主要技术指标如下：</w:t>
      </w:r>
    </w:p>
    <w:tbl>
      <w:tblPr>
        <w:tblStyle w:val="15"/>
        <w:tblW w:w="8780" w:type="dxa"/>
        <w:jc w:val="center"/>
        <w:tblBorders>
          <w:top w:val="double" w:color="000000" w:sz="4" w:space="0"/>
          <w:left w:val="double" w:color="000000" w:sz="4" w:space="0"/>
          <w:bottom w:val="double" w:color="000000" w:sz="4" w:space="0"/>
          <w:right w:val="double" w:color="000000" w:sz="4" w:space="0"/>
          <w:insideH w:val="single" w:color="000000" w:sz="2" w:space="0"/>
          <w:insideV w:val="single" w:color="000000" w:sz="2" w:space="0"/>
        </w:tblBorders>
        <w:tblLayout w:type="fixed"/>
        <w:tblCellMar>
          <w:top w:w="0" w:type="dxa"/>
          <w:left w:w="0" w:type="dxa"/>
          <w:bottom w:w="0" w:type="dxa"/>
          <w:right w:w="0" w:type="dxa"/>
        </w:tblCellMar>
      </w:tblPr>
      <w:tblGrid>
        <w:gridCol w:w="738"/>
        <w:gridCol w:w="1685"/>
        <w:gridCol w:w="2078"/>
        <w:gridCol w:w="4279"/>
      </w:tblGrid>
      <w:tr w14:paraId="7DEEC4D3">
        <w:tblPrEx>
          <w:tblBorders>
            <w:top w:val="double" w:color="000000" w:sz="4" w:space="0"/>
            <w:left w:val="double" w:color="000000" w:sz="4" w:space="0"/>
            <w:bottom w:val="double" w:color="000000" w:sz="4" w:space="0"/>
            <w:right w:val="double" w:color="000000" w:sz="4" w:space="0"/>
            <w:insideH w:val="single" w:color="000000" w:sz="2" w:space="0"/>
            <w:insideV w:val="single" w:color="000000" w:sz="2" w:space="0"/>
          </w:tblBorders>
          <w:tblCellMar>
            <w:top w:w="0" w:type="dxa"/>
            <w:left w:w="0" w:type="dxa"/>
            <w:bottom w:w="0" w:type="dxa"/>
            <w:right w:w="0" w:type="dxa"/>
          </w:tblCellMar>
        </w:tblPrEx>
        <w:trPr>
          <w:trHeight w:val="463" w:hRule="atLeast"/>
          <w:jc w:val="center"/>
        </w:trPr>
        <w:tc>
          <w:tcPr>
            <w:tcW w:w="8780" w:type="dxa"/>
            <w:gridSpan w:val="4"/>
            <w:tcBorders>
              <w:tl2br w:val="nil"/>
              <w:tr2bl w:val="nil"/>
            </w:tcBorders>
            <w:vAlign w:val="center"/>
          </w:tcPr>
          <w:p w14:paraId="2865796C">
            <w:pPr>
              <w:numPr>
                <w:ilvl w:val="0"/>
                <w:numId w:val="0"/>
              </w:numPr>
              <w:spacing w:line="360" w:lineRule="auto"/>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化学洁净智能实验舱主要技术指标</w:t>
            </w:r>
          </w:p>
        </w:tc>
      </w:tr>
      <w:tr w14:paraId="747F2954">
        <w:tblPrEx>
          <w:tblBorders>
            <w:top w:val="double" w:color="000000" w:sz="4" w:space="0"/>
            <w:left w:val="double" w:color="000000" w:sz="4" w:space="0"/>
            <w:bottom w:val="double" w:color="000000" w:sz="4" w:space="0"/>
            <w:right w:val="double" w:color="000000" w:sz="4" w:space="0"/>
            <w:insideH w:val="single" w:color="000000" w:sz="2" w:space="0"/>
            <w:insideV w:val="single" w:color="000000" w:sz="2" w:space="0"/>
          </w:tblBorders>
          <w:tblCellMar>
            <w:top w:w="0" w:type="dxa"/>
            <w:left w:w="0" w:type="dxa"/>
            <w:bottom w:w="0" w:type="dxa"/>
            <w:right w:w="0" w:type="dxa"/>
          </w:tblCellMar>
        </w:tblPrEx>
        <w:trPr>
          <w:trHeight w:val="440" w:hRule="atLeast"/>
          <w:jc w:val="center"/>
        </w:trPr>
        <w:tc>
          <w:tcPr>
            <w:tcW w:w="738" w:type="dxa"/>
            <w:tcBorders>
              <w:tl2br w:val="nil"/>
              <w:tr2bl w:val="nil"/>
            </w:tcBorders>
            <w:vAlign w:val="center"/>
          </w:tcPr>
          <w:p w14:paraId="1482BC07">
            <w:pPr>
              <w:numPr>
                <w:ilvl w:val="0"/>
                <w:numId w:val="0"/>
              </w:numPr>
              <w:spacing w:line="360" w:lineRule="auto"/>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685" w:type="dxa"/>
            <w:tcBorders>
              <w:tl2br w:val="nil"/>
              <w:tr2bl w:val="nil"/>
            </w:tcBorders>
            <w:vAlign w:val="center"/>
          </w:tcPr>
          <w:p w14:paraId="572E3D8B">
            <w:pPr>
              <w:numPr>
                <w:ilvl w:val="0"/>
                <w:numId w:val="0"/>
              </w:numPr>
              <w:spacing w:line="360" w:lineRule="auto"/>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指标名称</w:t>
            </w:r>
          </w:p>
        </w:tc>
        <w:tc>
          <w:tcPr>
            <w:tcW w:w="2078" w:type="dxa"/>
            <w:tcBorders>
              <w:tl2br w:val="nil"/>
              <w:tr2bl w:val="nil"/>
            </w:tcBorders>
            <w:vAlign w:val="center"/>
          </w:tcPr>
          <w:p w14:paraId="64F339E8">
            <w:pPr>
              <w:numPr>
                <w:ilvl w:val="0"/>
                <w:numId w:val="0"/>
              </w:numPr>
              <w:spacing w:line="360" w:lineRule="auto"/>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参数</w:t>
            </w:r>
          </w:p>
        </w:tc>
        <w:tc>
          <w:tcPr>
            <w:tcW w:w="4279" w:type="dxa"/>
            <w:tcBorders>
              <w:tl2br w:val="nil"/>
              <w:tr2bl w:val="nil"/>
            </w:tcBorders>
            <w:vAlign w:val="center"/>
          </w:tcPr>
          <w:p w14:paraId="10346DEE">
            <w:pPr>
              <w:numPr>
                <w:ilvl w:val="0"/>
                <w:numId w:val="0"/>
              </w:numPr>
              <w:spacing w:line="360" w:lineRule="auto"/>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63500512">
        <w:tblPrEx>
          <w:tblBorders>
            <w:top w:val="double" w:color="000000" w:sz="4" w:space="0"/>
            <w:left w:val="double" w:color="000000" w:sz="4" w:space="0"/>
            <w:bottom w:val="double" w:color="000000" w:sz="4" w:space="0"/>
            <w:right w:val="double" w:color="000000" w:sz="4" w:space="0"/>
            <w:insideH w:val="single" w:color="000000" w:sz="2" w:space="0"/>
            <w:insideV w:val="single" w:color="000000" w:sz="2" w:space="0"/>
          </w:tblBorders>
        </w:tblPrEx>
        <w:trPr>
          <w:trHeight w:val="1310" w:hRule="atLeast"/>
          <w:jc w:val="center"/>
        </w:trPr>
        <w:tc>
          <w:tcPr>
            <w:tcW w:w="738" w:type="dxa"/>
            <w:tcBorders>
              <w:tl2br w:val="nil"/>
              <w:tr2bl w:val="nil"/>
            </w:tcBorders>
            <w:vAlign w:val="center"/>
          </w:tcPr>
          <w:p w14:paraId="22B3CB64">
            <w:pPr>
              <w:numPr>
                <w:ilvl w:val="0"/>
                <w:numId w:val="0"/>
              </w:numPr>
              <w:spacing w:line="360" w:lineRule="auto"/>
              <w:ind w:leftChars="0"/>
              <w:jc w:val="center"/>
              <w:rPr>
                <w:rFonts w:hint="eastAsia" w:ascii="宋体" w:hAnsi="宋体" w:eastAsia="宋体" w:cs="宋体"/>
                <w:sz w:val="24"/>
                <w:szCs w:val="24"/>
                <w:lang w:val="en-US" w:eastAsia="zh-CN"/>
              </w:rPr>
            </w:pPr>
          </w:p>
          <w:p w14:paraId="2F3E27E2">
            <w:pPr>
              <w:numPr>
                <w:ilvl w:val="0"/>
                <w:numId w:val="0"/>
              </w:numPr>
              <w:spacing w:line="360" w:lineRule="auto"/>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685" w:type="dxa"/>
            <w:tcBorders>
              <w:tl2br w:val="nil"/>
              <w:tr2bl w:val="nil"/>
            </w:tcBorders>
            <w:vAlign w:val="center"/>
          </w:tcPr>
          <w:p w14:paraId="5A34F923">
            <w:pPr>
              <w:numPr>
                <w:ilvl w:val="0"/>
                <w:numId w:val="0"/>
              </w:numPr>
              <w:spacing w:line="360" w:lineRule="auto"/>
              <w:ind w:leftChars="0"/>
              <w:jc w:val="center"/>
              <w:rPr>
                <w:rFonts w:hint="eastAsia" w:ascii="宋体" w:hAnsi="宋体" w:eastAsia="宋体" w:cs="宋体"/>
                <w:sz w:val="24"/>
                <w:szCs w:val="24"/>
                <w:lang w:val="en-US" w:eastAsia="zh-CN"/>
              </w:rPr>
            </w:pPr>
          </w:p>
          <w:p w14:paraId="13881437">
            <w:pPr>
              <w:numPr>
                <w:ilvl w:val="0"/>
                <w:numId w:val="0"/>
              </w:numPr>
              <w:spacing w:line="360" w:lineRule="auto"/>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泄漏率</w:t>
            </w:r>
          </w:p>
        </w:tc>
        <w:tc>
          <w:tcPr>
            <w:tcW w:w="2078" w:type="dxa"/>
            <w:tcBorders>
              <w:tl2br w:val="nil"/>
              <w:tr2bl w:val="nil"/>
            </w:tcBorders>
            <w:vAlign w:val="center"/>
          </w:tcPr>
          <w:p w14:paraId="3E52C056">
            <w:pPr>
              <w:numPr>
                <w:ilvl w:val="0"/>
                <w:numId w:val="0"/>
              </w:numPr>
              <w:spacing w:line="360" w:lineRule="auto"/>
              <w:ind w:leftChars="0"/>
              <w:jc w:val="center"/>
              <w:rPr>
                <w:rFonts w:hint="eastAsia" w:ascii="宋体" w:hAnsi="宋体" w:eastAsia="宋体" w:cs="宋体"/>
                <w:sz w:val="24"/>
                <w:szCs w:val="24"/>
                <w:lang w:val="en-US" w:eastAsia="zh-CN"/>
              </w:rPr>
            </w:pPr>
          </w:p>
          <w:p w14:paraId="34D99DDC">
            <w:pPr>
              <w:numPr>
                <w:ilvl w:val="0"/>
                <w:numId w:val="0"/>
              </w:numPr>
              <w:spacing w:line="360" w:lineRule="auto"/>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≤0.05vol%/h</w:t>
            </w:r>
          </w:p>
        </w:tc>
        <w:tc>
          <w:tcPr>
            <w:tcW w:w="4279" w:type="dxa"/>
            <w:tcBorders>
              <w:tl2br w:val="nil"/>
              <w:tr2bl w:val="nil"/>
            </w:tcBorders>
            <w:vAlign w:val="center"/>
          </w:tcPr>
          <w:p w14:paraId="3BCDDF22">
            <w:pPr>
              <w:numPr>
                <w:ilvl w:val="0"/>
                <w:numId w:val="0"/>
              </w:numPr>
              <w:spacing w:line="360" w:lineRule="auto"/>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标准及测试方法依据：</w:t>
            </w:r>
          </w:p>
          <w:p w14:paraId="6291D861">
            <w:pPr>
              <w:numPr>
                <w:ilvl w:val="0"/>
                <w:numId w:val="0"/>
              </w:numPr>
              <w:spacing w:line="360" w:lineRule="auto"/>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EJT 1096-1999  《密封箱室密封性分</w:t>
            </w:r>
          </w:p>
          <w:p w14:paraId="2AF268D3">
            <w:pPr>
              <w:numPr>
                <w:ilvl w:val="0"/>
                <w:numId w:val="0"/>
              </w:numPr>
              <w:spacing w:line="360" w:lineRule="auto"/>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级及其检验方法》（</w:t>
            </w:r>
            <w:r>
              <w:rPr>
                <w:rFonts w:hint="eastAsia" w:ascii="宋体" w:hAnsi="宋体" w:eastAsia="宋体" w:cs="宋体"/>
                <w:color w:val="000000" w:themeColor="text1"/>
                <w:kern w:val="0"/>
                <w:szCs w:val="21"/>
                <w:lang w:val="en-US" w:eastAsia="zh-CN"/>
                <w14:textFill>
                  <w14:solidFill>
                    <w14:schemeClr w14:val="tx1"/>
                  </w14:solidFill>
                </w14:textFill>
              </w:rPr>
              <w:t>箱压设定3-5mbar，维持30min，箱体补气次数</w:t>
            </w:r>
            <w:r>
              <w:rPr>
                <w:rFonts w:hint="eastAsia" w:ascii="宋体" w:hAnsi="宋体" w:eastAsia="宋体" w:cs="宋体"/>
                <w:szCs w:val="21"/>
                <w:lang w:val="en-US" w:eastAsia="zh-CN"/>
              </w:rPr>
              <w:t>≤</w:t>
            </w:r>
            <w:r>
              <w:rPr>
                <w:rFonts w:hint="eastAsia" w:ascii="宋体" w:hAnsi="宋体" w:eastAsia="宋体" w:cs="宋体"/>
                <w:color w:val="000000" w:themeColor="text1"/>
                <w:kern w:val="0"/>
                <w:szCs w:val="21"/>
                <w:lang w:val="en-US" w:eastAsia="zh-CN"/>
                <w14:textFill>
                  <w14:solidFill>
                    <w14:schemeClr w14:val="tx1"/>
                  </w14:solidFill>
                </w14:textFill>
              </w:rPr>
              <w:t>1</w:t>
            </w:r>
            <w:r>
              <w:rPr>
                <w:rFonts w:hint="eastAsia" w:ascii="宋体" w:hAnsi="宋体" w:eastAsia="宋体" w:cs="宋体"/>
                <w:sz w:val="24"/>
                <w:szCs w:val="24"/>
                <w:lang w:val="en-US" w:eastAsia="zh-CN"/>
              </w:rPr>
              <w:t>）</w:t>
            </w:r>
          </w:p>
        </w:tc>
      </w:tr>
      <w:tr w14:paraId="364B105B">
        <w:tblPrEx>
          <w:tblBorders>
            <w:top w:val="double" w:color="000000" w:sz="4" w:space="0"/>
            <w:left w:val="double" w:color="000000" w:sz="4" w:space="0"/>
            <w:bottom w:val="double" w:color="000000" w:sz="4" w:space="0"/>
            <w:right w:val="double" w:color="000000" w:sz="4" w:space="0"/>
            <w:insideH w:val="single" w:color="000000" w:sz="2" w:space="0"/>
            <w:insideV w:val="single" w:color="000000" w:sz="2" w:space="0"/>
          </w:tblBorders>
          <w:tblCellMar>
            <w:top w:w="0" w:type="dxa"/>
            <w:left w:w="0" w:type="dxa"/>
            <w:bottom w:w="0" w:type="dxa"/>
            <w:right w:w="0" w:type="dxa"/>
          </w:tblCellMar>
        </w:tblPrEx>
        <w:trPr>
          <w:trHeight w:val="440" w:hRule="atLeast"/>
          <w:jc w:val="center"/>
        </w:trPr>
        <w:tc>
          <w:tcPr>
            <w:tcW w:w="738" w:type="dxa"/>
            <w:tcBorders>
              <w:tl2br w:val="nil"/>
              <w:tr2bl w:val="nil"/>
            </w:tcBorders>
            <w:vAlign w:val="center"/>
          </w:tcPr>
          <w:p w14:paraId="56A412F6">
            <w:pPr>
              <w:numPr>
                <w:ilvl w:val="0"/>
                <w:numId w:val="0"/>
              </w:numPr>
              <w:spacing w:line="360" w:lineRule="auto"/>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685" w:type="dxa"/>
            <w:tcBorders>
              <w:tl2br w:val="nil"/>
              <w:tr2bl w:val="nil"/>
            </w:tcBorders>
            <w:vAlign w:val="center"/>
          </w:tcPr>
          <w:p w14:paraId="44E6886F">
            <w:pPr>
              <w:numPr>
                <w:ilvl w:val="0"/>
                <w:numId w:val="0"/>
              </w:numPr>
              <w:spacing w:line="360" w:lineRule="auto"/>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水含量</w:t>
            </w:r>
          </w:p>
        </w:tc>
        <w:tc>
          <w:tcPr>
            <w:tcW w:w="2078" w:type="dxa"/>
            <w:tcBorders>
              <w:tl2br w:val="nil"/>
              <w:tr2bl w:val="nil"/>
            </w:tcBorders>
            <w:vAlign w:val="center"/>
          </w:tcPr>
          <w:p w14:paraId="2B286160">
            <w:pPr>
              <w:numPr>
                <w:ilvl w:val="0"/>
                <w:numId w:val="0"/>
              </w:numPr>
              <w:spacing w:line="360" w:lineRule="auto"/>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≤1PPM</w:t>
            </w:r>
          </w:p>
        </w:tc>
        <w:tc>
          <w:tcPr>
            <w:tcW w:w="4279" w:type="dxa"/>
            <w:tcBorders>
              <w:tl2br w:val="nil"/>
              <w:tr2bl w:val="nil"/>
            </w:tcBorders>
            <w:vAlign w:val="center"/>
          </w:tcPr>
          <w:p w14:paraId="4799DC15">
            <w:pPr>
              <w:numPr>
                <w:ilvl w:val="0"/>
                <w:numId w:val="0"/>
              </w:numPr>
              <w:spacing w:line="360" w:lineRule="auto"/>
              <w:ind w:leftChars="0"/>
              <w:jc w:val="center"/>
              <w:rPr>
                <w:rFonts w:hint="eastAsia" w:ascii="宋体" w:hAnsi="宋体" w:eastAsia="宋体" w:cs="宋体"/>
                <w:sz w:val="24"/>
                <w:szCs w:val="24"/>
                <w:lang w:val="en-US" w:eastAsia="zh-CN"/>
              </w:rPr>
            </w:pPr>
          </w:p>
        </w:tc>
      </w:tr>
      <w:tr w14:paraId="62C98659">
        <w:tblPrEx>
          <w:tblBorders>
            <w:top w:val="double" w:color="000000" w:sz="4" w:space="0"/>
            <w:left w:val="double" w:color="000000" w:sz="4" w:space="0"/>
            <w:bottom w:val="double" w:color="000000" w:sz="4" w:space="0"/>
            <w:right w:val="double" w:color="000000" w:sz="4" w:space="0"/>
            <w:insideH w:val="single" w:color="000000" w:sz="2" w:space="0"/>
            <w:insideV w:val="single" w:color="000000" w:sz="2" w:space="0"/>
          </w:tblBorders>
          <w:tblCellMar>
            <w:top w:w="0" w:type="dxa"/>
            <w:left w:w="0" w:type="dxa"/>
            <w:bottom w:w="0" w:type="dxa"/>
            <w:right w:w="0" w:type="dxa"/>
          </w:tblCellMar>
        </w:tblPrEx>
        <w:trPr>
          <w:trHeight w:val="440" w:hRule="atLeast"/>
          <w:jc w:val="center"/>
        </w:trPr>
        <w:tc>
          <w:tcPr>
            <w:tcW w:w="738" w:type="dxa"/>
            <w:tcBorders>
              <w:tl2br w:val="nil"/>
              <w:tr2bl w:val="nil"/>
            </w:tcBorders>
            <w:vAlign w:val="center"/>
          </w:tcPr>
          <w:p w14:paraId="70A9EBAC">
            <w:pPr>
              <w:numPr>
                <w:ilvl w:val="0"/>
                <w:numId w:val="0"/>
              </w:numPr>
              <w:spacing w:line="360" w:lineRule="auto"/>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685" w:type="dxa"/>
            <w:tcBorders>
              <w:tl2br w:val="nil"/>
              <w:tr2bl w:val="nil"/>
            </w:tcBorders>
            <w:vAlign w:val="center"/>
          </w:tcPr>
          <w:p w14:paraId="5955A7A2">
            <w:pPr>
              <w:numPr>
                <w:ilvl w:val="0"/>
                <w:numId w:val="0"/>
              </w:numPr>
              <w:spacing w:line="360" w:lineRule="auto"/>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氧含量</w:t>
            </w:r>
          </w:p>
        </w:tc>
        <w:tc>
          <w:tcPr>
            <w:tcW w:w="2078" w:type="dxa"/>
            <w:tcBorders>
              <w:tl2br w:val="nil"/>
              <w:tr2bl w:val="nil"/>
            </w:tcBorders>
            <w:vAlign w:val="center"/>
          </w:tcPr>
          <w:p w14:paraId="3677931B">
            <w:pPr>
              <w:numPr>
                <w:ilvl w:val="0"/>
                <w:numId w:val="0"/>
              </w:numPr>
              <w:spacing w:line="360" w:lineRule="auto"/>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≤1PPM</w:t>
            </w:r>
          </w:p>
        </w:tc>
        <w:tc>
          <w:tcPr>
            <w:tcW w:w="4279" w:type="dxa"/>
            <w:tcBorders>
              <w:tl2br w:val="nil"/>
              <w:tr2bl w:val="nil"/>
            </w:tcBorders>
            <w:vAlign w:val="center"/>
          </w:tcPr>
          <w:p w14:paraId="07DE9EC5">
            <w:pPr>
              <w:numPr>
                <w:ilvl w:val="0"/>
                <w:numId w:val="0"/>
              </w:numPr>
              <w:spacing w:line="360" w:lineRule="auto"/>
              <w:ind w:leftChars="0"/>
              <w:jc w:val="center"/>
              <w:rPr>
                <w:rFonts w:hint="eastAsia" w:ascii="宋体" w:hAnsi="宋体" w:eastAsia="宋体" w:cs="宋体"/>
                <w:sz w:val="24"/>
                <w:szCs w:val="24"/>
                <w:lang w:val="en-US" w:eastAsia="zh-CN"/>
              </w:rPr>
            </w:pPr>
          </w:p>
        </w:tc>
      </w:tr>
      <w:tr w14:paraId="1E96CAD8">
        <w:tblPrEx>
          <w:tblBorders>
            <w:top w:val="double" w:color="000000" w:sz="4" w:space="0"/>
            <w:left w:val="double" w:color="000000" w:sz="4" w:space="0"/>
            <w:bottom w:val="double" w:color="000000" w:sz="4" w:space="0"/>
            <w:right w:val="double" w:color="000000" w:sz="4" w:space="0"/>
            <w:insideH w:val="single" w:color="000000" w:sz="2" w:space="0"/>
            <w:insideV w:val="single" w:color="000000" w:sz="2" w:space="0"/>
          </w:tblBorders>
          <w:tblCellMar>
            <w:top w:w="0" w:type="dxa"/>
            <w:left w:w="0" w:type="dxa"/>
            <w:bottom w:w="0" w:type="dxa"/>
            <w:right w:w="0" w:type="dxa"/>
          </w:tblCellMar>
        </w:tblPrEx>
        <w:trPr>
          <w:trHeight w:val="875" w:hRule="atLeast"/>
          <w:jc w:val="center"/>
        </w:trPr>
        <w:tc>
          <w:tcPr>
            <w:tcW w:w="738" w:type="dxa"/>
            <w:tcBorders>
              <w:tl2br w:val="nil"/>
              <w:tr2bl w:val="nil"/>
            </w:tcBorders>
            <w:vAlign w:val="center"/>
          </w:tcPr>
          <w:p w14:paraId="63B9931D">
            <w:pPr>
              <w:numPr>
                <w:ilvl w:val="0"/>
                <w:numId w:val="0"/>
              </w:numPr>
              <w:spacing w:line="360" w:lineRule="auto"/>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685" w:type="dxa"/>
            <w:tcBorders>
              <w:tl2br w:val="nil"/>
              <w:tr2bl w:val="nil"/>
            </w:tcBorders>
            <w:vAlign w:val="center"/>
          </w:tcPr>
          <w:p w14:paraId="56A34E52">
            <w:pPr>
              <w:numPr>
                <w:ilvl w:val="0"/>
                <w:numId w:val="0"/>
              </w:numPr>
              <w:spacing w:line="360" w:lineRule="auto"/>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再生时间</w:t>
            </w:r>
          </w:p>
        </w:tc>
        <w:tc>
          <w:tcPr>
            <w:tcW w:w="2078" w:type="dxa"/>
            <w:tcBorders>
              <w:tl2br w:val="nil"/>
              <w:tr2bl w:val="nil"/>
            </w:tcBorders>
            <w:vAlign w:val="center"/>
          </w:tcPr>
          <w:p w14:paraId="4EDFC4A7">
            <w:pPr>
              <w:numPr>
                <w:ilvl w:val="0"/>
                <w:numId w:val="0"/>
              </w:numPr>
              <w:spacing w:line="360" w:lineRule="auto"/>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24H</w:t>
            </w:r>
          </w:p>
        </w:tc>
        <w:tc>
          <w:tcPr>
            <w:tcW w:w="4279" w:type="dxa"/>
            <w:tcBorders>
              <w:tl2br w:val="nil"/>
              <w:tr2bl w:val="nil"/>
            </w:tcBorders>
            <w:vAlign w:val="center"/>
          </w:tcPr>
          <w:p w14:paraId="3712BD1C">
            <w:pPr>
              <w:numPr>
                <w:ilvl w:val="0"/>
                <w:numId w:val="0"/>
              </w:numPr>
              <w:spacing w:line="360" w:lineRule="auto"/>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净化柱为一用一备，再生时不影响水氧指标</w:t>
            </w:r>
          </w:p>
        </w:tc>
      </w:tr>
      <w:tr w14:paraId="2F52BEE8">
        <w:tblPrEx>
          <w:tblBorders>
            <w:top w:val="double" w:color="000000" w:sz="4" w:space="0"/>
            <w:left w:val="double" w:color="000000" w:sz="4" w:space="0"/>
            <w:bottom w:val="double" w:color="000000" w:sz="4" w:space="0"/>
            <w:right w:val="double" w:color="000000" w:sz="4" w:space="0"/>
            <w:insideH w:val="single" w:color="000000" w:sz="2" w:space="0"/>
            <w:insideV w:val="single" w:color="000000" w:sz="2" w:space="0"/>
          </w:tblBorders>
          <w:tblCellMar>
            <w:top w:w="0" w:type="dxa"/>
            <w:left w:w="0" w:type="dxa"/>
            <w:bottom w:w="0" w:type="dxa"/>
            <w:right w:w="0" w:type="dxa"/>
          </w:tblCellMar>
        </w:tblPrEx>
        <w:trPr>
          <w:trHeight w:val="440" w:hRule="atLeast"/>
          <w:jc w:val="center"/>
        </w:trPr>
        <w:tc>
          <w:tcPr>
            <w:tcW w:w="738" w:type="dxa"/>
            <w:tcBorders>
              <w:tl2br w:val="nil"/>
              <w:tr2bl w:val="nil"/>
            </w:tcBorders>
            <w:vAlign w:val="center"/>
          </w:tcPr>
          <w:p w14:paraId="321BBDAF">
            <w:pPr>
              <w:numPr>
                <w:ilvl w:val="0"/>
                <w:numId w:val="0"/>
              </w:numPr>
              <w:spacing w:line="360" w:lineRule="auto"/>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1685" w:type="dxa"/>
            <w:tcBorders>
              <w:tl2br w:val="nil"/>
              <w:tr2bl w:val="nil"/>
            </w:tcBorders>
            <w:vAlign w:val="center"/>
          </w:tcPr>
          <w:p w14:paraId="2B716A07">
            <w:pPr>
              <w:numPr>
                <w:ilvl w:val="0"/>
                <w:numId w:val="0"/>
              </w:numPr>
              <w:spacing w:line="360" w:lineRule="auto"/>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压力设定范围</w:t>
            </w:r>
          </w:p>
        </w:tc>
        <w:tc>
          <w:tcPr>
            <w:tcW w:w="2078" w:type="dxa"/>
            <w:tcBorders>
              <w:tl2br w:val="nil"/>
              <w:tr2bl w:val="nil"/>
            </w:tcBorders>
            <w:vAlign w:val="center"/>
          </w:tcPr>
          <w:p w14:paraId="099F644D">
            <w:pPr>
              <w:numPr>
                <w:ilvl w:val="0"/>
                <w:numId w:val="0"/>
              </w:numPr>
              <w:spacing w:line="360" w:lineRule="auto"/>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±12mbar</w:t>
            </w:r>
          </w:p>
        </w:tc>
        <w:tc>
          <w:tcPr>
            <w:tcW w:w="4279" w:type="dxa"/>
            <w:tcBorders>
              <w:tl2br w:val="nil"/>
              <w:tr2bl w:val="nil"/>
            </w:tcBorders>
            <w:vAlign w:val="center"/>
          </w:tcPr>
          <w:p w14:paraId="3D837FCD">
            <w:pPr>
              <w:numPr>
                <w:ilvl w:val="0"/>
                <w:numId w:val="0"/>
              </w:numPr>
              <w:spacing w:line="360" w:lineRule="auto"/>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超出±10mbar 系统自动保护</w:t>
            </w:r>
          </w:p>
        </w:tc>
      </w:tr>
    </w:tbl>
    <w:p w14:paraId="40C73F82">
      <w:pPr>
        <w:rPr>
          <w:rFonts w:hint="default"/>
          <w:lang w:val="en-US" w:eastAsia="zh-CN"/>
        </w:rPr>
      </w:pPr>
    </w:p>
    <w:p w14:paraId="6CD1ED40">
      <w:pPr>
        <w:rPr>
          <w:rFonts w:hint="default"/>
          <w:lang w:val="en-US" w:eastAsia="zh-CN"/>
        </w:rPr>
      </w:pPr>
    </w:p>
    <w:p w14:paraId="4B557FB1">
      <w:pPr>
        <w:rPr>
          <w:rFonts w:hint="default"/>
          <w:lang w:val="en-US" w:eastAsia="zh-CN"/>
        </w:rPr>
      </w:pPr>
    </w:p>
    <w:p w14:paraId="463248AB">
      <w:pPr>
        <w:rPr>
          <w:rFonts w:hint="default"/>
          <w:lang w:val="en-US" w:eastAsia="zh-CN"/>
        </w:rPr>
      </w:pPr>
    </w:p>
    <w:p w14:paraId="7071EFBC">
      <w:pPr>
        <w:rPr>
          <w:rFonts w:hint="default"/>
          <w:lang w:val="en-US" w:eastAsia="zh-CN"/>
        </w:rPr>
      </w:pPr>
    </w:p>
    <w:p w14:paraId="5D0DEE25">
      <w:pPr>
        <w:rPr>
          <w:rFonts w:hint="default"/>
          <w:lang w:val="en-US" w:eastAsia="zh-CN"/>
        </w:rPr>
      </w:pPr>
    </w:p>
    <w:p w14:paraId="43375A48">
      <w:pPr>
        <w:rPr>
          <w:rFonts w:hint="default"/>
          <w:lang w:val="en-US" w:eastAsia="zh-CN"/>
        </w:rPr>
      </w:pPr>
    </w:p>
    <w:p w14:paraId="4830BCE1">
      <w:pPr>
        <w:rPr>
          <w:rFonts w:hint="default"/>
          <w:lang w:val="en-US" w:eastAsia="zh-CN"/>
        </w:rPr>
      </w:pPr>
    </w:p>
    <w:p w14:paraId="099E47D0">
      <w:pPr>
        <w:rPr>
          <w:rFonts w:hint="default"/>
          <w:lang w:val="en-US" w:eastAsia="zh-CN"/>
        </w:rPr>
      </w:pPr>
    </w:p>
    <w:p w14:paraId="5E19667F">
      <w:pPr>
        <w:rPr>
          <w:rFonts w:hint="default"/>
          <w:lang w:val="en-US" w:eastAsia="zh-CN"/>
        </w:rPr>
      </w:pPr>
    </w:p>
    <w:p w14:paraId="0665A3F3">
      <w:pPr>
        <w:rPr>
          <w:rFonts w:hint="default"/>
          <w:lang w:val="en-US" w:eastAsia="zh-CN"/>
        </w:rPr>
      </w:pPr>
    </w:p>
    <w:p w14:paraId="2DD90E13">
      <w:pPr>
        <w:rPr>
          <w:rFonts w:hint="default"/>
          <w:lang w:val="en-US" w:eastAsia="zh-CN"/>
        </w:rPr>
      </w:pPr>
    </w:p>
    <w:p w14:paraId="2040A5D1">
      <w:pPr>
        <w:rPr>
          <w:rFonts w:hint="default"/>
          <w:lang w:val="en-US" w:eastAsia="zh-CN"/>
        </w:rPr>
      </w:pPr>
    </w:p>
    <w:p w14:paraId="28A6AF0E">
      <w:pPr>
        <w:rPr>
          <w:rFonts w:hint="default"/>
          <w:lang w:val="en-US" w:eastAsia="zh-CN"/>
        </w:rPr>
      </w:pPr>
    </w:p>
    <w:p w14:paraId="1792DC5D">
      <w:pPr>
        <w:rPr>
          <w:rFonts w:hint="default"/>
          <w:lang w:val="en-US" w:eastAsia="zh-CN"/>
        </w:rPr>
      </w:pPr>
    </w:p>
    <w:p w14:paraId="3B7998B8">
      <w:pPr>
        <w:rPr>
          <w:rFonts w:hint="default"/>
          <w:lang w:val="en-US" w:eastAsia="zh-CN"/>
        </w:rPr>
      </w:pPr>
    </w:p>
    <w:p w14:paraId="3FB91A1F">
      <w:pPr>
        <w:rPr>
          <w:rFonts w:hint="default"/>
          <w:lang w:val="en-US" w:eastAsia="zh-CN"/>
        </w:rPr>
      </w:pPr>
    </w:p>
    <w:p w14:paraId="593FD2A4">
      <w:pPr>
        <w:rPr>
          <w:rFonts w:hint="default"/>
          <w:lang w:val="en-US" w:eastAsia="zh-CN"/>
        </w:rPr>
      </w:pPr>
    </w:p>
    <w:p w14:paraId="71D68B27">
      <w:pPr>
        <w:rPr>
          <w:rFonts w:hint="default"/>
          <w:lang w:val="en-US" w:eastAsia="zh-CN"/>
        </w:rPr>
      </w:pPr>
    </w:p>
    <w:p w14:paraId="2D01833F">
      <w:pPr>
        <w:rPr>
          <w:rFonts w:hint="default"/>
          <w:lang w:val="en-US" w:eastAsia="zh-CN"/>
        </w:rPr>
      </w:pPr>
    </w:p>
    <w:p w14:paraId="1244BAAF">
      <w:pPr>
        <w:rPr>
          <w:rFonts w:hint="default"/>
          <w:lang w:val="en-US" w:eastAsia="zh-CN"/>
        </w:rPr>
      </w:pPr>
    </w:p>
    <w:p w14:paraId="6229F3F8">
      <w:pPr>
        <w:rPr>
          <w:rFonts w:hint="default"/>
          <w:lang w:val="en-US" w:eastAsia="zh-CN"/>
        </w:rPr>
      </w:pPr>
    </w:p>
    <w:p w14:paraId="539B151C">
      <w:pPr>
        <w:rPr>
          <w:rFonts w:hint="default"/>
          <w:lang w:val="en-US" w:eastAsia="zh-CN"/>
        </w:rPr>
      </w:pPr>
    </w:p>
    <w:p w14:paraId="351899F9">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C22C1">
    <w:pPr>
      <w:pStyle w:val="8"/>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DBC54A">
                          <w:pPr>
                            <w:pStyle w:val="8"/>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3DBC54A">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B6FA8">
    <w:pPr>
      <w:pStyle w:val="8"/>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D2B787">
                          <w:pPr>
                            <w:pStyle w:val="8"/>
                          </w:pPr>
                          <w:r>
                            <w:fldChar w:fldCharType="begin"/>
                          </w:r>
                          <w:r>
                            <w:instrText xml:space="preserve"> PAGE  \* MERGEFORMAT </w:instrText>
                          </w:r>
                          <w:r>
                            <w:fldChar w:fldCharType="separate"/>
                          </w:r>
                          <w:r>
                            <w:t>63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19D2B787">
                    <w:pPr>
                      <w:pStyle w:val="8"/>
                    </w:pPr>
                    <w:r>
                      <w:fldChar w:fldCharType="begin"/>
                    </w:r>
                    <w:r>
                      <w:instrText xml:space="preserve"> PAGE  \* MERGEFORMAT </w:instrText>
                    </w:r>
                    <w:r>
                      <w:fldChar w:fldCharType="separate"/>
                    </w:r>
                    <w:r>
                      <w:t>63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8945FE"/>
    <w:multiLevelType w:val="singleLevel"/>
    <w:tmpl w:val="978945FE"/>
    <w:lvl w:ilvl="0" w:tentative="0">
      <w:start w:val="2"/>
      <w:numFmt w:val="decimal"/>
      <w:lvlText w:val="%1."/>
      <w:lvlJc w:val="left"/>
      <w:pPr>
        <w:tabs>
          <w:tab w:val="left" w:pos="312"/>
        </w:tabs>
      </w:pPr>
    </w:lvl>
  </w:abstractNum>
  <w:abstractNum w:abstractNumId="1">
    <w:nsid w:val="DDECD3BC"/>
    <w:multiLevelType w:val="singleLevel"/>
    <w:tmpl w:val="DDECD3BC"/>
    <w:lvl w:ilvl="0" w:tentative="0">
      <w:start w:val="6"/>
      <w:numFmt w:val="decimal"/>
      <w:suff w:val="space"/>
      <w:lvlText w:val="%1."/>
      <w:lvlJc w:val="left"/>
    </w:lvl>
  </w:abstractNum>
  <w:abstractNum w:abstractNumId="2">
    <w:nsid w:val="DE759F4B"/>
    <w:multiLevelType w:val="singleLevel"/>
    <w:tmpl w:val="DE759F4B"/>
    <w:lvl w:ilvl="0" w:tentative="0">
      <w:start w:val="2"/>
      <w:numFmt w:val="decimal"/>
      <w:suff w:val="space"/>
      <w:lvlText w:val="%1."/>
      <w:lvlJc w:val="left"/>
    </w:lvl>
  </w:abstractNum>
  <w:abstractNum w:abstractNumId="3">
    <w:nsid w:val="33DD3C57"/>
    <w:multiLevelType w:val="singleLevel"/>
    <w:tmpl w:val="33DD3C57"/>
    <w:lvl w:ilvl="0" w:tentative="0">
      <w:start w:val="7"/>
      <w:numFmt w:val="decimal"/>
      <w:suff w:val="nothing"/>
      <w:lvlText w:val="（%1）"/>
      <w:lvlJc w:val="left"/>
    </w:lvl>
  </w:abstractNum>
  <w:abstractNum w:abstractNumId="4">
    <w:nsid w:val="6EE40928"/>
    <w:multiLevelType w:val="singleLevel"/>
    <w:tmpl w:val="6EE40928"/>
    <w:lvl w:ilvl="0" w:tentative="0">
      <w:start w:val="19"/>
      <w:numFmt w:val="decimal"/>
      <w:suff w:val="space"/>
      <w:lvlText w:val="%1."/>
      <w:lvlJc w:val="left"/>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1C3F87"/>
    <w:rsid w:val="0F5049E0"/>
    <w:rsid w:val="18A361F8"/>
    <w:rsid w:val="26F32B08"/>
    <w:rsid w:val="272F7ED3"/>
    <w:rsid w:val="421C3F87"/>
    <w:rsid w:val="55A20F89"/>
    <w:rsid w:val="5CE9261B"/>
    <w:rsid w:val="630A5527"/>
    <w:rsid w:val="6C70061B"/>
    <w:rsid w:val="6FF2050C"/>
    <w:rsid w:val="74727416"/>
    <w:rsid w:val="7E8D61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276" w:lineRule="auto"/>
      <w:jc w:val="left"/>
      <w:outlineLvl w:val="1"/>
    </w:pPr>
    <w:rPr>
      <w:rFonts w:ascii="Arial" w:hAnsi="Arial" w:eastAsia="黑体"/>
      <w:bCs/>
      <w:kern w:val="0"/>
      <w:sz w:val="32"/>
      <w:szCs w:val="32"/>
    </w:rPr>
  </w:style>
  <w:style w:type="paragraph" w:styleId="3">
    <w:name w:val="heading 3"/>
    <w:basedOn w:val="1"/>
    <w:next w:val="1"/>
    <w:qFormat/>
    <w:uiPriority w:val="0"/>
    <w:pPr>
      <w:keepNext/>
      <w:keepLines/>
      <w:spacing w:before="200" w:after="200"/>
      <w:jc w:val="center"/>
      <w:outlineLvl w:val="2"/>
    </w:pPr>
    <w:rPr>
      <w:rFonts w:ascii="Times New Roman" w:hAnsi="Times New Roman" w:eastAsia="宋体"/>
      <w:b/>
      <w:bCs/>
      <w:kern w:val="0"/>
      <w:sz w:val="28"/>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adjustRightInd w:val="0"/>
      <w:spacing w:after="60" w:line="360" w:lineRule="atLeast"/>
      <w:ind w:left="72" w:leftChars="30" w:right="30" w:rightChars="30"/>
      <w:jc w:val="center"/>
      <w:textAlignment w:val="baseline"/>
    </w:pPr>
    <w:rPr>
      <w:kern w:val="0"/>
      <w:sz w:val="20"/>
      <w:szCs w:val="20"/>
    </w:rPr>
  </w:style>
  <w:style w:type="paragraph" w:styleId="5">
    <w:name w:val="Body Text Indent"/>
    <w:basedOn w:val="1"/>
    <w:next w:val="6"/>
    <w:qFormat/>
    <w:uiPriority w:val="0"/>
    <w:pPr>
      <w:spacing w:line="500" w:lineRule="exact"/>
      <w:ind w:firstLine="480"/>
    </w:pPr>
    <w:rPr>
      <w:kern w:val="0"/>
      <w:sz w:val="24"/>
      <w:szCs w:val="20"/>
    </w:rPr>
  </w:style>
  <w:style w:type="paragraph" w:styleId="6">
    <w:name w:val="envelope return"/>
    <w:basedOn w:val="1"/>
    <w:qFormat/>
    <w:uiPriority w:val="0"/>
    <w:pPr>
      <w:snapToGrid w:val="0"/>
    </w:pPr>
    <w:rPr>
      <w:rFonts w:ascii="Arial" w:hAnsi="Arial"/>
    </w:rPr>
  </w:style>
  <w:style w:type="paragraph" w:styleId="7">
    <w:name w:val="Plain Text"/>
    <w:basedOn w:val="1"/>
    <w:qFormat/>
    <w:uiPriority w:val="99"/>
    <w:rPr>
      <w:rFonts w:ascii="宋体" w:hAnsi="Courier New"/>
      <w:kern w:val="0"/>
      <w:sz w:val="20"/>
      <w:szCs w:val="21"/>
    </w:rPr>
  </w:style>
  <w:style w:type="paragraph" w:styleId="8">
    <w:name w:val="footer"/>
    <w:basedOn w:val="1"/>
    <w:qFormat/>
    <w:uiPriority w:val="99"/>
    <w:pPr>
      <w:tabs>
        <w:tab w:val="center" w:pos="4153"/>
        <w:tab w:val="right" w:pos="8306"/>
      </w:tabs>
      <w:snapToGrid w:val="0"/>
      <w:jc w:val="left"/>
    </w:pPr>
    <w:rPr>
      <w:kern w:val="0"/>
      <w:sz w:val="18"/>
      <w:szCs w:val="18"/>
    </w:rPr>
  </w:style>
  <w:style w:type="paragraph" w:styleId="9">
    <w:name w:val="Body Text First Indent"/>
    <w:basedOn w:val="4"/>
    <w:next w:val="1"/>
    <w:qFormat/>
    <w:uiPriority w:val="0"/>
    <w:pPr>
      <w:spacing w:after="120" w:afterLines="0"/>
      <w:ind w:firstLine="420"/>
    </w:pPr>
    <w:rPr>
      <w:rFonts w:eastAsia="宋体"/>
    </w:rPr>
  </w:style>
  <w:style w:type="paragraph" w:customStyle="1" w:styleId="12">
    <w:name w:val="AONormal"/>
    <w:qFormat/>
    <w:uiPriority w:val="0"/>
    <w:pPr>
      <w:autoSpaceDE w:val="0"/>
      <w:autoSpaceDN w:val="0"/>
      <w:adjustRightInd w:val="0"/>
      <w:spacing w:line="400" w:lineRule="exact"/>
      <w:ind w:firstLine="440" w:firstLineChars="200"/>
    </w:pPr>
    <w:rPr>
      <w:rFonts w:ascii="华文楷体" w:hAnsi="华文楷体" w:eastAsia="华文楷体" w:cs="华文楷体"/>
      <w:kern w:val="2"/>
      <w:sz w:val="22"/>
      <w:szCs w:val="21"/>
      <w:lang w:val="en-US" w:eastAsia="zh-CN" w:bidi="ar-SA"/>
    </w:rPr>
  </w:style>
  <w:style w:type="paragraph" w:customStyle="1" w:styleId="13">
    <w:name w:val="列出段落1"/>
    <w:basedOn w:val="1"/>
    <w:qFormat/>
    <w:uiPriority w:val="34"/>
    <w:pPr>
      <w:ind w:firstLine="420" w:firstLineChars="200"/>
    </w:pPr>
    <w:rPr>
      <w:rFonts w:ascii="Calibri" w:hAnsi="Calibri"/>
    </w:rPr>
  </w:style>
  <w:style w:type="paragraph" w:customStyle="1" w:styleId="14">
    <w:name w:val="UserStyle_194"/>
    <w:qFormat/>
    <w:uiPriority w:val="0"/>
    <w:pPr>
      <w:textAlignment w:val="baseline"/>
    </w:pPr>
    <w:rPr>
      <w:rFonts w:ascii="Times New Roman" w:hAnsi="Times New Roman" w:eastAsia="宋体" w:cs="Times New Roman"/>
      <w:color w:val="000000"/>
      <w:sz w:val="24"/>
      <w:szCs w:val="24"/>
      <w:lang w:val="en-US" w:eastAsia="zh-CN" w:bidi="ar-SA"/>
    </w:rPr>
  </w:style>
  <w:style w:type="table" w:customStyle="1" w:styleId="1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8979</Words>
  <Characters>9354</Characters>
  <Lines>0</Lines>
  <Paragraphs>0</Paragraphs>
  <TotalTime>25</TotalTime>
  <ScaleCrop>false</ScaleCrop>
  <LinksUpToDate>false</LinksUpToDate>
  <CharactersWithSpaces>9922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2025-10-26T02:24:00Z</dcterms:created>
  <dc:creator>丁安明</dc:creator>
  <cp:lastModifiedBy>卡拉什尼科夫</cp:lastModifiedBy>
  <dcterms:modified xsi:type="dcterms:W3CDTF">2025-11-12T08:03:00Z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CAAE6C667423438FB94565D35288361B_13</vt:lpwstr>
  </property>
  <property fmtid="{D5CDD505-2E9C-101B-9397-08002B2CF9AE}" pid="4" name="KSOTemplateDocerSaveRecord">
    <vt:lpwstr>eyJoZGlkIjoiNzE1NjU3ZTA1ZGYyNDVlMDFkYWU3ZjhkMGM2MmU2NTIiLCJ1c2VySWQiOiI0MTMwMDYyNzYifQ==</vt:lpwstr>
  </property>
</Properties>
</file>